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drawings/drawing1.xml" ContentType="application/vnd.openxmlformats-officedocument.drawingml.chartshapes+xml"/>
  <Override PartName="/word/charts/chart35.xml" ContentType="application/vnd.openxmlformats-officedocument.drawingml.chart+xml"/>
  <Override PartName="/word/theme/themeOverride1.xml" ContentType="application/vnd.openxmlformats-officedocument.themeOverride+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theme/themeOverride2.xml" ContentType="application/vnd.openxmlformats-officedocument.themeOverride+xml"/>
  <Override PartName="/word/charts/chart44.xml" ContentType="application/vnd.openxmlformats-officedocument.drawingml.chart+xml"/>
  <Override PartName="/word/theme/themeOverride3.xml" ContentType="application/vnd.openxmlformats-officedocument.themeOverride+xml"/>
  <Override PartName="/word/charts/chart45.xml" ContentType="application/vnd.openxmlformats-officedocument.drawingml.chart+xml"/>
  <Override PartName="/word/theme/themeOverride4.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theme/themeOverride5.xml" ContentType="application/vnd.openxmlformats-officedocument.themeOverride+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theme/themeOverride6.xml" ContentType="application/vnd.openxmlformats-officedocument.themeOverride+xml"/>
  <Override PartName="/word/charts/chart64.xml" ContentType="application/vnd.openxmlformats-officedocument.drawingml.chart+xml"/>
  <Override PartName="/word/charts/chart65.xml" ContentType="application/vnd.openxmlformats-officedocument.drawingml.chart+xml"/>
  <Override PartName="/word/theme/themeOverride7.xml" ContentType="application/vnd.openxmlformats-officedocument.themeOverride+xml"/>
  <Override PartName="/word/charts/chart66.xml" ContentType="application/vnd.openxmlformats-officedocument.drawingml.chart+xml"/>
  <Override PartName="/word/theme/themeOverride8.xml" ContentType="application/vnd.openxmlformats-officedocument.themeOverride+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1AD" w:rsidRPr="00155F80" w:rsidRDefault="00DF3062" w:rsidP="00737E06">
      <w:pPr>
        <w:spacing w:line="276" w:lineRule="auto"/>
        <w:ind w:firstLine="708"/>
        <w:rPr>
          <w:rFonts w:ascii="Times New Roman" w:hAnsi="Times New Roman"/>
          <w:lang w:val="bs-Latn-BA"/>
        </w:rPr>
      </w:pPr>
      <w:r>
        <w:rPr>
          <w:rFonts w:ascii="Times New Roman" w:hAnsi="Times New Roman"/>
          <w:lang w:val="bs-Latn-BA"/>
        </w:rPr>
        <w:t>-</w:t>
      </w:r>
    </w:p>
    <w:p w:rsidR="00A131AD" w:rsidRPr="00155F80" w:rsidRDefault="00A131AD" w:rsidP="000C0138">
      <w:pPr>
        <w:spacing w:line="276" w:lineRule="auto"/>
        <w:jc w:val="center"/>
        <w:rPr>
          <w:rFonts w:ascii="Times New Roman" w:hAnsi="Times New Roman"/>
          <w:lang w:val="bs-Latn-BA"/>
        </w:rPr>
      </w:pPr>
      <w:r w:rsidRPr="00155F80">
        <w:rPr>
          <w:rFonts w:ascii="Times New Roman" w:hAnsi="Times New Roman"/>
          <w:noProof/>
          <w:lang w:eastAsia="en-GB"/>
        </w:rPr>
        <w:drawing>
          <wp:inline distT="0" distB="0" distL="0" distR="0" wp14:anchorId="0BB8746F" wp14:editId="3E577EE5">
            <wp:extent cx="2971800" cy="295275"/>
            <wp:effectExtent l="0" t="0" r="0" b="9525"/>
            <wp:docPr id="1" name="Picture 1" descr="Logo 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vod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295275"/>
                    </a:xfrm>
                    <a:prstGeom prst="rect">
                      <a:avLst/>
                    </a:prstGeom>
                    <a:noFill/>
                    <a:ln>
                      <a:noFill/>
                    </a:ln>
                  </pic:spPr>
                </pic:pic>
              </a:graphicData>
            </a:graphic>
          </wp:inline>
        </w:drawing>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tabs>
          <w:tab w:val="left" w:pos="3285"/>
        </w:tabs>
        <w:spacing w:line="276" w:lineRule="auto"/>
        <w:rPr>
          <w:rFonts w:ascii="Times New Roman" w:hAnsi="Times New Roman"/>
          <w:lang w:val="bs-Latn-BA"/>
        </w:rPr>
      </w:pPr>
      <w:r w:rsidRPr="00155F80">
        <w:rPr>
          <w:rFonts w:ascii="Times New Roman" w:hAnsi="Times New Roman"/>
          <w:lang w:val="bs-Latn-BA"/>
        </w:rPr>
        <w:tab/>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jc w:val="center"/>
        <w:rPr>
          <w:rFonts w:ascii="Times New Roman" w:hAnsi="Times New Roman"/>
          <w:b/>
          <w:lang w:val="bs-Latn-BA"/>
        </w:rPr>
      </w:pPr>
      <w:r w:rsidRPr="00155F80">
        <w:rPr>
          <w:rFonts w:ascii="Times New Roman" w:hAnsi="Times New Roman"/>
          <w:b/>
          <w:lang w:val="bs-Latn-BA"/>
        </w:rPr>
        <w:t xml:space="preserve">ZDRAVSTVENO STANJE STANOVNIŠTVA </w:t>
      </w:r>
      <w:r w:rsidRPr="00155F80">
        <w:rPr>
          <w:rFonts w:ascii="Times New Roman" w:hAnsi="Times New Roman"/>
          <w:b/>
          <w:lang w:val="bs-Latn-BA"/>
        </w:rPr>
        <w:br/>
        <w:t xml:space="preserve">I ZDRAVSTVENA ZAŠTITA </w:t>
      </w:r>
      <w:r w:rsidRPr="00155F80">
        <w:rPr>
          <w:rFonts w:ascii="Times New Roman" w:hAnsi="Times New Roman"/>
          <w:b/>
          <w:lang w:val="bs-Latn-BA"/>
        </w:rPr>
        <w:br/>
        <w:t xml:space="preserve">U FEDERACIJI BOSNE I HERCEGOVINE </w:t>
      </w:r>
    </w:p>
    <w:p w:rsidR="00A131AD" w:rsidRPr="00155F80" w:rsidRDefault="00A131AD" w:rsidP="000C0138">
      <w:pPr>
        <w:spacing w:line="276" w:lineRule="auto"/>
        <w:jc w:val="center"/>
        <w:rPr>
          <w:rFonts w:ascii="Times New Roman" w:hAnsi="Times New Roman"/>
          <w:b/>
          <w:lang w:val="bs-Latn-BA"/>
        </w:rPr>
      </w:pPr>
      <w:r w:rsidRPr="00155F80">
        <w:rPr>
          <w:rFonts w:ascii="Times New Roman" w:hAnsi="Times New Roman"/>
          <w:b/>
          <w:lang w:val="bs-Latn-BA"/>
        </w:rPr>
        <w:t>2015. godina</w:t>
      </w: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lang w:val="bs-Latn-BA"/>
        </w:rPr>
      </w:pPr>
      <w:r w:rsidRPr="00155F80">
        <w:rPr>
          <w:rFonts w:ascii="Times New Roman" w:hAnsi="Times New Roman"/>
          <w:lang w:val="bs-Latn-BA"/>
        </w:rPr>
        <w:t xml:space="preserve">Sarajevo, </w:t>
      </w:r>
      <w:r w:rsidR="00C43421">
        <w:rPr>
          <w:rFonts w:ascii="Times New Roman" w:hAnsi="Times New Roman"/>
          <w:lang w:val="bs-Latn-BA"/>
        </w:rPr>
        <w:t>juni</w:t>
      </w:r>
      <w:r w:rsidRPr="00155F80">
        <w:rPr>
          <w:rFonts w:ascii="Times New Roman" w:hAnsi="Times New Roman"/>
          <w:lang w:val="bs-Latn-BA"/>
        </w:rPr>
        <w:t xml:space="preserve"> 2016. godine</w:t>
      </w:r>
    </w:p>
    <w:p w:rsidR="00A131AD" w:rsidRPr="00155F80" w:rsidRDefault="00A131AD" w:rsidP="000C0138">
      <w:pPr>
        <w:spacing w:line="276" w:lineRule="auto"/>
        <w:jc w:val="left"/>
        <w:rPr>
          <w:rFonts w:ascii="Times New Roman" w:hAnsi="Times New Roman"/>
          <w:b/>
          <w:lang w:val="bs-Latn-BA"/>
        </w:rPr>
      </w:pPr>
      <w:r w:rsidRPr="00155F80">
        <w:rPr>
          <w:rFonts w:ascii="Times New Roman" w:hAnsi="Times New Roman"/>
          <w:lang w:val="bs-Latn-BA"/>
        </w:rPr>
        <w:br w:type="page"/>
      </w:r>
    </w:p>
    <w:p w:rsidR="00993848" w:rsidRDefault="00A131AD" w:rsidP="000C0138">
      <w:pPr>
        <w:pStyle w:val="TOCHeading"/>
        <w:spacing w:line="276" w:lineRule="auto"/>
        <w:rPr>
          <w:rFonts w:ascii="Times New Roman" w:hAnsi="Times New Roman"/>
        </w:rPr>
      </w:pPr>
      <w:r w:rsidRPr="00155F80">
        <w:rPr>
          <w:rFonts w:ascii="Times New Roman" w:hAnsi="Times New Roman"/>
          <w:lang w:val="bs-Latn-BA"/>
        </w:rPr>
        <w:lastRenderedPageBreak/>
        <w:br w:type="page"/>
      </w:r>
      <w:r w:rsidRPr="00155F80">
        <w:rPr>
          <w:rFonts w:ascii="Times New Roman" w:hAnsi="Times New Roman"/>
        </w:rPr>
        <w:lastRenderedPageBreak/>
        <w:t>Sadržaj</w:t>
      </w:r>
      <w:r w:rsidR="00EA088E" w:rsidRPr="00155F80">
        <w:rPr>
          <w:rFonts w:ascii="Times New Roman" w:hAnsi="Times New Roman"/>
        </w:rPr>
        <w:t xml:space="preserve"> </w:t>
      </w:r>
      <w:r w:rsidR="004622C8">
        <w:rPr>
          <w:rFonts w:ascii="Times New Roman" w:hAnsi="Times New Roman"/>
        </w:rPr>
        <w:tab/>
      </w:r>
    </w:p>
    <w:sdt>
      <w:sdtPr>
        <w:rPr>
          <w:rFonts w:ascii="Times New Roman" w:hAnsi="Times New Roman"/>
          <w:sz w:val="18"/>
          <w:szCs w:val="18"/>
        </w:rPr>
        <w:id w:val="-936907946"/>
        <w:docPartObj>
          <w:docPartGallery w:val="Table of Contents"/>
          <w:docPartUnique/>
        </w:docPartObj>
      </w:sdtPr>
      <w:sdtEndPr>
        <w:rPr>
          <w:b/>
          <w:bCs/>
          <w:noProof/>
          <w:sz w:val="20"/>
          <w:szCs w:val="20"/>
        </w:rPr>
      </w:sdtEndPr>
      <w:sdtContent>
        <w:p w:rsidR="00DE178E" w:rsidRPr="004975B7" w:rsidRDefault="00DE178E" w:rsidP="00993848">
          <w:pPr>
            <w:spacing w:line="276" w:lineRule="auto"/>
            <w:jc w:val="left"/>
            <w:rPr>
              <w:rFonts w:ascii="Times New Roman" w:hAnsi="Times New Roman"/>
              <w:sz w:val="18"/>
              <w:szCs w:val="18"/>
            </w:rPr>
          </w:pPr>
        </w:p>
        <w:p w:rsidR="004975B7" w:rsidRPr="004975B7" w:rsidRDefault="00DE178E">
          <w:pPr>
            <w:pStyle w:val="TOC1"/>
            <w:rPr>
              <w:rFonts w:asciiTheme="minorHAnsi" w:eastAsiaTheme="minorEastAsia" w:hAnsiTheme="minorHAnsi" w:cstheme="minorBidi"/>
              <w:b w:val="0"/>
              <w:bCs w:val="0"/>
              <w:caps w:val="0"/>
              <w:sz w:val="18"/>
              <w:szCs w:val="18"/>
              <w:lang w:eastAsia="en-GB"/>
            </w:rPr>
          </w:pPr>
          <w:r w:rsidRPr="004975B7">
            <w:rPr>
              <w:rFonts w:ascii="Times New Roman" w:hAnsi="Times New Roman"/>
              <w:sz w:val="18"/>
              <w:szCs w:val="18"/>
            </w:rPr>
            <w:fldChar w:fldCharType="begin"/>
          </w:r>
          <w:r w:rsidRPr="004975B7">
            <w:rPr>
              <w:rFonts w:ascii="Times New Roman" w:hAnsi="Times New Roman"/>
              <w:sz w:val="18"/>
              <w:szCs w:val="18"/>
            </w:rPr>
            <w:instrText xml:space="preserve"> TOC \o "1-3" \h \z \u </w:instrText>
          </w:r>
          <w:r w:rsidRPr="004975B7">
            <w:rPr>
              <w:rFonts w:ascii="Times New Roman" w:hAnsi="Times New Roman"/>
              <w:sz w:val="18"/>
              <w:szCs w:val="18"/>
            </w:rPr>
            <w:fldChar w:fldCharType="separate"/>
          </w:r>
          <w:hyperlink w:anchor="_Toc460929175" w:history="1">
            <w:r w:rsidR="004975B7" w:rsidRPr="004975B7">
              <w:rPr>
                <w:rStyle w:val="Hyperlink"/>
                <w:rFonts w:eastAsiaTheme="majorEastAsia"/>
                <w:sz w:val="18"/>
                <w:szCs w:val="18"/>
              </w:rPr>
              <w:t>PREDGOVOR</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_Toc460929175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4</w:t>
            </w:r>
            <w:r w:rsidR="004975B7" w:rsidRPr="004975B7">
              <w:rPr>
                <w:webHidden/>
                <w:sz w:val="18"/>
                <w:szCs w:val="18"/>
              </w:rPr>
              <w:fldChar w:fldCharType="end"/>
            </w:r>
          </w:hyperlink>
        </w:p>
        <w:p w:rsidR="004975B7" w:rsidRPr="004975B7" w:rsidRDefault="004D315B">
          <w:pPr>
            <w:pStyle w:val="TOC1"/>
            <w:rPr>
              <w:rFonts w:asciiTheme="minorHAnsi" w:eastAsiaTheme="minorEastAsia" w:hAnsiTheme="minorHAnsi" w:cstheme="minorBidi"/>
              <w:b w:val="0"/>
              <w:bCs w:val="0"/>
              <w:caps w:val="0"/>
              <w:sz w:val="18"/>
              <w:szCs w:val="18"/>
              <w:lang w:eastAsia="en-GB"/>
            </w:rPr>
          </w:pPr>
          <w:hyperlink w:anchor="_Toc460929176" w:history="1">
            <w:r w:rsidR="004975B7" w:rsidRPr="004975B7">
              <w:rPr>
                <w:rStyle w:val="Hyperlink"/>
                <w:rFonts w:eastAsiaTheme="minorHAnsi"/>
                <w:sz w:val="18"/>
                <w:szCs w:val="18"/>
              </w:rPr>
              <w:t>SAŽETAK</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_Toc460929176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5</w:t>
            </w:r>
            <w:r w:rsidR="004975B7" w:rsidRPr="004975B7">
              <w:rPr>
                <w:webHidden/>
                <w:sz w:val="18"/>
                <w:szCs w:val="18"/>
              </w:rPr>
              <w:fldChar w:fldCharType="end"/>
            </w:r>
          </w:hyperlink>
        </w:p>
        <w:p w:rsidR="004975B7" w:rsidRPr="004975B7" w:rsidRDefault="004D315B">
          <w:pPr>
            <w:pStyle w:val="TOC1"/>
            <w:rPr>
              <w:rFonts w:asciiTheme="minorHAnsi" w:eastAsiaTheme="minorEastAsia" w:hAnsiTheme="minorHAnsi" w:cstheme="minorBidi"/>
              <w:b w:val="0"/>
              <w:bCs w:val="0"/>
              <w:caps w:val="0"/>
              <w:sz w:val="18"/>
              <w:szCs w:val="18"/>
              <w:lang w:eastAsia="en-GB"/>
            </w:rPr>
          </w:pPr>
          <w:hyperlink w:anchor="_Toc460929177" w:history="1">
            <w:r w:rsidR="004975B7" w:rsidRPr="004975B7">
              <w:rPr>
                <w:rStyle w:val="Hyperlink"/>
                <w:rFonts w:eastAsia="Calibri"/>
                <w:sz w:val="18"/>
                <w:szCs w:val="18"/>
              </w:rPr>
              <w:t>ABSTRACT</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_Toc460929177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8</w:t>
            </w:r>
            <w:r w:rsidR="004975B7" w:rsidRPr="004975B7">
              <w:rPr>
                <w:webHidden/>
                <w:sz w:val="18"/>
                <w:szCs w:val="18"/>
              </w:rPr>
              <w:fldChar w:fldCharType="end"/>
            </w:r>
          </w:hyperlink>
        </w:p>
        <w:p w:rsidR="004975B7" w:rsidRPr="004975B7" w:rsidRDefault="004D315B">
          <w:pPr>
            <w:pStyle w:val="TOC1"/>
            <w:rPr>
              <w:rFonts w:asciiTheme="minorHAnsi" w:eastAsiaTheme="minorEastAsia" w:hAnsiTheme="minorHAnsi" w:cstheme="minorBidi"/>
              <w:b w:val="0"/>
              <w:bCs w:val="0"/>
              <w:caps w:val="0"/>
              <w:sz w:val="18"/>
              <w:szCs w:val="18"/>
              <w:lang w:eastAsia="en-GB"/>
            </w:rPr>
          </w:pPr>
          <w:hyperlink w:anchor="_Toc460929178" w:history="1">
            <w:r w:rsidR="004975B7" w:rsidRPr="004975B7">
              <w:rPr>
                <w:rStyle w:val="Hyperlink"/>
                <w:rFonts w:eastAsiaTheme="majorEastAsia"/>
                <w:sz w:val="18"/>
                <w:szCs w:val="18"/>
              </w:rPr>
              <w:t>SKRAĆENICE</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_Toc460929178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11</w:t>
            </w:r>
            <w:r w:rsidR="004975B7" w:rsidRPr="004975B7">
              <w:rPr>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179" w:history="1">
            <w:r w:rsidR="004975B7" w:rsidRPr="004975B7">
              <w:rPr>
                <w:rStyle w:val="Hyperlink"/>
                <w:rFonts w:eastAsiaTheme="majorEastAsia"/>
                <w:sz w:val="18"/>
                <w:szCs w:val="18"/>
              </w:rPr>
              <w:t>1.</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STANOVNIŠTVO</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_Toc460929179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14</w:t>
            </w:r>
            <w:r w:rsidR="004975B7" w:rsidRPr="004975B7">
              <w:rPr>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80" w:history="1">
            <w:r w:rsidR="004975B7" w:rsidRPr="004975B7">
              <w:rPr>
                <w:rStyle w:val="Hyperlink"/>
                <w:rFonts w:eastAsiaTheme="majorEastAsia"/>
                <w:noProof/>
                <w:sz w:val="18"/>
                <w:szCs w:val="18"/>
              </w:rPr>
              <w:t>1.1 Vitalni pokazatelji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_Toc460929180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14</w:t>
            </w:r>
            <w:r w:rsidR="004975B7" w:rsidRPr="004975B7">
              <w:rPr>
                <w:noProof/>
                <w:webHidden/>
                <w:sz w:val="18"/>
                <w:szCs w:val="18"/>
              </w:rPr>
              <w:fldChar w:fldCharType="end"/>
            </w:r>
          </w:hyperlink>
        </w:p>
        <w:p w:rsidR="004975B7" w:rsidRPr="004975B7" w:rsidRDefault="004D315B">
          <w:pPr>
            <w:pStyle w:val="TOC2"/>
            <w:tabs>
              <w:tab w:val="left" w:pos="880"/>
              <w:tab w:val="right" w:leader="dot" w:pos="9062"/>
            </w:tabs>
            <w:rPr>
              <w:rFonts w:asciiTheme="minorHAnsi" w:eastAsiaTheme="minorEastAsia" w:hAnsiTheme="minorHAnsi" w:cstheme="minorBidi"/>
              <w:smallCaps w:val="0"/>
              <w:noProof/>
              <w:sz w:val="18"/>
              <w:szCs w:val="18"/>
              <w:lang w:eastAsia="en-GB"/>
            </w:rPr>
          </w:pPr>
          <w:hyperlink w:anchor="_Toc460929181" w:history="1">
            <w:r w:rsidR="004975B7" w:rsidRPr="004975B7">
              <w:rPr>
                <w:rStyle w:val="Hyperlink"/>
                <w:rFonts w:eastAsiaTheme="majorEastAsia"/>
                <w:noProof/>
                <w:sz w:val="18"/>
                <w:szCs w:val="18"/>
              </w:rPr>
              <w:t>1.2</w:t>
            </w:r>
            <w:r w:rsidR="004975B7" w:rsidRPr="004975B7">
              <w:rPr>
                <w:rFonts w:asciiTheme="minorHAnsi" w:eastAsiaTheme="minorEastAsia" w:hAnsiTheme="minorHAnsi" w:cstheme="minorBidi"/>
                <w:smallCaps w:val="0"/>
                <w:noProof/>
                <w:sz w:val="18"/>
                <w:szCs w:val="18"/>
                <w:lang w:eastAsia="en-GB"/>
              </w:rPr>
              <w:tab/>
            </w:r>
            <w:r w:rsidR="004975B7" w:rsidRPr="004975B7">
              <w:rPr>
                <w:rStyle w:val="Hyperlink"/>
                <w:rFonts w:eastAsiaTheme="majorEastAsia"/>
                <w:noProof/>
                <w:sz w:val="18"/>
                <w:szCs w:val="18"/>
              </w:rPr>
              <w:t>Očekivana dužina života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_Toc460929181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15</w:t>
            </w:r>
            <w:r w:rsidR="004975B7" w:rsidRPr="004975B7">
              <w:rPr>
                <w:noProof/>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182" w:history="1">
            <w:r w:rsidR="004975B7" w:rsidRPr="004975B7">
              <w:rPr>
                <w:rStyle w:val="Hyperlink"/>
                <w:rFonts w:eastAsiaTheme="majorEastAsia"/>
                <w:sz w:val="18"/>
                <w:szCs w:val="18"/>
              </w:rPr>
              <w:t>2.</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SOCIOEKONOMSKI POKAZATELJI</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_Toc460929182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16</w:t>
            </w:r>
            <w:r w:rsidR="004975B7" w:rsidRPr="004975B7">
              <w:rPr>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83" w:history="1">
            <w:r w:rsidR="004975B7" w:rsidRPr="004975B7">
              <w:rPr>
                <w:rStyle w:val="Hyperlink"/>
                <w:rFonts w:eastAsiaTheme="majorEastAsia"/>
                <w:noProof/>
                <w:sz w:val="18"/>
                <w:szCs w:val="18"/>
              </w:rPr>
              <w:t>2.1 Siromaštvo i socijalna isključenost</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_Toc460929183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17</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84" w:history="1">
            <w:r w:rsidR="004975B7" w:rsidRPr="004975B7">
              <w:rPr>
                <w:rStyle w:val="Hyperlink"/>
                <w:rFonts w:eastAsiaTheme="majorEastAsia"/>
                <w:noProof/>
                <w:sz w:val="18"/>
                <w:szCs w:val="18"/>
              </w:rPr>
              <w:t>2.2 Stopa uzdržavanog stanovništva (Dependency ratio)</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_Toc460929184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18</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85" w:history="1">
            <w:r w:rsidR="004975B7" w:rsidRPr="004975B7">
              <w:rPr>
                <w:rStyle w:val="Hyperlink"/>
                <w:rFonts w:eastAsiaTheme="majorEastAsia"/>
                <w:noProof/>
                <w:sz w:val="18"/>
                <w:szCs w:val="18"/>
              </w:rPr>
              <w:t>2.3 Pismenost odraslih</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_Toc460929185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18</w:t>
            </w:r>
            <w:r w:rsidR="004975B7" w:rsidRPr="004975B7">
              <w:rPr>
                <w:noProof/>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186" w:history="1">
            <w:r w:rsidR="004975B7" w:rsidRPr="004975B7">
              <w:rPr>
                <w:rStyle w:val="Hyperlink"/>
                <w:rFonts w:eastAsiaTheme="minorHAnsi"/>
                <w:sz w:val="18"/>
                <w:szCs w:val="18"/>
              </w:rPr>
              <w:t>3.</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inorHAnsi"/>
                <w:sz w:val="18"/>
                <w:szCs w:val="18"/>
              </w:rPr>
              <w:t>POKAZATELJI ZDRAVLJA STANOVNIŠTVA</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_Toc460929186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19</w:t>
            </w:r>
            <w:r w:rsidR="004975B7" w:rsidRPr="004975B7">
              <w:rPr>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87" w:history="1">
            <w:r w:rsidR="004975B7" w:rsidRPr="004975B7">
              <w:rPr>
                <w:rStyle w:val="Hyperlink"/>
                <w:rFonts w:eastAsiaTheme="majorEastAsia"/>
                <w:noProof/>
                <w:sz w:val="18"/>
                <w:szCs w:val="18"/>
              </w:rPr>
              <w:t>3.1 Mortalitet (umiranje)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_Toc460929187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20</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88" w:history="1">
            <w:r w:rsidR="004975B7" w:rsidRPr="004975B7">
              <w:rPr>
                <w:rStyle w:val="Hyperlink"/>
                <w:rFonts w:eastAsiaTheme="majorEastAsia"/>
                <w:noProof/>
                <w:sz w:val="18"/>
                <w:szCs w:val="18"/>
              </w:rPr>
              <w:t>3.1.1 Opšti mortalitet</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_Toc460929188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20</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89" w:history="1">
            <w:r w:rsidR="004975B7" w:rsidRPr="004975B7">
              <w:rPr>
                <w:rStyle w:val="Hyperlink"/>
                <w:rFonts w:eastAsiaTheme="majorEastAsia"/>
                <w:noProof/>
                <w:sz w:val="18"/>
                <w:szCs w:val="18"/>
              </w:rPr>
              <w:t>3.1.2 Specifični mortalitet</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_Toc460929189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24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0" w:history="1">
            <w:r w:rsidR="004975B7" w:rsidRPr="004975B7">
              <w:rPr>
                <w:rStyle w:val="Hyperlink"/>
                <w:rFonts w:eastAsiaTheme="majorEastAsia"/>
                <w:noProof/>
                <w:sz w:val="18"/>
                <w:szCs w:val="18"/>
              </w:rPr>
              <w:t>3.1.3 Povrede kao uzroci smrti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_Toc460929190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28</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1" w:history="1">
            <w:r w:rsidR="004975B7" w:rsidRPr="004975B7">
              <w:rPr>
                <w:rStyle w:val="Hyperlink"/>
                <w:rFonts w:eastAsiaTheme="majorEastAsia"/>
                <w:noProof/>
                <w:sz w:val="18"/>
                <w:szCs w:val="18"/>
              </w:rPr>
              <w:t>3.1.4 Mortalitet dojenčadi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_Toc460929191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29</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2" w:history="1">
            <w:r w:rsidR="004975B7" w:rsidRPr="004975B7">
              <w:rPr>
                <w:rStyle w:val="Hyperlink"/>
                <w:rFonts w:eastAsiaTheme="majorEastAsia"/>
                <w:noProof/>
                <w:sz w:val="18"/>
                <w:szCs w:val="18"/>
              </w:rPr>
              <w:t>3.1.5 Smrtnost djece do 5 godina starosti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_Toc460929192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30</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193" w:history="1">
            <w:r w:rsidR="004975B7" w:rsidRPr="004975B7">
              <w:rPr>
                <w:rStyle w:val="Hyperlink"/>
                <w:rFonts w:eastAsiaTheme="minorHAnsi"/>
                <w:noProof/>
                <w:sz w:val="18"/>
                <w:szCs w:val="18"/>
                <w:lang w:val="bs-Latn-BA"/>
              </w:rPr>
              <w:t>3.2 Morbiditet (obolijevanje)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_Toc460929193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31</w:t>
            </w:r>
            <w:r w:rsidR="004975B7" w:rsidRPr="004975B7">
              <w:rPr>
                <w:noProof/>
                <w:webHidden/>
                <w:sz w:val="18"/>
                <w:szCs w:val="18"/>
              </w:rPr>
              <w:fldChar w:fldCharType="end"/>
            </w:r>
          </w:hyperlink>
        </w:p>
        <w:p w:rsidR="004975B7" w:rsidRPr="004975B7" w:rsidRDefault="004D315B">
          <w:pPr>
            <w:pStyle w:val="TOC3"/>
            <w:tabs>
              <w:tab w:val="left" w:pos="1100"/>
              <w:tab w:val="right" w:leader="dot" w:pos="9062"/>
            </w:tabs>
            <w:rPr>
              <w:rFonts w:asciiTheme="minorHAnsi" w:eastAsiaTheme="minorEastAsia" w:hAnsiTheme="minorHAnsi" w:cstheme="minorBidi"/>
              <w:i w:val="0"/>
              <w:iCs w:val="0"/>
              <w:noProof/>
              <w:sz w:val="18"/>
              <w:szCs w:val="18"/>
              <w:lang w:eastAsia="en-GB"/>
            </w:rPr>
          </w:pPr>
          <w:hyperlink w:anchor="_Toc460929194" w:history="1">
            <w:r w:rsidR="004975B7" w:rsidRPr="004975B7">
              <w:rPr>
                <w:rStyle w:val="Hyperlink"/>
                <w:rFonts w:eastAsiaTheme="minorHAnsi"/>
                <w:noProof/>
                <w:sz w:val="18"/>
                <w:szCs w:val="18"/>
                <w:lang w:val="bs-Latn-BA"/>
              </w:rPr>
              <w:t>3.2.1</w:t>
            </w:r>
            <w:r w:rsidR="004975B7" w:rsidRPr="004975B7">
              <w:rPr>
                <w:rFonts w:asciiTheme="minorHAnsi" w:eastAsiaTheme="minorEastAsia" w:hAnsiTheme="minorHAnsi" w:cstheme="minorBidi"/>
                <w:i w:val="0"/>
                <w:iCs w:val="0"/>
                <w:noProof/>
                <w:sz w:val="18"/>
                <w:szCs w:val="18"/>
                <w:lang w:eastAsia="en-GB"/>
              </w:rPr>
              <w:tab/>
            </w:r>
            <w:r w:rsidR="004975B7" w:rsidRPr="004975B7">
              <w:rPr>
                <w:rStyle w:val="Hyperlink"/>
                <w:rFonts w:eastAsiaTheme="minorHAnsi"/>
                <w:noProof/>
                <w:sz w:val="18"/>
                <w:szCs w:val="18"/>
                <w:lang w:val="bs-Latn-BA"/>
              </w:rPr>
              <w:t>Nezarazne bolesti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_Toc460929194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31</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5" w:history="1">
            <w:r w:rsidR="004975B7" w:rsidRPr="004975B7">
              <w:rPr>
                <w:rStyle w:val="Hyperlink"/>
                <w:rFonts w:eastAsiaTheme="majorEastAsia"/>
                <w:noProof/>
                <w:sz w:val="18"/>
                <w:szCs w:val="18"/>
                <w:lang w:val="bs-Latn-BA"/>
              </w:rPr>
              <w:t>3.2.2 Zarazne bolesti i vakcinacija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_Toc460929195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43</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6" w:history="1">
            <w:r w:rsidR="004975B7" w:rsidRPr="004975B7">
              <w:rPr>
                <w:rStyle w:val="Hyperlink"/>
                <w:rFonts w:eastAsiaTheme="majorEastAsia"/>
                <w:noProof/>
                <w:sz w:val="18"/>
                <w:szCs w:val="18"/>
                <w:lang w:val="bs-Latn-BA"/>
              </w:rPr>
              <w:t>3.2.3  Povrede i trovanja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_Toc460929196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54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7" w:history="1">
            <w:r w:rsidR="004975B7" w:rsidRPr="004975B7">
              <w:rPr>
                <w:rStyle w:val="Hyperlink"/>
                <w:rFonts w:eastAsiaTheme="minorHAnsi"/>
                <w:noProof/>
                <w:sz w:val="18"/>
                <w:szCs w:val="18"/>
                <w:lang w:val="bs-Latn-BA"/>
              </w:rPr>
              <w:t>3.2.4  Bolnički morbiditet</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_Toc460929197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54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8" w:history="1">
            <w:r w:rsidR="004975B7" w:rsidRPr="004975B7">
              <w:rPr>
                <w:rStyle w:val="Hyperlink"/>
                <w:rFonts w:eastAsiaTheme="minorHAnsi"/>
                <w:noProof/>
                <w:sz w:val="18"/>
                <w:szCs w:val="18"/>
                <w:lang w:val="bs-Latn-BA"/>
              </w:rPr>
              <w:t>3.2.5  Zdravlje populacijskih grupa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_Toc460929198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54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199" w:history="1">
            <w:r w:rsidR="004975B7" w:rsidRPr="004975B7">
              <w:rPr>
                <w:rStyle w:val="Hyperlink"/>
                <w:rFonts w:eastAsiaTheme="majorEastAsia"/>
                <w:noProof/>
                <w:sz w:val="18"/>
                <w:szCs w:val="18"/>
              </w:rPr>
              <w:t>3.2.5.1  Djeca i mladi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_Toc460929199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54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0" w:history="1">
            <w:r w:rsidR="004975B7" w:rsidRPr="004975B7">
              <w:rPr>
                <w:rStyle w:val="Hyperlink"/>
                <w:rFonts w:eastAsiaTheme="majorEastAsia"/>
                <w:noProof/>
                <w:sz w:val="18"/>
                <w:szCs w:val="18"/>
              </w:rPr>
              <w:t>3.2.5.2 Odrasli (19-64 godine)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_Toc460929200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58</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1" w:history="1">
            <w:r w:rsidR="004975B7" w:rsidRPr="004975B7">
              <w:rPr>
                <w:rStyle w:val="Hyperlink"/>
                <w:rFonts w:eastAsiaTheme="majorEastAsia"/>
                <w:noProof/>
                <w:sz w:val="18"/>
                <w:szCs w:val="18"/>
              </w:rPr>
              <w:t>3.2.5.3 Zdravlje stanovništva starijeg od 65 godina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_Toc460929201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62</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2" w:history="1">
            <w:r w:rsidR="004975B7" w:rsidRPr="004975B7">
              <w:rPr>
                <w:rStyle w:val="Hyperlink"/>
                <w:rFonts w:eastAsiaTheme="majorEastAsia"/>
                <w:noProof/>
                <w:sz w:val="18"/>
                <w:szCs w:val="18"/>
              </w:rPr>
              <w:t>3.2.5.4 Reproduktivno zdravlje i planiranje porodici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_Toc460929202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64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3" w:history="1">
            <w:r w:rsidR="004975B7" w:rsidRPr="004975B7">
              <w:rPr>
                <w:rStyle w:val="Hyperlink"/>
                <w:rFonts w:eastAsiaTheme="majorEastAsia"/>
                <w:noProof/>
                <w:sz w:val="18"/>
                <w:szCs w:val="18"/>
                <w:lang w:val="bs-Latn-BA"/>
              </w:rPr>
              <w:t>3.2.6  Zdravlje usta i zuba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_Toc460929203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67</w:t>
            </w:r>
            <w:r w:rsidR="004975B7" w:rsidRPr="004975B7">
              <w:rPr>
                <w:noProof/>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204" w:history="1">
            <w:r w:rsidR="004975B7" w:rsidRPr="004975B7">
              <w:rPr>
                <w:rStyle w:val="Hyperlink"/>
                <w:rFonts w:eastAsiaTheme="majorEastAsia"/>
                <w:sz w:val="18"/>
                <w:szCs w:val="18"/>
              </w:rPr>
              <w:t>4.</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FAKTORI RIZIKA PO ZDRAVLJE</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_Toc460929204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70</w:t>
            </w:r>
            <w:r w:rsidR="004975B7" w:rsidRPr="004975B7">
              <w:rPr>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05" w:history="1">
            <w:r w:rsidR="004975B7" w:rsidRPr="004975B7">
              <w:rPr>
                <w:rStyle w:val="Hyperlink"/>
                <w:rFonts w:eastAsiaTheme="minorHAnsi"/>
                <w:noProof/>
                <w:sz w:val="18"/>
                <w:szCs w:val="18"/>
              </w:rPr>
              <w:t>4.1 ŽIVOTNI STIL I NAVIKE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_Toc460929205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70</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6" w:history="1">
            <w:r w:rsidR="004975B7" w:rsidRPr="004975B7">
              <w:rPr>
                <w:rStyle w:val="Hyperlink"/>
                <w:rFonts w:eastAsiaTheme="minorHAnsi"/>
                <w:noProof/>
                <w:sz w:val="18"/>
                <w:szCs w:val="18"/>
              </w:rPr>
              <w:t>4.1.1 Ishrana i tjelesna aktivnost</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_Toc460929206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70</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7" w:history="1">
            <w:r w:rsidR="004975B7" w:rsidRPr="004975B7">
              <w:rPr>
                <w:rStyle w:val="Hyperlink"/>
                <w:rFonts w:eastAsiaTheme="majorEastAsia"/>
                <w:noProof/>
                <w:sz w:val="18"/>
                <w:szCs w:val="18"/>
                <w:lang w:val="hr-HR"/>
              </w:rPr>
              <w:t>4.1.2 Nedostatci mikronutrijenata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_Toc460929207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76</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08" w:history="1">
            <w:r w:rsidR="004975B7" w:rsidRPr="004975B7">
              <w:rPr>
                <w:rStyle w:val="Hyperlink"/>
                <w:rFonts w:eastAsiaTheme="majorEastAsia"/>
                <w:noProof/>
                <w:sz w:val="18"/>
                <w:szCs w:val="18"/>
                <w:lang w:val="bs-Latn-BA"/>
              </w:rPr>
              <w:t>4.1.3 Bolesti zavisnosti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_Toc460929208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78</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09" w:history="1">
            <w:r w:rsidR="004975B7" w:rsidRPr="004975B7">
              <w:rPr>
                <w:rStyle w:val="Hyperlink"/>
                <w:rFonts w:eastAsiaTheme="majorEastAsia"/>
                <w:noProof/>
                <w:sz w:val="18"/>
                <w:szCs w:val="18"/>
              </w:rPr>
              <w:t>4.2 OKOLIŠ I ZDRAVLJE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_Toc460929209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84</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0" w:history="1">
            <w:r w:rsidR="004975B7" w:rsidRPr="004975B7">
              <w:rPr>
                <w:rStyle w:val="Hyperlink"/>
                <w:rFonts w:eastAsiaTheme="majorEastAsia"/>
                <w:noProof/>
                <w:sz w:val="18"/>
                <w:szCs w:val="18"/>
              </w:rPr>
              <w:t>4.2.1 Voda za piće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_Toc460929210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85</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1" w:history="1">
            <w:r w:rsidR="004975B7" w:rsidRPr="004975B7">
              <w:rPr>
                <w:rStyle w:val="Hyperlink"/>
                <w:rFonts w:eastAsiaTheme="majorEastAsia"/>
                <w:noProof/>
                <w:sz w:val="18"/>
                <w:szCs w:val="18"/>
              </w:rPr>
              <w:t>4.2.2 Zrak</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_Toc460929211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86</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2" w:history="1">
            <w:r w:rsidR="004975B7" w:rsidRPr="004975B7">
              <w:rPr>
                <w:rStyle w:val="Hyperlink"/>
                <w:rFonts w:eastAsiaTheme="majorEastAsia"/>
                <w:noProof/>
                <w:sz w:val="18"/>
                <w:szCs w:val="18"/>
              </w:rPr>
              <w:t>4.2.3 Otpadne</w:t>
            </w:r>
            <w:r w:rsidR="004975B7" w:rsidRPr="004975B7">
              <w:rPr>
                <w:rStyle w:val="Hyperlink"/>
                <w:rFonts w:eastAsiaTheme="majorEastAsia"/>
                <w:noProof/>
                <w:sz w:val="18"/>
                <w:szCs w:val="18"/>
                <w:lang w:val="bs-Latn-BA"/>
              </w:rPr>
              <w:t xml:space="preserve"> </w:t>
            </w:r>
            <w:r w:rsidR="004975B7" w:rsidRPr="004975B7">
              <w:rPr>
                <w:rStyle w:val="Hyperlink"/>
                <w:rFonts w:eastAsiaTheme="majorEastAsia"/>
                <w:noProof/>
                <w:sz w:val="18"/>
                <w:szCs w:val="18"/>
              </w:rPr>
              <w:t>materijai</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_Toc460929212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88</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3" w:history="1">
            <w:r w:rsidR="004975B7" w:rsidRPr="004975B7">
              <w:rPr>
                <w:rStyle w:val="Hyperlink"/>
                <w:rFonts w:eastAsiaTheme="majorEastAsia"/>
                <w:noProof/>
                <w:sz w:val="18"/>
                <w:szCs w:val="18"/>
              </w:rPr>
              <w:t>4.2.4 Ionizirajuće zračenje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_Toc460929213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89</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4" w:history="1">
            <w:r w:rsidR="004975B7" w:rsidRPr="004975B7">
              <w:rPr>
                <w:rStyle w:val="Hyperlink"/>
                <w:rFonts w:eastAsiaTheme="majorEastAsia"/>
                <w:noProof/>
                <w:sz w:val="18"/>
                <w:szCs w:val="18"/>
              </w:rPr>
              <w:t>4.2.5 Higijenska ispravnost hrane</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_Toc460929214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93</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5" w:history="1">
            <w:r w:rsidR="004975B7" w:rsidRPr="004975B7">
              <w:rPr>
                <w:rStyle w:val="Hyperlink"/>
                <w:rFonts w:eastAsiaTheme="majorEastAsia"/>
                <w:noProof/>
                <w:sz w:val="18"/>
                <w:szCs w:val="18"/>
              </w:rPr>
              <w:t>4.2.6 Mine i neeksplodirana smrtonosna sredstva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_Toc460929215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96</w:t>
            </w:r>
            <w:r w:rsidR="004975B7" w:rsidRPr="004975B7">
              <w:rPr>
                <w:noProof/>
                <w:webHidden/>
                <w:sz w:val="18"/>
                <w:szCs w:val="18"/>
              </w:rPr>
              <w:fldChar w:fldCharType="end"/>
            </w:r>
          </w:hyperlink>
        </w:p>
        <w:p w:rsidR="004975B7" w:rsidRPr="004975B7" w:rsidRDefault="004D315B">
          <w:pPr>
            <w:pStyle w:val="TOC3"/>
            <w:tabs>
              <w:tab w:val="right" w:leader="dot" w:pos="9062"/>
            </w:tabs>
            <w:rPr>
              <w:rFonts w:asciiTheme="minorHAnsi" w:eastAsiaTheme="minorEastAsia" w:hAnsiTheme="minorHAnsi" w:cstheme="minorBidi"/>
              <w:i w:val="0"/>
              <w:iCs w:val="0"/>
              <w:noProof/>
              <w:sz w:val="18"/>
              <w:szCs w:val="18"/>
              <w:lang w:eastAsia="en-GB"/>
            </w:rPr>
          </w:pPr>
          <w:hyperlink w:anchor="_Toc460929216" w:history="1">
            <w:r w:rsidR="004975B7" w:rsidRPr="004975B7">
              <w:rPr>
                <w:rStyle w:val="Hyperlink"/>
                <w:rFonts w:eastAsiaTheme="majorEastAsia"/>
                <w:noProof/>
                <w:sz w:val="18"/>
                <w:szCs w:val="18"/>
              </w:rPr>
              <w:t>4.2.7 Saobraćajni traumatizam</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_Toc460929216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96</w:t>
            </w:r>
            <w:r w:rsidR="004975B7" w:rsidRPr="004975B7">
              <w:rPr>
                <w:noProof/>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217" w:history="1">
            <w:r w:rsidR="004975B7" w:rsidRPr="004975B7">
              <w:rPr>
                <w:rStyle w:val="Hyperlink"/>
                <w:rFonts w:eastAsiaTheme="majorEastAsia"/>
                <w:sz w:val="18"/>
                <w:szCs w:val="18"/>
              </w:rPr>
              <w:t>5.</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ORGANIZACIJA ZDRAVSTVENE ZAŠTITE</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_Toc460929217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97</w:t>
            </w:r>
            <w:r w:rsidR="004975B7" w:rsidRPr="004975B7">
              <w:rPr>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18" w:history="1">
            <w:r w:rsidR="004975B7" w:rsidRPr="004975B7">
              <w:rPr>
                <w:rStyle w:val="Hyperlink"/>
                <w:rFonts w:eastAsiaTheme="majorEastAsia"/>
                <w:noProof/>
                <w:sz w:val="18"/>
                <w:szCs w:val="18"/>
              </w:rPr>
              <w:t>5.1 Zaposleni u zdravstvu</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_Toc460929218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99</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19" w:history="1">
            <w:r w:rsidR="004975B7" w:rsidRPr="004975B7">
              <w:rPr>
                <w:rStyle w:val="Hyperlink"/>
                <w:rFonts w:eastAsiaTheme="majorEastAsia"/>
                <w:noProof/>
                <w:sz w:val="18"/>
                <w:szCs w:val="18"/>
              </w:rPr>
              <w:t>5.2  Primarna zdravstvena zaštita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_Toc460929219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103</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20" w:history="1">
            <w:r w:rsidR="004975B7" w:rsidRPr="004975B7">
              <w:rPr>
                <w:rStyle w:val="Hyperlink"/>
                <w:rFonts w:eastAsiaTheme="majorEastAsia"/>
                <w:noProof/>
                <w:sz w:val="18"/>
                <w:szCs w:val="18"/>
              </w:rPr>
              <w:t>5.3 Specijalističko-konsultativna zaštita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_Toc460929220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110</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21" w:history="1">
            <w:r w:rsidR="004975B7" w:rsidRPr="004975B7">
              <w:rPr>
                <w:rStyle w:val="Hyperlink"/>
                <w:rFonts w:eastAsiaTheme="majorEastAsia"/>
                <w:noProof/>
                <w:sz w:val="18"/>
                <w:szCs w:val="18"/>
              </w:rPr>
              <w:t>5.4  Bolnička zdravstvena zaštita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_Toc460929221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111</w:t>
            </w:r>
            <w:r w:rsidR="004975B7" w:rsidRPr="004975B7">
              <w:rPr>
                <w:noProof/>
                <w:webHidden/>
                <w:sz w:val="18"/>
                <w:szCs w:val="18"/>
              </w:rPr>
              <w:fldChar w:fldCharType="end"/>
            </w:r>
          </w:hyperlink>
        </w:p>
        <w:p w:rsidR="004975B7" w:rsidRPr="004975B7" w:rsidRDefault="004D315B">
          <w:pPr>
            <w:pStyle w:val="TOC2"/>
            <w:tabs>
              <w:tab w:val="right" w:leader="dot" w:pos="9062"/>
            </w:tabs>
            <w:rPr>
              <w:rFonts w:asciiTheme="minorHAnsi" w:eastAsiaTheme="minorEastAsia" w:hAnsiTheme="minorHAnsi" w:cstheme="minorBidi"/>
              <w:smallCaps w:val="0"/>
              <w:noProof/>
              <w:sz w:val="18"/>
              <w:szCs w:val="18"/>
              <w:lang w:eastAsia="en-GB"/>
            </w:rPr>
          </w:pPr>
          <w:hyperlink w:anchor="_Toc460929222" w:history="1">
            <w:r w:rsidR="004975B7" w:rsidRPr="004975B7">
              <w:rPr>
                <w:rStyle w:val="Hyperlink"/>
                <w:rFonts w:eastAsiaTheme="majorEastAsia"/>
                <w:noProof/>
                <w:sz w:val="18"/>
                <w:szCs w:val="18"/>
              </w:rPr>
              <w:t>5.5 Privatna praksa</w:t>
            </w:r>
            <w:r w:rsidR="004975B7" w:rsidRPr="004975B7">
              <w:rPr>
                <w:noProof/>
                <w:webHidden/>
                <w:sz w:val="18"/>
                <w:szCs w:val="18"/>
              </w:rPr>
              <w:tab/>
            </w:r>
            <w:r w:rsidR="004975B7" w:rsidRPr="004975B7">
              <w:rPr>
                <w:noProof/>
                <w:webHidden/>
                <w:sz w:val="18"/>
                <w:szCs w:val="18"/>
              </w:rPr>
              <w:fldChar w:fldCharType="begin"/>
            </w:r>
            <w:r w:rsidR="004975B7" w:rsidRPr="004975B7">
              <w:rPr>
                <w:noProof/>
                <w:webHidden/>
                <w:sz w:val="18"/>
                <w:szCs w:val="18"/>
              </w:rPr>
              <w:instrText xml:space="preserve"> PAGEREF _Toc460929222 \h </w:instrText>
            </w:r>
            <w:r w:rsidR="004975B7" w:rsidRPr="004975B7">
              <w:rPr>
                <w:noProof/>
                <w:webHidden/>
                <w:sz w:val="18"/>
                <w:szCs w:val="18"/>
              </w:rPr>
            </w:r>
            <w:r w:rsidR="004975B7" w:rsidRPr="004975B7">
              <w:rPr>
                <w:noProof/>
                <w:webHidden/>
                <w:sz w:val="18"/>
                <w:szCs w:val="18"/>
              </w:rPr>
              <w:fldChar w:fldCharType="separate"/>
            </w:r>
            <w:r w:rsidR="004975B7" w:rsidRPr="004975B7">
              <w:rPr>
                <w:noProof/>
                <w:webHidden/>
                <w:sz w:val="18"/>
                <w:szCs w:val="18"/>
              </w:rPr>
              <w:t>114</w:t>
            </w:r>
            <w:r w:rsidR="004975B7" w:rsidRPr="004975B7">
              <w:rPr>
                <w:noProof/>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223" w:history="1">
            <w:r w:rsidR="004975B7" w:rsidRPr="004975B7">
              <w:rPr>
                <w:rStyle w:val="Hyperlink"/>
                <w:rFonts w:eastAsiaTheme="majorEastAsia"/>
                <w:sz w:val="18"/>
                <w:szCs w:val="18"/>
              </w:rPr>
              <w:t>6.</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PREGLED ODABRANIH POKAZATELJA PO KANTONIMA</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_Toc460929223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115</w:t>
            </w:r>
            <w:r w:rsidR="004975B7" w:rsidRPr="004975B7">
              <w:rPr>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224" w:history="1">
            <w:r w:rsidR="004975B7" w:rsidRPr="004975B7">
              <w:rPr>
                <w:rStyle w:val="Hyperlink"/>
                <w:rFonts w:eastAsiaTheme="majorEastAsia"/>
                <w:sz w:val="18"/>
                <w:szCs w:val="18"/>
              </w:rPr>
              <w:t>7.</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ZAKLJUČCI</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_Toc460929224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136</w:t>
            </w:r>
            <w:r w:rsidR="004975B7" w:rsidRPr="004975B7">
              <w:rPr>
                <w:webHidden/>
                <w:sz w:val="18"/>
                <w:szCs w:val="18"/>
              </w:rPr>
              <w:fldChar w:fldCharType="end"/>
            </w:r>
          </w:hyperlink>
        </w:p>
        <w:p w:rsidR="004975B7" w:rsidRPr="004975B7" w:rsidRDefault="004D315B">
          <w:pPr>
            <w:pStyle w:val="TOC1"/>
            <w:tabs>
              <w:tab w:val="left" w:pos="440"/>
            </w:tabs>
            <w:rPr>
              <w:rFonts w:asciiTheme="minorHAnsi" w:eastAsiaTheme="minorEastAsia" w:hAnsiTheme="minorHAnsi" w:cstheme="minorBidi"/>
              <w:b w:val="0"/>
              <w:bCs w:val="0"/>
              <w:caps w:val="0"/>
              <w:sz w:val="18"/>
              <w:szCs w:val="18"/>
              <w:lang w:eastAsia="en-GB"/>
            </w:rPr>
          </w:pPr>
          <w:hyperlink w:anchor="_Toc460929225" w:history="1">
            <w:r w:rsidR="004975B7" w:rsidRPr="004975B7">
              <w:rPr>
                <w:rStyle w:val="Hyperlink"/>
                <w:rFonts w:eastAsiaTheme="majorEastAsia"/>
                <w:sz w:val="18"/>
                <w:szCs w:val="18"/>
              </w:rPr>
              <w:t>8.</w:t>
            </w:r>
            <w:r w:rsidR="004975B7" w:rsidRPr="004975B7">
              <w:rPr>
                <w:rFonts w:asciiTheme="minorHAnsi" w:eastAsiaTheme="minorEastAsia" w:hAnsiTheme="minorHAnsi" w:cstheme="minorBidi"/>
                <w:b w:val="0"/>
                <w:bCs w:val="0"/>
                <w:caps w:val="0"/>
                <w:sz w:val="18"/>
                <w:szCs w:val="18"/>
                <w:lang w:eastAsia="en-GB"/>
              </w:rPr>
              <w:tab/>
            </w:r>
            <w:r w:rsidR="004975B7" w:rsidRPr="004975B7">
              <w:rPr>
                <w:rStyle w:val="Hyperlink"/>
                <w:rFonts w:eastAsiaTheme="majorEastAsia"/>
                <w:sz w:val="18"/>
                <w:szCs w:val="18"/>
              </w:rPr>
              <w:t>PREPORUKE</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_Toc460929225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138</w:t>
            </w:r>
            <w:r w:rsidR="004975B7" w:rsidRPr="004975B7">
              <w:rPr>
                <w:webHidden/>
                <w:sz w:val="18"/>
                <w:szCs w:val="18"/>
              </w:rPr>
              <w:fldChar w:fldCharType="end"/>
            </w:r>
          </w:hyperlink>
        </w:p>
        <w:p w:rsidR="004975B7" w:rsidRPr="004975B7" w:rsidRDefault="004D315B">
          <w:pPr>
            <w:pStyle w:val="TOC1"/>
            <w:rPr>
              <w:rFonts w:asciiTheme="minorHAnsi" w:eastAsiaTheme="minorEastAsia" w:hAnsiTheme="minorHAnsi" w:cstheme="minorBidi"/>
              <w:b w:val="0"/>
              <w:bCs w:val="0"/>
              <w:caps w:val="0"/>
              <w:sz w:val="18"/>
              <w:szCs w:val="18"/>
              <w:lang w:eastAsia="en-GB"/>
            </w:rPr>
          </w:pPr>
          <w:hyperlink w:anchor="_Toc460929226" w:history="1">
            <w:r w:rsidR="004975B7" w:rsidRPr="004975B7">
              <w:rPr>
                <w:rStyle w:val="Hyperlink"/>
                <w:rFonts w:ascii="Times New Roman" w:eastAsiaTheme="majorEastAsia" w:hAnsi="Times New Roman"/>
                <w:sz w:val="18"/>
                <w:szCs w:val="18"/>
                <w:lang w:val="bs-Latn-BA"/>
              </w:rPr>
              <w:t>9.</w:t>
            </w:r>
            <w:r w:rsidR="004975B7">
              <w:rPr>
                <w:rStyle w:val="Hyperlink"/>
                <w:rFonts w:ascii="Times New Roman" w:eastAsiaTheme="majorEastAsia" w:hAnsi="Times New Roman"/>
                <w:sz w:val="18"/>
                <w:szCs w:val="18"/>
                <w:lang w:val="bs-Latn-BA"/>
              </w:rPr>
              <w:t xml:space="preserve">   </w:t>
            </w:r>
            <w:r w:rsidR="004975B7" w:rsidRPr="004975B7">
              <w:rPr>
                <w:rStyle w:val="Hyperlink"/>
                <w:rFonts w:asciiTheme="minorHAnsi" w:eastAsiaTheme="majorEastAsia" w:hAnsiTheme="minorHAnsi"/>
                <w:sz w:val="18"/>
                <w:szCs w:val="18"/>
                <w:lang w:val="bs-Latn-BA"/>
              </w:rPr>
              <w:t xml:space="preserve">    REFERENCE</w:t>
            </w:r>
            <w:r w:rsidR="004975B7" w:rsidRPr="004975B7">
              <w:rPr>
                <w:webHidden/>
                <w:sz w:val="18"/>
                <w:szCs w:val="18"/>
              </w:rPr>
              <w:tab/>
            </w:r>
            <w:r w:rsidR="004975B7" w:rsidRPr="004975B7">
              <w:rPr>
                <w:webHidden/>
                <w:sz w:val="18"/>
                <w:szCs w:val="18"/>
              </w:rPr>
              <w:fldChar w:fldCharType="begin"/>
            </w:r>
            <w:r w:rsidR="004975B7" w:rsidRPr="004975B7">
              <w:rPr>
                <w:webHidden/>
                <w:sz w:val="18"/>
                <w:szCs w:val="18"/>
              </w:rPr>
              <w:instrText xml:space="preserve"> PAGEREF _Toc460929226 \h </w:instrText>
            </w:r>
            <w:r w:rsidR="004975B7" w:rsidRPr="004975B7">
              <w:rPr>
                <w:webHidden/>
                <w:sz w:val="18"/>
                <w:szCs w:val="18"/>
              </w:rPr>
            </w:r>
            <w:r w:rsidR="004975B7" w:rsidRPr="004975B7">
              <w:rPr>
                <w:webHidden/>
                <w:sz w:val="18"/>
                <w:szCs w:val="18"/>
              </w:rPr>
              <w:fldChar w:fldCharType="separate"/>
            </w:r>
            <w:r w:rsidR="004975B7" w:rsidRPr="004975B7">
              <w:rPr>
                <w:webHidden/>
                <w:sz w:val="18"/>
                <w:szCs w:val="18"/>
              </w:rPr>
              <w:t>140</w:t>
            </w:r>
            <w:r w:rsidR="004975B7" w:rsidRPr="004975B7">
              <w:rPr>
                <w:webHidden/>
                <w:sz w:val="18"/>
                <w:szCs w:val="18"/>
              </w:rPr>
              <w:fldChar w:fldCharType="end"/>
            </w:r>
          </w:hyperlink>
        </w:p>
        <w:p w:rsidR="00DE178E" w:rsidRPr="0050445F" w:rsidRDefault="00DE178E" w:rsidP="000C0138">
          <w:pPr>
            <w:spacing w:line="276" w:lineRule="auto"/>
            <w:rPr>
              <w:rFonts w:ascii="Times New Roman" w:hAnsi="Times New Roman"/>
              <w:sz w:val="20"/>
              <w:szCs w:val="20"/>
            </w:rPr>
          </w:pPr>
          <w:r w:rsidRPr="004975B7">
            <w:rPr>
              <w:rFonts w:ascii="Times New Roman" w:hAnsi="Times New Roman"/>
              <w:b/>
              <w:bCs/>
              <w:noProof/>
              <w:sz w:val="18"/>
              <w:szCs w:val="18"/>
            </w:rPr>
            <w:fldChar w:fldCharType="end"/>
          </w:r>
        </w:p>
      </w:sdtContent>
    </w:sdt>
    <w:p w:rsidR="00B46174" w:rsidRPr="004D315B" w:rsidRDefault="00021055" w:rsidP="00311B76">
      <w:pPr>
        <w:rPr>
          <w:b/>
        </w:rPr>
      </w:pPr>
      <w:bookmarkStart w:id="0" w:name="_GoBack"/>
      <w:r w:rsidRPr="004D315B">
        <w:rPr>
          <w:b/>
          <w:color w:val="FFFFFF" w:themeColor="background1"/>
        </w:rPr>
        <w:t>EDGOVOR</w:t>
      </w:r>
      <w:bookmarkStart w:id="1" w:name="_Toc460929175"/>
      <w:r w:rsidR="00B46174" w:rsidRPr="004D315B">
        <w:rPr>
          <w:b/>
        </w:rPr>
        <w:t>PREDGOVOR</w:t>
      </w:r>
      <w:bookmarkEnd w:id="1"/>
    </w:p>
    <w:bookmarkEnd w:id="0"/>
    <w:p w:rsidR="00A131AD" w:rsidRPr="00155F80" w:rsidRDefault="002B489B" w:rsidP="000C0138">
      <w:pPr>
        <w:spacing w:line="276" w:lineRule="auto"/>
        <w:rPr>
          <w:rFonts w:ascii="Times New Roman" w:hAnsi="Times New Roman"/>
        </w:rPr>
      </w:pPr>
      <w:r>
        <w:rPr>
          <w:rFonts w:ascii="Times New Roman" w:hAnsi="Times New Roman"/>
        </w:rPr>
        <w:t>Na osnovu</w:t>
      </w:r>
      <w:r w:rsidR="00A131AD" w:rsidRPr="00155F80">
        <w:rPr>
          <w:rFonts w:ascii="Times New Roman" w:hAnsi="Times New Roman"/>
        </w:rPr>
        <w:t xml:space="preserve"> Zakona o zdravstvenoj zaštiti, Zavod za javno zdravstvo Federacije BiH predstavlja ovlaštenu ustanovu za obavljanje javnozdravstvene djelatnosti za </w:t>
      </w:r>
      <w:r>
        <w:rPr>
          <w:rFonts w:ascii="Times New Roman" w:hAnsi="Times New Roman"/>
        </w:rPr>
        <w:t>nivo</w:t>
      </w:r>
      <w:r w:rsidR="00A131AD" w:rsidRPr="00155F80">
        <w:rPr>
          <w:rFonts w:ascii="Times New Roman" w:hAnsi="Times New Roman"/>
        </w:rPr>
        <w:t xml:space="preserve"> Federacije BiH, u okviru koje </w:t>
      </w:r>
      <w:r w:rsidR="00DA519D">
        <w:rPr>
          <w:rFonts w:ascii="Times New Roman" w:hAnsi="Times New Roman"/>
        </w:rPr>
        <w:t>važan</w:t>
      </w:r>
      <w:r w:rsidR="00A131AD" w:rsidRPr="00155F80">
        <w:rPr>
          <w:rFonts w:ascii="Times New Roman" w:hAnsi="Times New Roman"/>
        </w:rPr>
        <w:t xml:space="preserve"> </w:t>
      </w:r>
      <w:r w:rsidR="00DA519D">
        <w:rPr>
          <w:rFonts w:ascii="Times New Roman" w:hAnsi="Times New Roman"/>
        </w:rPr>
        <w:t>udio</w:t>
      </w:r>
      <w:r w:rsidR="00A131AD" w:rsidRPr="00155F80">
        <w:rPr>
          <w:rFonts w:ascii="Times New Roman" w:hAnsi="Times New Roman"/>
        </w:rPr>
        <w:t xml:space="preserve"> predstavlja praćenje i analiza zdravstvenog stanja stanovništva i organizacije zdravstvene zaštite u Federaciji BiH.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Publikacija „Zdravstveno stanje stanovništva i organizacija zdravstvene zaštite u Federaciji BiH, koju svake godine priprema Zavod za javno zdravstvo Federacije BiH, predstavlja stručnu analizu  odabranih </w:t>
      </w:r>
      <w:r w:rsidR="00CB080B">
        <w:rPr>
          <w:rFonts w:ascii="Times New Roman" w:hAnsi="Times New Roman"/>
        </w:rPr>
        <w:t>pokazatelja</w:t>
      </w:r>
      <w:r w:rsidRPr="00155F80">
        <w:rPr>
          <w:rFonts w:ascii="Times New Roman" w:hAnsi="Times New Roman"/>
        </w:rPr>
        <w:t xml:space="preserve"> zdravstvenog stanja stanovništva, sa preporukama za prioritetne intervencije u zdravstvenom i drugim sektorima </w:t>
      </w:r>
      <w:r w:rsidR="00DA519D">
        <w:rPr>
          <w:rFonts w:ascii="Times New Roman" w:hAnsi="Times New Roman"/>
        </w:rPr>
        <w:t>važnim</w:t>
      </w:r>
      <w:r w:rsidRPr="00155F80">
        <w:rPr>
          <w:rFonts w:ascii="Times New Roman" w:hAnsi="Times New Roman"/>
        </w:rPr>
        <w:t xml:space="preserve"> za zdravlje zajednice.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Konceptualni okvir publikacije se nije značajno m</w:t>
      </w:r>
      <w:r w:rsidR="00587CDA">
        <w:rPr>
          <w:rFonts w:ascii="Times New Roman" w:hAnsi="Times New Roman"/>
        </w:rPr>
        <w:t>i</w:t>
      </w:r>
      <w:r w:rsidRPr="00155F80">
        <w:rPr>
          <w:rFonts w:ascii="Times New Roman" w:hAnsi="Times New Roman"/>
        </w:rPr>
        <w:t xml:space="preserve">jenjao u odnosu na prethodne godine. </w:t>
      </w:r>
      <w:r w:rsidR="002B489B">
        <w:rPr>
          <w:rFonts w:ascii="Times New Roman" w:hAnsi="Times New Roman"/>
        </w:rPr>
        <w:t>Na osnovu</w:t>
      </w:r>
      <w:r w:rsidRPr="00155F80">
        <w:rPr>
          <w:rFonts w:ascii="Times New Roman" w:hAnsi="Times New Roman"/>
        </w:rPr>
        <w:t xml:space="preserve"> Programa statističkih istraživanja u </w:t>
      </w:r>
      <w:r w:rsidR="00DA519D">
        <w:rPr>
          <w:rFonts w:ascii="Times New Roman" w:hAnsi="Times New Roman"/>
        </w:rPr>
        <w:t>području</w:t>
      </w:r>
      <w:r w:rsidRPr="00155F80">
        <w:rPr>
          <w:rFonts w:ascii="Times New Roman" w:hAnsi="Times New Roman"/>
        </w:rPr>
        <w:t xml:space="preserve"> zdravstva od interesa za Federaciju Bosne i Hercegovine, sakupljaju se podaci putem </w:t>
      </w:r>
      <w:r w:rsidR="002B489B">
        <w:rPr>
          <w:rFonts w:ascii="Times New Roman" w:hAnsi="Times New Roman"/>
        </w:rPr>
        <w:t>redovne</w:t>
      </w:r>
      <w:r w:rsidRPr="00155F80">
        <w:rPr>
          <w:rFonts w:ascii="Times New Roman" w:hAnsi="Times New Roman"/>
        </w:rPr>
        <w:t xml:space="preserve"> zdravstveno statističke evidencije, koji uz </w:t>
      </w:r>
      <w:r w:rsidR="00D21A46">
        <w:rPr>
          <w:rFonts w:ascii="Times New Roman" w:hAnsi="Times New Roman"/>
        </w:rPr>
        <w:t>znak</w:t>
      </w:r>
      <w:r w:rsidR="002B489B">
        <w:rPr>
          <w:rFonts w:ascii="Times New Roman" w:hAnsi="Times New Roman"/>
        </w:rPr>
        <w:t>ove</w:t>
      </w:r>
      <w:r w:rsidR="00587CDA">
        <w:rPr>
          <w:rFonts w:ascii="Times New Roman" w:hAnsi="Times New Roman"/>
        </w:rPr>
        <w:t xml:space="preserve"> </w:t>
      </w:r>
      <w:r w:rsidRPr="00155F80">
        <w:rPr>
          <w:rFonts w:ascii="Times New Roman" w:hAnsi="Times New Roman"/>
        </w:rPr>
        <w:t xml:space="preserve">istraživanja urađenih od strane Zavoda za javno zdravstvo Federacije BiH u </w:t>
      </w:r>
      <w:r w:rsidR="002B489B">
        <w:rPr>
          <w:rFonts w:ascii="Times New Roman" w:hAnsi="Times New Roman"/>
        </w:rPr>
        <w:t>saradnji</w:t>
      </w:r>
      <w:r w:rsidRPr="00155F80">
        <w:rPr>
          <w:rFonts w:ascii="Times New Roman" w:hAnsi="Times New Roman"/>
        </w:rPr>
        <w:t xml:space="preserve"> s</w:t>
      </w:r>
      <w:r w:rsidR="00DA519D">
        <w:rPr>
          <w:rFonts w:ascii="Times New Roman" w:hAnsi="Times New Roman"/>
        </w:rPr>
        <w:t xml:space="preserve"> mjerodavnim</w:t>
      </w:r>
      <w:r w:rsidRPr="00155F80">
        <w:rPr>
          <w:rFonts w:ascii="Times New Roman" w:hAnsi="Times New Roman"/>
        </w:rPr>
        <w:t xml:space="preserve"> međunarodnim i domaćim organizacijama kao i kantonalni</w:t>
      </w:r>
      <w:r w:rsidR="00E31193">
        <w:rPr>
          <w:rFonts w:ascii="Times New Roman" w:hAnsi="Times New Roman"/>
        </w:rPr>
        <w:t xml:space="preserve">m zavodima za javno zdravstvo, </w:t>
      </w:r>
      <w:r w:rsidRPr="00155F80">
        <w:rPr>
          <w:rFonts w:ascii="Times New Roman" w:hAnsi="Times New Roman"/>
        </w:rPr>
        <w:t>pre</w:t>
      </w:r>
      <w:r w:rsidR="002B2A7F">
        <w:rPr>
          <w:rFonts w:ascii="Times New Roman" w:hAnsi="Times New Roman"/>
        </w:rPr>
        <w:t>dstavljaju osnovu respektabilne</w:t>
      </w:r>
      <w:r w:rsidR="00E31193">
        <w:rPr>
          <w:rFonts w:ascii="Times New Roman" w:hAnsi="Times New Roman"/>
        </w:rPr>
        <w:t xml:space="preserve"> analize</w:t>
      </w:r>
      <w:r w:rsidRPr="00155F80">
        <w:rPr>
          <w:rFonts w:ascii="Times New Roman" w:hAnsi="Times New Roman"/>
        </w:rPr>
        <w:t xml:space="preserve"> zdravstvenog stanja stanovništa </w:t>
      </w:r>
      <w:r w:rsidR="002B2A7F">
        <w:rPr>
          <w:rFonts w:ascii="Times New Roman" w:hAnsi="Times New Roman"/>
        </w:rPr>
        <w:t xml:space="preserve">i organizacije zdravstvene zaštite </w:t>
      </w:r>
      <w:r w:rsidRPr="00155F80">
        <w:rPr>
          <w:rFonts w:ascii="Times New Roman" w:hAnsi="Times New Roman"/>
        </w:rPr>
        <w:t xml:space="preserve">na </w:t>
      </w:r>
      <w:r w:rsidR="002B489B">
        <w:rPr>
          <w:rFonts w:ascii="Times New Roman" w:hAnsi="Times New Roman"/>
        </w:rPr>
        <w:t>nivou</w:t>
      </w:r>
      <w:r w:rsidRPr="00155F80">
        <w:rPr>
          <w:rFonts w:ascii="Times New Roman" w:hAnsi="Times New Roman"/>
        </w:rPr>
        <w:t xml:space="preserve"> Federacije BiH</w:t>
      </w:r>
      <w:r w:rsidR="00467BD1">
        <w:rPr>
          <w:rFonts w:ascii="Times New Roman" w:hAnsi="Times New Roman"/>
        </w:rPr>
        <w:t>,</w:t>
      </w:r>
      <w:r w:rsidRPr="00155F80">
        <w:rPr>
          <w:rFonts w:ascii="Times New Roman" w:hAnsi="Times New Roman"/>
        </w:rPr>
        <w:t xml:space="preserve"> </w:t>
      </w:r>
      <w:r w:rsidR="00512E30">
        <w:rPr>
          <w:rFonts w:ascii="Times New Roman" w:hAnsi="Times New Roman"/>
        </w:rPr>
        <w:t>na nivou</w:t>
      </w:r>
      <w:r w:rsidRPr="00155F80">
        <w:rPr>
          <w:rFonts w:ascii="Times New Roman" w:hAnsi="Times New Roman"/>
        </w:rPr>
        <w:t xml:space="preserve"> kantona, za </w:t>
      </w:r>
      <w:r w:rsidR="00F70FD4">
        <w:rPr>
          <w:rFonts w:ascii="Times New Roman" w:hAnsi="Times New Roman"/>
        </w:rPr>
        <w:t>period</w:t>
      </w:r>
      <w:r w:rsidRPr="00155F80">
        <w:rPr>
          <w:rFonts w:ascii="Times New Roman" w:hAnsi="Times New Roman"/>
        </w:rPr>
        <w:t xml:space="preserve"> 2010-2015. godine.</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Analizirani </w:t>
      </w:r>
      <w:r w:rsidR="002B489B">
        <w:rPr>
          <w:rFonts w:ascii="Times New Roman" w:hAnsi="Times New Roman"/>
        </w:rPr>
        <w:t>podaci</w:t>
      </w:r>
      <w:r w:rsidRPr="00155F80">
        <w:rPr>
          <w:rFonts w:ascii="Times New Roman" w:hAnsi="Times New Roman"/>
        </w:rPr>
        <w:t xml:space="preserve"> u ov</w:t>
      </w:r>
      <w:r w:rsidR="00512E30">
        <w:rPr>
          <w:rFonts w:ascii="Times New Roman" w:hAnsi="Times New Roman"/>
        </w:rPr>
        <w:t xml:space="preserve">oj publikaciji ukazuju na to da </w:t>
      </w:r>
      <w:r w:rsidRPr="00155F80">
        <w:rPr>
          <w:rFonts w:ascii="Times New Roman" w:hAnsi="Times New Roman"/>
        </w:rPr>
        <w:t xml:space="preserve">je zdravlje stanovništva Federacije BiH slično drugim zemljama u </w:t>
      </w:r>
      <w:r w:rsidR="00467BD1">
        <w:rPr>
          <w:rFonts w:ascii="Times New Roman" w:hAnsi="Times New Roman"/>
        </w:rPr>
        <w:t>regiji</w:t>
      </w:r>
      <w:r w:rsidRPr="00155F80">
        <w:rPr>
          <w:rFonts w:ascii="Times New Roman" w:hAnsi="Times New Roman"/>
        </w:rPr>
        <w:t xml:space="preserve">, pod značajnim </w:t>
      </w:r>
      <w:r w:rsidR="00512E30">
        <w:rPr>
          <w:rFonts w:ascii="Times New Roman" w:hAnsi="Times New Roman"/>
        </w:rPr>
        <w:t>uticaj</w:t>
      </w:r>
      <w:r w:rsidRPr="00155F80">
        <w:rPr>
          <w:rFonts w:ascii="Times New Roman" w:hAnsi="Times New Roman"/>
        </w:rPr>
        <w:t>em zdravstvenih, demografskih i socijalno-</w:t>
      </w:r>
      <w:r w:rsidR="00CB080B">
        <w:rPr>
          <w:rFonts w:ascii="Times New Roman" w:hAnsi="Times New Roman"/>
        </w:rPr>
        <w:t>ekonomski</w:t>
      </w:r>
      <w:r w:rsidR="00467BD1">
        <w:rPr>
          <w:rFonts w:ascii="Times New Roman" w:hAnsi="Times New Roman"/>
        </w:rPr>
        <w:t>h</w:t>
      </w:r>
      <w:r w:rsidRPr="00155F80">
        <w:rPr>
          <w:rFonts w:ascii="Times New Roman" w:hAnsi="Times New Roman"/>
        </w:rPr>
        <w:t xml:space="preserve"> tranzicija.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Održava se trend negativnog prirodnog  </w:t>
      </w:r>
      <w:r w:rsidR="00512E30">
        <w:rPr>
          <w:rFonts w:ascii="Times New Roman" w:hAnsi="Times New Roman"/>
        </w:rPr>
        <w:t>priraštaj</w:t>
      </w:r>
      <w:r w:rsidR="00467BD1">
        <w:rPr>
          <w:rFonts w:ascii="Times New Roman" w:hAnsi="Times New Roman"/>
        </w:rPr>
        <w:t>a</w:t>
      </w:r>
      <w:r w:rsidRPr="00155F80">
        <w:rPr>
          <w:rFonts w:ascii="Times New Roman" w:hAnsi="Times New Roman"/>
        </w:rPr>
        <w:t xml:space="preserve"> u većini kantona u Federaciji BiH,  koji još jednom naglašavaju izostanak strateškog pristupa u populacijskoj politici. Povećanje procentualnog </w:t>
      </w:r>
      <w:r w:rsidR="00243A26">
        <w:rPr>
          <w:rFonts w:ascii="Times New Roman" w:hAnsi="Times New Roman"/>
        </w:rPr>
        <w:t>udjela</w:t>
      </w:r>
      <w:r w:rsidRPr="00155F80">
        <w:rPr>
          <w:rFonts w:ascii="Times New Roman" w:hAnsi="Times New Roman"/>
        </w:rPr>
        <w:t xml:space="preserve"> </w:t>
      </w:r>
      <w:r w:rsidR="00AC4F6E">
        <w:rPr>
          <w:rFonts w:ascii="Times New Roman" w:hAnsi="Times New Roman"/>
        </w:rPr>
        <w:t>osoba</w:t>
      </w:r>
      <w:r w:rsidRPr="00155F80">
        <w:rPr>
          <w:rFonts w:ascii="Times New Roman" w:hAnsi="Times New Roman"/>
        </w:rPr>
        <w:t xml:space="preserve"> treće dobi u ukupnom stanovništu u Federaciji BiH argumentira potrebu intersektor</w:t>
      </w:r>
      <w:r w:rsidR="00AC4F6E">
        <w:rPr>
          <w:rFonts w:ascii="Times New Roman" w:hAnsi="Times New Roman"/>
        </w:rPr>
        <w:t>skih</w:t>
      </w:r>
      <w:r w:rsidRPr="00155F80">
        <w:rPr>
          <w:rFonts w:ascii="Times New Roman" w:hAnsi="Times New Roman"/>
        </w:rPr>
        <w:t xml:space="preserve"> programa u zajednici i afirmaciju mreža centara za zdravo starenje kao dobru praksu započetu u pojedinim kantonima u Federaciji BiH. U </w:t>
      </w:r>
      <w:r w:rsidR="00512E30">
        <w:rPr>
          <w:rFonts w:ascii="Times New Roman" w:hAnsi="Times New Roman"/>
        </w:rPr>
        <w:t>obolijevanju</w:t>
      </w:r>
      <w:r w:rsidRPr="00155F80">
        <w:rPr>
          <w:rFonts w:ascii="Times New Roman" w:hAnsi="Times New Roman"/>
        </w:rPr>
        <w:t xml:space="preserve"> i smrtnosti dominiraju </w:t>
      </w:r>
      <w:r w:rsidR="00512E30">
        <w:rPr>
          <w:rFonts w:ascii="Times New Roman" w:hAnsi="Times New Roman"/>
        </w:rPr>
        <w:t>hronična</w:t>
      </w:r>
      <w:r w:rsidRPr="00155F80">
        <w:rPr>
          <w:rFonts w:ascii="Times New Roman" w:hAnsi="Times New Roman"/>
        </w:rPr>
        <w:t xml:space="preserve"> nezarazna oboljenja i </w:t>
      </w:r>
      <w:r w:rsidR="00D21A46">
        <w:rPr>
          <w:rFonts w:ascii="Times New Roman" w:hAnsi="Times New Roman"/>
        </w:rPr>
        <w:t>faktori</w:t>
      </w:r>
      <w:r w:rsidRPr="00155F80">
        <w:rPr>
          <w:rFonts w:ascii="Times New Roman" w:hAnsi="Times New Roman"/>
        </w:rPr>
        <w:t xml:space="preserve"> rizika vezani za ponašanje i životne navike</w:t>
      </w:r>
      <w:r w:rsidR="00AC4F6E">
        <w:rPr>
          <w:rFonts w:ascii="Times New Roman" w:hAnsi="Times New Roman"/>
        </w:rPr>
        <w:t>,</w:t>
      </w:r>
      <w:r w:rsidRPr="00155F80">
        <w:rPr>
          <w:rFonts w:ascii="Times New Roman" w:hAnsi="Times New Roman"/>
        </w:rPr>
        <w:t xml:space="preserve"> kao i </w:t>
      </w:r>
      <w:r w:rsidR="00CB080B">
        <w:rPr>
          <w:rFonts w:ascii="Times New Roman" w:hAnsi="Times New Roman"/>
        </w:rPr>
        <w:t>okoliš</w:t>
      </w:r>
      <w:r w:rsidRPr="00155F80">
        <w:rPr>
          <w:rFonts w:ascii="Times New Roman" w:hAnsi="Times New Roman"/>
        </w:rPr>
        <w:t xml:space="preserve">ni </w:t>
      </w:r>
      <w:r w:rsidR="00D21A46">
        <w:rPr>
          <w:rFonts w:ascii="Times New Roman" w:hAnsi="Times New Roman"/>
        </w:rPr>
        <w:t>faktori</w:t>
      </w:r>
      <w:r w:rsidRPr="00155F80">
        <w:rPr>
          <w:rFonts w:ascii="Times New Roman" w:hAnsi="Times New Roman"/>
        </w:rPr>
        <w:t xml:space="preserve"> rizi</w:t>
      </w:r>
      <w:r w:rsidR="00E31193">
        <w:rPr>
          <w:rFonts w:ascii="Times New Roman" w:hAnsi="Times New Roman"/>
        </w:rPr>
        <w:t>ka,</w:t>
      </w:r>
      <w:r w:rsidR="00055C26">
        <w:rPr>
          <w:rFonts w:ascii="Times New Roman" w:hAnsi="Times New Roman"/>
        </w:rPr>
        <w:t xml:space="preserve"> koji potvrđuju opravdanost </w:t>
      </w:r>
      <w:r w:rsidR="00512E30">
        <w:rPr>
          <w:rFonts w:ascii="Times New Roman" w:hAnsi="Times New Roman"/>
        </w:rPr>
        <w:t>sistemsk</w:t>
      </w:r>
      <w:r w:rsidR="00AC4F6E">
        <w:rPr>
          <w:rFonts w:ascii="Times New Roman" w:hAnsi="Times New Roman"/>
        </w:rPr>
        <w:t>ih</w:t>
      </w:r>
      <w:r w:rsidR="00055C26">
        <w:rPr>
          <w:rFonts w:ascii="Times New Roman" w:hAnsi="Times New Roman"/>
        </w:rPr>
        <w:t xml:space="preserve"> preventivno–promotivnih</w:t>
      </w:r>
      <w:r w:rsidRPr="00155F80">
        <w:rPr>
          <w:rFonts w:ascii="Times New Roman" w:hAnsi="Times New Roman"/>
        </w:rPr>
        <w:t xml:space="preserve"> intervencija</w:t>
      </w:r>
      <w:r w:rsidR="00055C26">
        <w:rPr>
          <w:rFonts w:ascii="Times New Roman" w:hAnsi="Times New Roman"/>
        </w:rPr>
        <w:t>,</w:t>
      </w:r>
      <w:r w:rsidRPr="00155F80">
        <w:rPr>
          <w:rFonts w:ascii="Times New Roman" w:hAnsi="Times New Roman"/>
        </w:rPr>
        <w:t xml:space="preserve"> </w:t>
      </w:r>
      <w:r w:rsidR="00E31193">
        <w:rPr>
          <w:rFonts w:ascii="Times New Roman" w:hAnsi="Times New Roman"/>
        </w:rPr>
        <w:t xml:space="preserve">a </w:t>
      </w:r>
      <w:r w:rsidRPr="00155F80">
        <w:rPr>
          <w:rFonts w:ascii="Times New Roman" w:hAnsi="Times New Roman"/>
        </w:rPr>
        <w:t xml:space="preserve">koje bi trebale biti prioritet za unapređenje zdravlja stanovništva i organizaciju zdravstvene zaštite u Federaciji BiH.    </w:t>
      </w:r>
    </w:p>
    <w:p w:rsidR="00A131AD" w:rsidRPr="00155F80" w:rsidRDefault="00A131AD" w:rsidP="000C0138">
      <w:pPr>
        <w:spacing w:line="276" w:lineRule="auto"/>
        <w:rPr>
          <w:rFonts w:ascii="Times New Roman" w:hAnsi="Times New Roman"/>
        </w:rPr>
      </w:pPr>
    </w:p>
    <w:p w:rsidR="00A131AD" w:rsidRPr="00155F80" w:rsidRDefault="00587CDA" w:rsidP="000C0138">
      <w:pPr>
        <w:spacing w:line="276" w:lineRule="auto"/>
        <w:rPr>
          <w:rFonts w:ascii="Times New Roman" w:hAnsi="Times New Roman"/>
        </w:rPr>
      </w:pPr>
      <w:r>
        <w:rPr>
          <w:rFonts w:ascii="Times New Roman" w:hAnsi="Times New Roman"/>
        </w:rPr>
        <w:t xml:space="preserve">Iskreno se nadamo da </w:t>
      </w:r>
      <w:r w:rsidR="00A131AD" w:rsidRPr="00155F80">
        <w:rPr>
          <w:rFonts w:ascii="Times New Roman" w:hAnsi="Times New Roman"/>
        </w:rPr>
        <w:t xml:space="preserve">će </w:t>
      </w:r>
      <w:r>
        <w:rPr>
          <w:rFonts w:ascii="Times New Roman" w:hAnsi="Times New Roman"/>
        </w:rPr>
        <w:t>pokazatelji</w:t>
      </w:r>
      <w:r w:rsidR="00A131AD" w:rsidRPr="00155F80">
        <w:rPr>
          <w:rFonts w:ascii="Times New Roman" w:hAnsi="Times New Roman"/>
        </w:rPr>
        <w:t xml:space="preserve"> sadržani u ovoj publikaciji biti prepoznati od strane </w:t>
      </w:r>
      <w:r w:rsidR="00AC4F6E">
        <w:rPr>
          <w:rFonts w:ascii="Times New Roman" w:hAnsi="Times New Roman"/>
        </w:rPr>
        <w:t>mjerodavnih</w:t>
      </w:r>
      <w:r w:rsidR="00CB080B">
        <w:rPr>
          <w:rFonts w:ascii="Times New Roman" w:hAnsi="Times New Roman"/>
        </w:rPr>
        <w:t xml:space="preserve"> ustanova i </w:t>
      </w:r>
      <w:r w:rsidR="00A131AD" w:rsidRPr="00155F80">
        <w:rPr>
          <w:rFonts w:ascii="Times New Roman" w:hAnsi="Times New Roman"/>
        </w:rPr>
        <w:t>do</w:t>
      </w:r>
      <w:r w:rsidR="0027028E">
        <w:rPr>
          <w:rFonts w:ascii="Times New Roman" w:hAnsi="Times New Roman"/>
        </w:rPr>
        <w:t>nosilac</w:t>
      </w:r>
      <w:r w:rsidR="00AC4F6E">
        <w:rPr>
          <w:rFonts w:ascii="Times New Roman" w:hAnsi="Times New Roman"/>
        </w:rPr>
        <w:t>a</w:t>
      </w:r>
      <w:r w:rsidR="00A131AD" w:rsidRPr="00155F80">
        <w:rPr>
          <w:rFonts w:ascii="Times New Roman" w:hAnsi="Times New Roman"/>
        </w:rPr>
        <w:t xml:space="preserve"> odluka  na svim </w:t>
      </w:r>
      <w:r w:rsidR="002B489B">
        <w:rPr>
          <w:rFonts w:ascii="Times New Roman" w:hAnsi="Times New Roman"/>
        </w:rPr>
        <w:t>nivo</w:t>
      </w:r>
      <w:r w:rsidR="00AC4F6E">
        <w:rPr>
          <w:rFonts w:ascii="Times New Roman" w:hAnsi="Times New Roman"/>
        </w:rPr>
        <w:t>ma</w:t>
      </w:r>
      <w:r w:rsidR="00A131AD" w:rsidRPr="00155F80">
        <w:rPr>
          <w:rFonts w:ascii="Times New Roman" w:hAnsi="Times New Roman"/>
        </w:rPr>
        <w:t xml:space="preserve">,  ne samo kao respektabilna analiza podataka </w:t>
      </w:r>
      <w:r w:rsidR="00055C26">
        <w:rPr>
          <w:rFonts w:ascii="Times New Roman" w:hAnsi="Times New Roman"/>
        </w:rPr>
        <w:t xml:space="preserve">nego kao i stručno </w:t>
      </w:r>
      <w:r w:rsidR="00512E30">
        <w:rPr>
          <w:rFonts w:ascii="Times New Roman" w:hAnsi="Times New Roman"/>
        </w:rPr>
        <w:t>argumentovana</w:t>
      </w:r>
      <w:r w:rsidR="00A131AD" w:rsidRPr="00155F80">
        <w:rPr>
          <w:rFonts w:ascii="Times New Roman" w:hAnsi="Times New Roman"/>
        </w:rPr>
        <w:t xml:space="preserve"> osnova za donošenje odluka koje će smanjiti nejednakosti u zdravlju stanovništva, om</w:t>
      </w:r>
      <w:r w:rsidR="00055C26">
        <w:rPr>
          <w:rFonts w:ascii="Times New Roman" w:hAnsi="Times New Roman"/>
        </w:rPr>
        <w:t xml:space="preserve">ogućiti promociju prava, </w:t>
      </w:r>
      <w:r w:rsidR="00512E30">
        <w:rPr>
          <w:rFonts w:ascii="Times New Roman" w:hAnsi="Times New Roman"/>
        </w:rPr>
        <w:t>obaveza</w:t>
      </w:r>
      <w:r w:rsidR="00A131AD" w:rsidRPr="00155F80">
        <w:rPr>
          <w:rFonts w:ascii="Times New Roman" w:hAnsi="Times New Roman"/>
        </w:rPr>
        <w:t xml:space="preserve"> i odgovornosti pacijenata, te unaprijediti  org</w:t>
      </w:r>
      <w:r w:rsidR="00CB080B">
        <w:rPr>
          <w:rFonts w:ascii="Times New Roman" w:hAnsi="Times New Roman"/>
        </w:rPr>
        <w:t xml:space="preserve">anizaciju  zdravstvene zaštite </w:t>
      </w:r>
      <w:r w:rsidR="00A131AD" w:rsidRPr="00155F80">
        <w:rPr>
          <w:rFonts w:ascii="Times New Roman" w:hAnsi="Times New Roman"/>
        </w:rPr>
        <w:t xml:space="preserve">u Federaciji BiH, na putu ka zdravijoj zajednici kojoj težimo.  </w:t>
      </w:r>
    </w:p>
    <w:p w:rsidR="00A131AD" w:rsidRPr="00155F80" w:rsidRDefault="00311B76" w:rsidP="000C0138">
      <w:pPr>
        <w:spacing w:line="276" w:lineRule="auto"/>
        <w:ind w:left="7080" w:firstLine="708"/>
        <w:rPr>
          <w:rFonts w:ascii="Times New Roman" w:hAnsi="Times New Roman"/>
        </w:rPr>
      </w:pPr>
      <w:r>
        <w:rPr>
          <w:rFonts w:ascii="Times New Roman" w:hAnsi="Times New Roman"/>
          <w:noProof/>
          <w:sz w:val="24"/>
          <w:szCs w:val="24"/>
          <w:lang w:eastAsia="en-GB"/>
        </w:rPr>
        <w:drawing>
          <wp:anchor distT="0" distB="0" distL="114300" distR="114300" simplePos="0" relativeHeight="251668992" behindDoc="0" locked="0" layoutInCell="1" allowOverlap="1">
            <wp:simplePos x="0" y="0"/>
            <wp:positionH relativeFrom="column">
              <wp:posOffset>2292824</wp:posOffset>
            </wp:positionH>
            <wp:positionV relativeFrom="paragraph">
              <wp:posOffset>117323</wp:posOffset>
            </wp:positionV>
            <wp:extent cx="2461260" cy="17545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1260" cy="1754505"/>
                    </a:xfrm>
                    <a:prstGeom prst="rect">
                      <a:avLst/>
                    </a:prstGeom>
                    <a:noFill/>
                  </pic:spPr>
                </pic:pic>
              </a:graphicData>
            </a:graphic>
            <wp14:sizeRelH relativeFrom="page">
              <wp14:pctWidth>0</wp14:pctWidth>
            </wp14:sizeRelH>
            <wp14:sizeRelV relativeFrom="page">
              <wp14:pctHeight>0</wp14:pctHeight>
            </wp14:sizeRelV>
          </wp:anchor>
        </w:drawing>
      </w:r>
    </w:p>
    <w:p w:rsidR="00A131AD" w:rsidRPr="00155F80" w:rsidRDefault="00A131AD" w:rsidP="000C0138">
      <w:pPr>
        <w:spacing w:line="276" w:lineRule="auto"/>
        <w:ind w:left="7080" w:firstLine="708"/>
        <w:rPr>
          <w:rFonts w:ascii="Times New Roman" w:hAnsi="Times New Roman"/>
        </w:rPr>
      </w:pPr>
    </w:p>
    <w:p w:rsidR="00A131AD" w:rsidRPr="00155F80" w:rsidRDefault="00311B76" w:rsidP="000C0138">
      <w:pPr>
        <w:spacing w:line="276" w:lineRule="auto"/>
        <w:ind w:left="7080" w:firstLine="708"/>
        <w:rPr>
          <w:rFonts w:ascii="Times New Roman" w:hAnsi="Times New Roman"/>
        </w:rPr>
      </w:pPr>
      <w:r w:rsidRPr="002B1B42">
        <w:rPr>
          <w:rFonts w:eastAsiaTheme="minorHAnsi"/>
          <w:noProof/>
          <w:lang w:eastAsia="en-GB"/>
        </w:rPr>
        <mc:AlternateContent>
          <mc:Choice Requires="wps">
            <w:drawing>
              <wp:anchor distT="45720" distB="45720" distL="114300" distR="114300" simplePos="0" relativeHeight="251671040" behindDoc="0" locked="0" layoutInCell="1" allowOverlap="1" wp14:anchorId="7F6489B7" wp14:editId="4F042505">
                <wp:simplePos x="0" y="0"/>
                <wp:positionH relativeFrom="column">
                  <wp:posOffset>4220705</wp:posOffset>
                </wp:positionH>
                <wp:positionV relativeFrom="paragraph">
                  <wp:posOffset>283309</wp:posOffset>
                </wp:positionV>
                <wp:extent cx="14554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404620"/>
                        </a:xfrm>
                        <a:prstGeom prst="rect">
                          <a:avLst/>
                        </a:prstGeom>
                        <a:noFill/>
                        <a:ln w="9525">
                          <a:noFill/>
                          <a:miter lim="800000"/>
                          <a:headEnd/>
                          <a:tailEnd/>
                        </a:ln>
                      </wps:spPr>
                      <wps:txbx>
                        <w:txbxContent>
                          <w:p w:rsidR="00311B76" w:rsidRDefault="00311B76" w:rsidP="00311B76">
                            <w:pPr>
                              <w:jc w:val="center"/>
                            </w:pPr>
                            <w:r>
                              <w:t>DIREKTOR</w:t>
                            </w:r>
                          </w:p>
                          <w:p w:rsidR="00311B76" w:rsidRDefault="00311B76" w:rsidP="00311B76">
                            <w:pPr>
                              <w:jc w:val="center"/>
                            </w:pPr>
                            <w:r>
                              <w:t>Prim. dr Davor Pehar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489B7" id="_x0000_t202" coordsize="21600,21600" o:spt="202" path="m,l,21600r21600,l21600,xe">
                <v:stroke joinstyle="miter"/>
                <v:path gradientshapeok="t" o:connecttype="rect"/>
              </v:shapetype>
              <v:shape id="Text Box 2" o:spid="_x0000_s1026" type="#_x0000_t202" style="position:absolute;left:0;text-align:left;margin-left:332.35pt;margin-top:22.3pt;width:114.6pt;height:110.6pt;z-index:25167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" filled="f" stroked="f">
                <v:textbox style="mso-fit-shape-to-text:t">
                  <w:txbxContent>
                    <w:p w:rsidR="00311B76" w:rsidRDefault="00311B76" w:rsidP="00311B76">
                      <w:pPr>
                        <w:jc w:val="center"/>
                      </w:pPr>
                      <w:r>
                        <w:t>DIREKTOR</w:t>
                      </w:r>
                    </w:p>
                    <w:p w:rsidR="00311B76" w:rsidRDefault="00311B76" w:rsidP="00311B76">
                      <w:pPr>
                        <w:jc w:val="center"/>
                      </w:pPr>
                      <w:r>
                        <w:t>Prim. dr Davor Pehar</w:t>
                      </w:r>
                    </w:p>
                  </w:txbxContent>
                </v:textbox>
                <w10:wrap type="square"/>
              </v:shape>
            </w:pict>
          </mc:Fallback>
        </mc:AlternateContent>
      </w:r>
    </w:p>
    <w:p w:rsidR="002B1B42" w:rsidRDefault="002B1B42" w:rsidP="003E3695">
      <w:pPr>
        <w:pStyle w:val="Poglavlje1"/>
        <w:numPr>
          <w:ilvl w:val="0"/>
          <w:numId w:val="0"/>
        </w:numPr>
        <w:ind w:left="720"/>
        <w:rPr>
          <w:rFonts w:eastAsiaTheme="minorHAnsi"/>
        </w:rPr>
      </w:pPr>
      <w:bookmarkStart w:id="2" w:name="_Toc460929176"/>
    </w:p>
    <w:p w:rsidR="00CB071F" w:rsidRPr="00021055" w:rsidRDefault="00021055" w:rsidP="003E3695">
      <w:pPr>
        <w:pStyle w:val="Poglavlje1"/>
        <w:numPr>
          <w:ilvl w:val="0"/>
          <w:numId w:val="0"/>
        </w:numPr>
        <w:ind w:left="720"/>
        <w:rPr>
          <w:rFonts w:eastAsiaTheme="minorHAnsi"/>
        </w:rPr>
      </w:pPr>
      <w:r w:rsidRPr="00021055">
        <w:rPr>
          <w:rFonts w:eastAsiaTheme="minorHAnsi"/>
        </w:rPr>
        <w:t>SAŽETAK</w:t>
      </w:r>
      <w:bookmarkEnd w:id="2"/>
    </w:p>
    <w:p w:rsidR="00CB071F" w:rsidRDefault="00CB071F" w:rsidP="003E3695">
      <w:pPr>
        <w:spacing w:line="276" w:lineRule="auto"/>
        <w:rPr>
          <w:rFonts w:ascii="Times New Roman" w:hAnsi="Times New Roman"/>
        </w:rPr>
      </w:pPr>
      <w:r w:rsidRPr="003E3695">
        <w:rPr>
          <w:rFonts w:ascii="Times New Roman" w:hAnsi="Times New Roman"/>
        </w:rPr>
        <w:t xml:space="preserve">Zdravstvena zaštita i zdravlje stanovništva ne </w:t>
      </w:r>
      <w:r w:rsidR="00F70FD4">
        <w:rPr>
          <w:rFonts w:ascii="Times New Roman" w:hAnsi="Times New Roman"/>
        </w:rPr>
        <w:t>zavise</w:t>
      </w:r>
      <w:r w:rsidRPr="003E3695">
        <w:rPr>
          <w:rFonts w:ascii="Times New Roman" w:hAnsi="Times New Roman"/>
        </w:rPr>
        <w:t xml:space="preserve"> isključivo o djelovanju zdravstvenog </w:t>
      </w:r>
      <w:r w:rsidR="00512E30">
        <w:rPr>
          <w:rFonts w:ascii="Times New Roman" w:hAnsi="Times New Roman"/>
        </w:rPr>
        <w:t>sistem</w:t>
      </w:r>
      <w:r w:rsidR="00AC4F6E">
        <w:rPr>
          <w:rFonts w:ascii="Times New Roman" w:hAnsi="Times New Roman"/>
        </w:rPr>
        <w:t>a</w:t>
      </w:r>
      <w:r w:rsidRPr="003E3695">
        <w:rPr>
          <w:rFonts w:ascii="Times New Roman" w:hAnsi="Times New Roman"/>
        </w:rPr>
        <w:t xml:space="preserve"> i ne mogu se </w:t>
      </w:r>
      <w:r w:rsidR="00F70FD4">
        <w:rPr>
          <w:rFonts w:ascii="Times New Roman" w:hAnsi="Times New Roman"/>
        </w:rPr>
        <w:t>posmatrati</w:t>
      </w:r>
      <w:r w:rsidRPr="003E3695">
        <w:rPr>
          <w:rFonts w:ascii="Times New Roman" w:hAnsi="Times New Roman"/>
        </w:rPr>
        <w:t xml:space="preserve"> odvojeno od demografskih, socioekonomskih i ekoloških </w:t>
      </w:r>
      <w:r w:rsidR="00CB080B">
        <w:rPr>
          <w:rFonts w:ascii="Times New Roman" w:hAnsi="Times New Roman"/>
        </w:rPr>
        <w:t>pokazatelja</w:t>
      </w:r>
      <w:r w:rsidRPr="003E3695">
        <w:rPr>
          <w:rFonts w:ascii="Times New Roman" w:hAnsi="Times New Roman"/>
        </w:rPr>
        <w:t xml:space="preserve">. </w:t>
      </w:r>
    </w:p>
    <w:p w:rsidR="003E3695" w:rsidRPr="003E3695" w:rsidRDefault="003E3695" w:rsidP="003E3695">
      <w:pPr>
        <w:spacing w:line="276" w:lineRule="auto"/>
        <w:rPr>
          <w:rFonts w:ascii="Times New Roman" w:eastAsiaTheme="minorHAnsi" w:hAnsi="Times New Roman"/>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Stanovništvo</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Prema procjeni Federalnog zavoda za statistiku, u </w:t>
      </w:r>
      <w:r w:rsidR="00F70FD4">
        <w:rPr>
          <w:rFonts w:ascii="Times New Roman" w:hAnsi="Times New Roman"/>
        </w:rPr>
        <w:t>periodu</w:t>
      </w:r>
      <w:r w:rsidR="00AC4F6E">
        <w:rPr>
          <w:rFonts w:ascii="Times New Roman" w:hAnsi="Times New Roman"/>
        </w:rPr>
        <w:t xml:space="preserve"> </w:t>
      </w:r>
      <w:r w:rsidRPr="003E3695">
        <w:rPr>
          <w:rFonts w:ascii="Times New Roman" w:hAnsi="Times New Roman"/>
        </w:rPr>
        <w:t xml:space="preserve">2010.-2015. godine u Federaciji BiH  bilježi se negativan demografski trend, odnosno smanjenje ukupnog broja stanovnika, uz skoro jednak udio žena i muškaraca. </w:t>
      </w:r>
      <w:r w:rsidRPr="003E3695">
        <w:rPr>
          <w:rFonts w:ascii="Times New Roman" w:eastAsiaTheme="minorHAnsi" w:hAnsi="Times New Roman"/>
          <w:lang w:val="bs-Latn-BA"/>
        </w:rPr>
        <w:t>Kao i u zemljama okruženja i E</w:t>
      </w:r>
      <w:r w:rsidR="00AC4F6E">
        <w:rPr>
          <w:rFonts w:ascii="Times New Roman" w:eastAsiaTheme="minorHAnsi" w:hAnsi="Times New Roman"/>
          <w:lang w:val="bs-Latn-BA"/>
        </w:rPr>
        <w:t>u</w:t>
      </w:r>
      <w:r w:rsidRPr="003E3695">
        <w:rPr>
          <w:rFonts w:ascii="Times New Roman" w:eastAsiaTheme="minorHAnsi" w:hAnsi="Times New Roman"/>
          <w:lang w:val="bs-Latn-BA"/>
        </w:rPr>
        <w:t>ropsk</w:t>
      </w:r>
      <w:r w:rsidR="00AC4F6E">
        <w:rPr>
          <w:rFonts w:ascii="Times New Roman" w:eastAsiaTheme="minorHAnsi" w:hAnsi="Times New Roman"/>
          <w:lang w:val="bs-Latn-BA"/>
        </w:rPr>
        <w:t>e</w:t>
      </w:r>
      <w:r w:rsidRPr="003E3695">
        <w:rPr>
          <w:rFonts w:ascii="Times New Roman" w:eastAsiaTheme="minorHAnsi" w:hAnsi="Times New Roman"/>
          <w:lang w:val="bs-Latn-BA"/>
        </w:rPr>
        <w:t xml:space="preserve"> regi</w:t>
      </w:r>
      <w:r w:rsidR="00AC4F6E">
        <w:rPr>
          <w:rFonts w:ascii="Times New Roman" w:eastAsiaTheme="minorHAnsi" w:hAnsi="Times New Roman"/>
          <w:lang w:val="bs-Latn-BA"/>
        </w:rPr>
        <w:t>je</w:t>
      </w:r>
      <w:r w:rsidRPr="003E3695">
        <w:rPr>
          <w:rFonts w:ascii="Times New Roman" w:eastAsiaTheme="minorHAnsi" w:hAnsi="Times New Roman"/>
          <w:lang w:val="bs-Latn-BA"/>
        </w:rPr>
        <w:t xml:space="preserve">, evidentan je trend starenja stanovništva. Stopa nataliteta se kontinuirano smanjuje, stopa </w:t>
      </w:r>
      <w:r w:rsidR="00CB080B">
        <w:rPr>
          <w:rFonts w:ascii="Times New Roman" w:eastAsiaTheme="minorHAnsi" w:hAnsi="Times New Roman"/>
          <w:lang w:val="bs-Latn-BA"/>
        </w:rPr>
        <w:t>opšteg</w:t>
      </w:r>
      <w:r w:rsidRPr="003E3695">
        <w:rPr>
          <w:rFonts w:ascii="Times New Roman" w:eastAsiaTheme="minorHAnsi" w:hAnsi="Times New Roman"/>
          <w:lang w:val="bs-Latn-BA"/>
        </w:rPr>
        <w:t xml:space="preserve"> mortaliteta ima trend porasta, te je posljedica negativna vrijednost stope prirodnog </w:t>
      </w:r>
      <w:r w:rsidR="00512E30">
        <w:rPr>
          <w:rFonts w:ascii="Times New Roman" w:eastAsiaTheme="minorHAnsi" w:hAnsi="Times New Roman"/>
          <w:lang w:val="bs-Latn-BA"/>
        </w:rPr>
        <w:t>priraštaj</w:t>
      </w:r>
      <w:r w:rsidR="00AC4F6E">
        <w:rPr>
          <w:rFonts w:ascii="Times New Roman" w:eastAsiaTheme="minorHAnsi" w:hAnsi="Times New Roman"/>
          <w:lang w:val="bs-Latn-BA"/>
        </w:rPr>
        <w:t>a</w:t>
      </w:r>
      <w:r w:rsidRPr="003E3695">
        <w:rPr>
          <w:rFonts w:ascii="Times New Roman" w:eastAsiaTheme="minorHAnsi" w:hAnsi="Times New Roman"/>
          <w:lang w:val="bs-Latn-BA"/>
        </w:rPr>
        <w:t xml:space="preserve"> (-1%0) u 2015. godini, kada je čak devet kantona, sa izuzetkom </w:t>
      </w:r>
      <w:r w:rsidR="00AC4F6E">
        <w:rPr>
          <w:rFonts w:ascii="Times New Roman" w:eastAsiaTheme="minorHAnsi" w:hAnsi="Times New Roman"/>
          <w:lang w:val="bs-Latn-BA"/>
        </w:rPr>
        <w:t>K</w:t>
      </w:r>
      <w:r w:rsidRPr="003E3695">
        <w:rPr>
          <w:rFonts w:ascii="Times New Roman" w:eastAsiaTheme="minorHAnsi" w:hAnsi="Times New Roman"/>
          <w:lang w:val="bs-Latn-BA"/>
        </w:rPr>
        <w:t xml:space="preserve">antona Sarajevo, imalo negativnu stopu prirodnog </w:t>
      </w:r>
      <w:r w:rsidR="00512E30">
        <w:rPr>
          <w:rFonts w:ascii="Times New Roman" w:eastAsiaTheme="minorHAnsi" w:hAnsi="Times New Roman"/>
          <w:lang w:val="bs-Latn-BA"/>
        </w:rPr>
        <w:t>priraštaj</w:t>
      </w:r>
      <w:r w:rsidR="00AC4F6E">
        <w:rPr>
          <w:rFonts w:ascii="Times New Roman" w:eastAsiaTheme="minorHAnsi" w:hAnsi="Times New Roman"/>
          <w:lang w:val="bs-Latn-BA"/>
        </w:rPr>
        <w:t>a</w:t>
      </w:r>
      <w:r w:rsidRPr="003E3695">
        <w:rPr>
          <w:rFonts w:ascii="Times New Roman" w:eastAsiaTheme="minorHAnsi" w:hAnsi="Times New Roman"/>
          <w:lang w:val="bs-Latn-BA"/>
        </w:rPr>
        <w:t>.</w:t>
      </w:r>
    </w:p>
    <w:p w:rsidR="00CB071F" w:rsidRPr="003E3695" w:rsidRDefault="00CB071F" w:rsidP="003E3695">
      <w:pPr>
        <w:spacing w:line="276" w:lineRule="auto"/>
        <w:rPr>
          <w:rFonts w:ascii="Times New Roman" w:hAnsi="Times New Roman"/>
        </w:rPr>
      </w:pP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Socioekonomski </w:t>
      </w:r>
      <w:r w:rsidR="00F70FD4">
        <w:rPr>
          <w:rFonts w:ascii="Times New Roman" w:hAnsi="Times New Roman"/>
        </w:rPr>
        <w:t>uslovi</w:t>
      </w:r>
      <w:r w:rsidRPr="003E3695">
        <w:rPr>
          <w:rFonts w:ascii="Times New Roman" w:hAnsi="Times New Roman"/>
        </w:rPr>
        <w:t xml:space="preserve"> u Fedearaciji BiH su još uvijek nepovoljni, stopa nezaposlenosti iznosi 29,1% (za muškarce 25,7%, za žene 32,4%), a prosječna neto </w:t>
      </w:r>
      <w:r w:rsidR="00F70FD4">
        <w:rPr>
          <w:rFonts w:ascii="Times New Roman" w:hAnsi="Times New Roman"/>
        </w:rPr>
        <w:t>plata</w:t>
      </w:r>
      <w:r w:rsidRPr="003E3695">
        <w:rPr>
          <w:rFonts w:ascii="Times New Roman" w:hAnsi="Times New Roman"/>
        </w:rPr>
        <w:t xml:space="preserve"> u 2015. godini je bila 830 KM.</w:t>
      </w:r>
    </w:p>
    <w:p w:rsidR="00CB071F" w:rsidRPr="003E3695" w:rsidRDefault="00CB071F" w:rsidP="003E3695">
      <w:pPr>
        <w:spacing w:line="276" w:lineRule="auto"/>
        <w:rPr>
          <w:rFonts w:ascii="Times New Roman" w:hAnsi="Times New Roman"/>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Mortalitet i morbiditet</w:t>
      </w:r>
    </w:p>
    <w:p w:rsidR="00CB071F" w:rsidRPr="003E3695" w:rsidRDefault="00CB071F" w:rsidP="003E3695">
      <w:pPr>
        <w:spacing w:after="160" w:line="276" w:lineRule="auto"/>
        <w:rPr>
          <w:rFonts w:ascii="Times New Roman" w:eastAsiaTheme="minorHAnsi" w:hAnsi="Times New Roman"/>
          <w:lang w:val="bs-Latn-BA"/>
        </w:rPr>
      </w:pPr>
      <w:r w:rsidRPr="003E3695">
        <w:rPr>
          <w:rFonts w:ascii="Times New Roman" w:eastAsiaTheme="minorHAnsi" w:hAnsi="Times New Roman"/>
          <w:lang w:val="bs-Latn-BA"/>
        </w:rPr>
        <w:t>Vodeći uzroci umiranja stanovništva Federacije BiH su oboljenja k</w:t>
      </w:r>
      <w:r w:rsidR="00AC4F6E">
        <w:rPr>
          <w:rFonts w:ascii="Times New Roman" w:eastAsiaTheme="minorHAnsi" w:hAnsi="Times New Roman"/>
          <w:lang w:val="bs-Latn-BA"/>
        </w:rPr>
        <w:t>rvožilnog</w:t>
      </w:r>
      <w:r w:rsidRPr="003E3695">
        <w:rPr>
          <w:rFonts w:ascii="Times New Roman" w:eastAsiaTheme="minorHAnsi" w:hAnsi="Times New Roman"/>
          <w:lang w:val="bs-Latn-BA"/>
        </w:rPr>
        <w:t xml:space="preserve"> </w:t>
      </w:r>
      <w:r w:rsidR="00512E30">
        <w:rPr>
          <w:rFonts w:ascii="Times New Roman" w:eastAsiaTheme="minorHAnsi" w:hAnsi="Times New Roman"/>
          <w:lang w:val="bs-Latn-BA"/>
        </w:rPr>
        <w:t>sistem</w:t>
      </w:r>
      <w:r w:rsidR="00AC4F6E">
        <w:rPr>
          <w:rFonts w:ascii="Times New Roman" w:eastAsiaTheme="minorHAnsi" w:hAnsi="Times New Roman"/>
          <w:lang w:val="bs-Latn-BA"/>
        </w:rPr>
        <w:t>a</w:t>
      </w:r>
      <w:r w:rsidRPr="003E3695">
        <w:rPr>
          <w:rFonts w:ascii="Times New Roman" w:eastAsiaTheme="minorHAnsi" w:hAnsi="Times New Roman"/>
          <w:lang w:val="bs-Latn-BA"/>
        </w:rPr>
        <w:t xml:space="preserve"> (53,8%) i maligne neoplazme (21,0%), te endokrina i metabolička oboljenja sa poremećajima u </w:t>
      </w:r>
      <w:r w:rsidR="00950A64">
        <w:rPr>
          <w:rFonts w:ascii="Times New Roman" w:eastAsiaTheme="minorHAnsi" w:hAnsi="Times New Roman"/>
          <w:lang w:val="bs-Latn-BA"/>
        </w:rPr>
        <w:t>ishrani</w:t>
      </w:r>
      <w:r w:rsidRPr="003E3695">
        <w:rPr>
          <w:rFonts w:ascii="Times New Roman" w:eastAsiaTheme="minorHAnsi" w:hAnsi="Times New Roman"/>
          <w:lang w:val="bs-Latn-BA"/>
        </w:rPr>
        <w:t xml:space="preserve"> (5,5%). Od oboljenja iz ovih grupa umire </w:t>
      </w:r>
      <w:r w:rsidR="001C3C90">
        <w:rPr>
          <w:rFonts w:ascii="Times New Roman" w:eastAsiaTheme="minorHAnsi" w:hAnsi="Times New Roman"/>
          <w:lang w:val="bs-Latn-BA"/>
        </w:rPr>
        <w:t>više od</w:t>
      </w:r>
      <w:r w:rsidRPr="003E3695">
        <w:rPr>
          <w:rFonts w:ascii="Times New Roman" w:eastAsiaTheme="minorHAnsi" w:hAnsi="Times New Roman"/>
          <w:lang w:val="bs-Latn-BA"/>
        </w:rPr>
        <w:t xml:space="preserve"> tri četvrtine od ukupnog broja umrlih godišnje.</w:t>
      </w:r>
    </w:p>
    <w:p w:rsidR="00CB071F" w:rsidRPr="003E3695" w:rsidRDefault="00F70FD4" w:rsidP="003E3695">
      <w:pPr>
        <w:spacing w:after="160" w:line="276" w:lineRule="auto"/>
        <w:rPr>
          <w:rFonts w:ascii="Times New Roman" w:eastAsiaTheme="minorHAnsi" w:hAnsi="Times New Roman"/>
          <w:lang w:val="bs-Latn-BA"/>
        </w:rPr>
      </w:pPr>
      <w:r>
        <w:rPr>
          <w:rFonts w:ascii="Times New Roman" w:eastAsiaTheme="minorHAnsi" w:hAnsi="Times New Roman"/>
          <w:lang w:val="bs-Latn-BA"/>
        </w:rPr>
        <w:t>Hronične</w:t>
      </w:r>
      <w:r w:rsidR="00CB071F" w:rsidRPr="003E3695">
        <w:rPr>
          <w:rFonts w:ascii="Times New Roman" w:eastAsiaTheme="minorHAnsi" w:hAnsi="Times New Roman"/>
          <w:lang w:val="bs-Latn-BA"/>
        </w:rPr>
        <w:t xml:space="preserve"> bolesti pokazuju rast stope obolijevanja, što se posebno odnosi na hipertenzivna oboljenja, dijabetes i dorzopatije.</w:t>
      </w:r>
    </w:p>
    <w:p w:rsidR="00CB071F" w:rsidRPr="003E3695" w:rsidRDefault="00CB071F" w:rsidP="003E3695">
      <w:pPr>
        <w:spacing w:after="160" w:line="276" w:lineRule="auto"/>
        <w:rPr>
          <w:rFonts w:ascii="Times New Roman" w:eastAsiaTheme="minorHAnsi" w:hAnsi="Times New Roman"/>
          <w:lang w:val="bs-Latn-BA"/>
        </w:rPr>
      </w:pPr>
      <w:r w:rsidRPr="003E3695">
        <w:rPr>
          <w:rFonts w:ascii="Times New Roman" w:hAnsi="Times New Roman"/>
          <w:lang w:val="pl-PL"/>
        </w:rPr>
        <w:t xml:space="preserve">Među vodećim zaraznim bolestima najviše je onih iz grupe respiratornih zaraznih bolesti (gripa/bolesti slične gripi, varičele, streptokokna angina, TBC respiratornog </w:t>
      </w:r>
      <w:r w:rsidR="00512E30">
        <w:rPr>
          <w:rFonts w:ascii="Times New Roman" w:hAnsi="Times New Roman"/>
          <w:lang w:val="pl-PL"/>
        </w:rPr>
        <w:t>sistem</w:t>
      </w:r>
      <w:r w:rsidRPr="003E3695">
        <w:rPr>
          <w:rFonts w:ascii="Times New Roman" w:hAnsi="Times New Roman"/>
          <w:lang w:val="pl-PL"/>
        </w:rPr>
        <w:t xml:space="preserve">a, morbili, scarlatina i infektivna mononukleoza). Na visokom trećem mjestu je akutni enterokolitis, te na petom mjestu skabijes. </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Evidentiran je niži obuhvat </w:t>
      </w:r>
      <w:r w:rsidR="000E56ED">
        <w:rPr>
          <w:rFonts w:ascii="Times New Roman" w:hAnsi="Times New Roman"/>
        </w:rPr>
        <w:t>vakcinacijom</w:t>
      </w:r>
      <w:r w:rsidR="001C3C90">
        <w:rPr>
          <w:rFonts w:ascii="Times New Roman" w:hAnsi="Times New Roman"/>
        </w:rPr>
        <w:t xml:space="preserve"> </w:t>
      </w:r>
      <w:r w:rsidRPr="003E3695">
        <w:rPr>
          <w:rFonts w:ascii="Times New Roman" w:hAnsi="Times New Roman"/>
        </w:rPr>
        <w:t xml:space="preserve">u 2015. godini u odnosu na prethodne godine, što vodi ka padu kvaliteta kolektivnog imuniteta populacije protiv određenih zaraznih bolesti i prijeti ponovnim sporadičnim ili epidemijskim javljanjem </w:t>
      </w:r>
      <w:r w:rsidR="000E56ED">
        <w:rPr>
          <w:rFonts w:ascii="Times New Roman" w:hAnsi="Times New Roman"/>
        </w:rPr>
        <w:t>vakcinacijom</w:t>
      </w:r>
      <w:r w:rsidR="001C3C90">
        <w:rPr>
          <w:rFonts w:ascii="Times New Roman" w:hAnsi="Times New Roman"/>
        </w:rPr>
        <w:t xml:space="preserve"> </w:t>
      </w:r>
      <w:r w:rsidRPr="003E3695">
        <w:rPr>
          <w:rFonts w:ascii="Times New Roman" w:hAnsi="Times New Roman"/>
        </w:rPr>
        <w:t>preventabilnih bolesti</w:t>
      </w:r>
      <w:r w:rsidR="001C3C90">
        <w:rPr>
          <w:rFonts w:ascii="Times New Roman" w:hAnsi="Times New Roman"/>
        </w:rPr>
        <w:t>.</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D21A46" w:rsidP="003E3695">
      <w:pPr>
        <w:spacing w:after="160" w:line="276" w:lineRule="auto"/>
        <w:rPr>
          <w:rFonts w:ascii="Times New Roman" w:eastAsiaTheme="minorHAnsi" w:hAnsi="Times New Roman"/>
          <w:b/>
          <w:lang w:val="bs-Latn-BA"/>
        </w:rPr>
      </w:pPr>
      <w:r>
        <w:rPr>
          <w:rFonts w:ascii="Times New Roman" w:eastAsiaTheme="minorHAnsi" w:hAnsi="Times New Roman"/>
          <w:b/>
          <w:lang w:val="bs-Latn-BA"/>
        </w:rPr>
        <w:t>Faktori</w:t>
      </w:r>
      <w:r w:rsidR="00CB071F" w:rsidRPr="003E3695">
        <w:rPr>
          <w:rFonts w:ascii="Times New Roman" w:eastAsiaTheme="minorHAnsi" w:hAnsi="Times New Roman"/>
          <w:b/>
          <w:lang w:val="bs-Latn-BA"/>
        </w:rPr>
        <w:t xml:space="preserve"> rizika po zdravlje</w:t>
      </w:r>
    </w:p>
    <w:p w:rsidR="00CB071F" w:rsidRPr="003E3695" w:rsidRDefault="00CB071F" w:rsidP="003E3695">
      <w:pPr>
        <w:tabs>
          <w:tab w:val="left" w:pos="550"/>
        </w:tabs>
        <w:spacing w:before="120" w:line="276" w:lineRule="auto"/>
        <w:rPr>
          <w:rFonts w:ascii="Times New Roman" w:hAnsi="Times New Roman"/>
          <w:noProof/>
          <w:lang w:val="hr-HR" w:eastAsia="de-DE"/>
        </w:rPr>
      </w:pPr>
      <w:r w:rsidRPr="003E3695">
        <w:rPr>
          <w:rFonts w:ascii="Times New Roman" w:hAnsi="Times New Roman"/>
          <w:noProof/>
          <w:lang w:val="hr-HR" w:eastAsia="de-DE"/>
        </w:rPr>
        <w:t>Zna</w:t>
      </w:r>
      <w:r w:rsidR="00EE5188">
        <w:rPr>
          <w:rFonts w:ascii="Times New Roman" w:hAnsi="Times New Roman"/>
          <w:noProof/>
          <w:lang w:val="hr-HR" w:eastAsia="de-DE"/>
        </w:rPr>
        <w:t>tna</w:t>
      </w:r>
      <w:r w:rsidRPr="003E3695">
        <w:rPr>
          <w:rFonts w:ascii="Times New Roman" w:hAnsi="Times New Roman"/>
          <w:noProof/>
          <w:lang w:val="hr-HR" w:eastAsia="de-DE"/>
        </w:rPr>
        <w:t xml:space="preserve"> je prisutnost </w:t>
      </w:r>
      <w:r w:rsidR="00D21A46">
        <w:rPr>
          <w:rFonts w:ascii="Times New Roman" w:hAnsi="Times New Roman"/>
          <w:noProof/>
          <w:lang w:val="hr-HR" w:eastAsia="de-DE"/>
        </w:rPr>
        <w:t>faktor</w:t>
      </w:r>
      <w:r w:rsidR="001C3C90">
        <w:rPr>
          <w:rFonts w:ascii="Times New Roman" w:hAnsi="Times New Roman"/>
          <w:noProof/>
          <w:lang w:val="hr-HR" w:eastAsia="de-DE"/>
        </w:rPr>
        <w:t>a</w:t>
      </w:r>
      <w:r w:rsidRPr="003E3695">
        <w:rPr>
          <w:rFonts w:ascii="Times New Roman" w:hAnsi="Times New Roman"/>
          <w:noProof/>
          <w:lang w:val="hr-HR" w:eastAsia="de-DE"/>
        </w:rPr>
        <w:t xml:space="preserve"> rizika po zdravlje stanovništva: duhan konzumira 44,1% odraslih, alkohol  28,8%, preko petine (21,2%) odraslih je </w:t>
      </w:r>
      <w:r w:rsidR="001C3C90">
        <w:rPr>
          <w:rFonts w:ascii="Times New Roman" w:hAnsi="Times New Roman"/>
          <w:noProof/>
          <w:lang w:val="hr-HR" w:eastAsia="de-DE"/>
        </w:rPr>
        <w:t>pretilo</w:t>
      </w:r>
      <w:r w:rsidRPr="003E3695">
        <w:rPr>
          <w:rFonts w:ascii="Times New Roman" w:hAnsi="Times New Roman"/>
          <w:noProof/>
          <w:lang w:val="hr-HR" w:eastAsia="de-DE"/>
        </w:rPr>
        <w:t xml:space="preserve">, a </w:t>
      </w:r>
      <w:r w:rsidR="00671193">
        <w:rPr>
          <w:rFonts w:ascii="Times New Roman" w:hAnsi="Times New Roman"/>
          <w:noProof/>
          <w:lang w:val="hr-HR" w:eastAsia="de-DE"/>
        </w:rPr>
        <w:t>tjelesno</w:t>
      </w:r>
      <w:r w:rsidRPr="003E3695">
        <w:rPr>
          <w:rFonts w:ascii="Times New Roman" w:hAnsi="Times New Roman"/>
          <w:noProof/>
          <w:lang w:val="hr-HR" w:eastAsia="de-DE"/>
        </w:rPr>
        <w:t xml:space="preserve"> aktivnih je samo </w:t>
      </w:r>
      <w:r w:rsidRPr="003E3695">
        <w:rPr>
          <w:rFonts w:ascii="Times New Roman" w:eastAsiaTheme="minorHAnsi" w:hAnsi="Times New Roman"/>
          <w:lang w:val="hr-HR"/>
        </w:rPr>
        <w:t>24,6% stanovnika.</w:t>
      </w:r>
    </w:p>
    <w:p w:rsidR="00CB071F" w:rsidRPr="003E3695" w:rsidRDefault="00CB071F" w:rsidP="003E3695">
      <w:pPr>
        <w:spacing w:line="276" w:lineRule="auto"/>
        <w:rPr>
          <w:rFonts w:ascii="Times New Roman" w:hAnsi="Times New Roman"/>
        </w:rPr>
      </w:pPr>
    </w:p>
    <w:p w:rsidR="00CB071F" w:rsidRPr="003E3695" w:rsidRDefault="001C3C90" w:rsidP="003E3695">
      <w:pPr>
        <w:spacing w:line="276" w:lineRule="auto"/>
        <w:rPr>
          <w:rFonts w:ascii="Times New Roman" w:hAnsi="Times New Roman"/>
          <w:lang w:val="bs-Latn-BA"/>
        </w:rPr>
      </w:pPr>
      <w:r>
        <w:rPr>
          <w:rFonts w:ascii="Times New Roman" w:hAnsi="Times New Roman"/>
        </w:rPr>
        <w:t>Onečišćena</w:t>
      </w:r>
      <w:r w:rsidR="00CB071F" w:rsidRPr="003E3695">
        <w:rPr>
          <w:rFonts w:ascii="Times New Roman" w:hAnsi="Times New Roman"/>
          <w:lang w:val="bs-Latn-BA"/>
        </w:rPr>
        <w:t xml:space="preserve"> </w:t>
      </w:r>
      <w:r w:rsidR="00CB071F" w:rsidRPr="003E3695">
        <w:rPr>
          <w:rFonts w:ascii="Times New Roman" w:hAnsi="Times New Roman"/>
        </w:rPr>
        <w:t>voda</w:t>
      </w:r>
      <w:r w:rsidR="00CB071F" w:rsidRPr="003E3695">
        <w:rPr>
          <w:rFonts w:ascii="Times New Roman" w:hAnsi="Times New Roman"/>
          <w:lang w:val="bs-Latn-BA"/>
        </w:rPr>
        <w:t xml:space="preserve">, </w:t>
      </w:r>
      <w:r w:rsidR="00CB071F" w:rsidRPr="003E3695">
        <w:rPr>
          <w:rFonts w:ascii="Times New Roman" w:hAnsi="Times New Roman"/>
        </w:rPr>
        <w:t>hrana</w:t>
      </w:r>
      <w:r w:rsidR="00CB071F" w:rsidRPr="003E3695">
        <w:rPr>
          <w:rFonts w:ascii="Times New Roman" w:hAnsi="Times New Roman"/>
          <w:lang w:val="bs-Latn-BA"/>
        </w:rPr>
        <w:t xml:space="preserve">, </w:t>
      </w:r>
      <w:r w:rsidR="00CB071F" w:rsidRPr="003E3695">
        <w:rPr>
          <w:rFonts w:ascii="Times New Roman" w:hAnsi="Times New Roman"/>
        </w:rPr>
        <w:t>zrak</w:t>
      </w:r>
      <w:r w:rsidR="00CB071F" w:rsidRPr="003E3695">
        <w:rPr>
          <w:rFonts w:ascii="Times New Roman" w:hAnsi="Times New Roman"/>
          <w:lang w:val="bs-Latn-BA"/>
        </w:rPr>
        <w:t xml:space="preserve"> </w:t>
      </w:r>
      <w:r w:rsidR="00CB071F" w:rsidRPr="003E3695">
        <w:rPr>
          <w:rFonts w:ascii="Times New Roman" w:hAnsi="Times New Roman"/>
        </w:rPr>
        <w:t>i</w:t>
      </w:r>
      <w:r w:rsidR="00CB071F" w:rsidRPr="003E3695">
        <w:rPr>
          <w:rFonts w:ascii="Times New Roman" w:hAnsi="Times New Roman"/>
          <w:lang w:val="bs-Latn-BA"/>
        </w:rPr>
        <w:t xml:space="preserve"> </w:t>
      </w:r>
      <w:r w:rsidR="00CB071F" w:rsidRPr="003E3695">
        <w:rPr>
          <w:rFonts w:ascii="Times New Roman" w:hAnsi="Times New Roman"/>
        </w:rPr>
        <w:t>otpadne</w:t>
      </w:r>
      <w:r w:rsidR="00CB071F" w:rsidRPr="003E3695">
        <w:rPr>
          <w:rFonts w:ascii="Times New Roman" w:hAnsi="Times New Roman"/>
          <w:lang w:val="bs-Latn-BA"/>
        </w:rPr>
        <w:t xml:space="preserve"> </w:t>
      </w:r>
      <w:r w:rsidR="00CB071F" w:rsidRPr="003E3695">
        <w:rPr>
          <w:rFonts w:ascii="Times New Roman" w:hAnsi="Times New Roman"/>
        </w:rPr>
        <w:t>materije</w:t>
      </w:r>
      <w:r w:rsidR="00CB071F" w:rsidRPr="003E3695">
        <w:rPr>
          <w:rFonts w:ascii="Times New Roman" w:hAnsi="Times New Roman"/>
          <w:lang w:val="bs-Latn-BA"/>
        </w:rPr>
        <w:t xml:space="preserve"> </w:t>
      </w:r>
      <w:r w:rsidR="00CB071F" w:rsidRPr="003E3695">
        <w:rPr>
          <w:rFonts w:ascii="Times New Roman" w:hAnsi="Times New Roman"/>
        </w:rPr>
        <w:t>spadaju</w:t>
      </w:r>
      <w:r w:rsidR="00CB071F" w:rsidRPr="003E3695">
        <w:rPr>
          <w:rFonts w:ascii="Times New Roman" w:hAnsi="Times New Roman"/>
          <w:lang w:val="bs-Latn-BA"/>
        </w:rPr>
        <w:t xml:space="preserve"> </w:t>
      </w:r>
      <w:r w:rsidR="00CB071F" w:rsidRPr="003E3695">
        <w:rPr>
          <w:rFonts w:ascii="Times New Roman" w:hAnsi="Times New Roman"/>
        </w:rPr>
        <w:t>u</w:t>
      </w:r>
      <w:r w:rsidR="00CB071F" w:rsidRPr="003E3695">
        <w:rPr>
          <w:rFonts w:ascii="Times New Roman" w:hAnsi="Times New Roman"/>
          <w:lang w:val="bs-Latn-BA"/>
        </w:rPr>
        <w:t xml:space="preserve"> </w:t>
      </w:r>
      <w:r w:rsidR="00CB071F" w:rsidRPr="003E3695">
        <w:rPr>
          <w:rFonts w:ascii="Times New Roman" w:hAnsi="Times New Roman"/>
        </w:rPr>
        <w:t>vode</w:t>
      </w:r>
      <w:r w:rsidR="00CB071F" w:rsidRPr="003E3695">
        <w:rPr>
          <w:rFonts w:ascii="Times New Roman" w:hAnsi="Times New Roman"/>
          <w:lang w:val="bs-Latn-BA"/>
        </w:rPr>
        <w:t>ć</w:t>
      </w:r>
      <w:r w:rsidR="00CB071F" w:rsidRPr="003E3695">
        <w:rPr>
          <w:rFonts w:ascii="Times New Roman" w:hAnsi="Times New Roman"/>
        </w:rPr>
        <w:t>e</w:t>
      </w:r>
      <w:r w:rsidR="00CB071F" w:rsidRPr="003E3695">
        <w:rPr>
          <w:rFonts w:ascii="Times New Roman" w:hAnsi="Times New Roman"/>
          <w:lang w:val="bs-Latn-BA"/>
        </w:rPr>
        <w:t xml:space="preserve"> </w:t>
      </w:r>
      <w:r w:rsidR="00CB071F" w:rsidRPr="003E3695">
        <w:rPr>
          <w:rFonts w:ascii="Times New Roman" w:hAnsi="Times New Roman"/>
        </w:rPr>
        <w:t>javno</w:t>
      </w:r>
      <w:r w:rsidR="00CB071F" w:rsidRPr="003E3695">
        <w:rPr>
          <w:rFonts w:ascii="Times New Roman" w:hAnsi="Times New Roman"/>
          <w:lang w:val="bs-Latn-BA"/>
        </w:rPr>
        <w:t xml:space="preserve"> </w:t>
      </w:r>
      <w:r w:rsidR="00CB071F" w:rsidRPr="003E3695">
        <w:rPr>
          <w:rFonts w:ascii="Times New Roman" w:hAnsi="Times New Roman"/>
        </w:rPr>
        <w:t>zdravstvene</w:t>
      </w:r>
      <w:r w:rsidR="00CB071F" w:rsidRPr="003E3695">
        <w:rPr>
          <w:rFonts w:ascii="Times New Roman" w:hAnsi="Times New Roman"/>
          <w:lang w:val="bs-Latn-BA"/>
        </w:rPr>
        <w:t xml:space="preserve"> </w:t>
      </w:r>
      <w:r w:rsidR="00CB071F" w:rsidRPr="003E3695">
        <w:rPr>
          <w:rFonts w:ascii="Times New Roman" w:hAnsi="Times New Roman"/>
        </w:rPr>
        <w:t>probleme</w:t>
      </w:r>
      <w:r w:rsidR="00CB071F" w:rsidRPr="003E3695">
        <w:rPr>
          <w:rFonts w:ascii="Times New Roman" w:hAnsi="Times New Roman"/>
          <w:lang w:val="bs-Latn-BA"/>
        </w:rPr>
        <w:t xml:space="preserve"> </w:t>
      </w:r>
      <w:r w:rsidR="00CB071F" w:rsidRPr="003E3695">
        <w:rPr>
          <w:rFonts w:ascii="Times New Roman" w:hAnsi="Times New Roman"/>
        </w:rPr>
        <w:t>koji</w:t>
      </w:r>
      <w:r w:rsidR="00CB071F" w:rsidRPr="003E3695">
        <w:rPr>
          <w:rFonts w:ascii="Times New Roman" w:hAnsi="Times New Roman"/>
          <w:lang w:val="bs-Latn-BA"/>
        </w:rPr>
        <w:t xml:space="preserve"> </w:t>
      </w:r>
      <w:r w:rsidR="00CB071F" w:rsidRPr="003E3695">
        <w:rPr>
          <w:rFonts w:ascii="Times New Roman" w:hAnsi="Times New Roman"/>
        </w:rPr>
        <w:t>zahtijevaju</w:t>
      </w:r>
      <w:r w:rsidR="00CB071F" w:rsidRPr="003E3695">
        <w:rPr>
          <w:rFonts w:ascii="Times New Roman" w:hAnsi="Times New Roman"/>
          <w:lang w:val="bs-Latn-BA"/>
        </w:rPr>
        <w:t xml:space="preserve"> </w:t>
      </w:r>
      <w:r w:rsidR="00CB071F" w:rsidRPr="003E3695">
        <w:rPr>
          <w:rFonts w:ascii="Times New Roman" w:hAnsi="Times New Roman"/>
        </w:rPr>
        <w:t>stalni</w:t>
      </w:r>
      <w:r w:rsidR="00CB071F" w:rsidRPr="003E3695">
        <w:rPr>
          <w:rFonts w:ascii="Times New Roman" w:hAnsi="Times New Roman"/>
          <w:lang w:val="bs-Latn-BA"/>
        </w:rPr>
        <w:t xml:space="preserve"> </w:t>
      </w:r>
      <w:r w:rsidR="00CB071F" w:rsidRPr="003E3695">
        <w:rPr>
          <w:rFonts w:ascii="Times New Roman" w:hAnsi="Times New Roman"/>
        </w:rPr>
        <w:t>nadzor</w:t>
      </w:r>
      <w:r w:rsidR="00CB071F" w:rsidRPr="003E3695">
        <w:rPr>
          <w:rFonts w:ascii="Times New Roman" w:hAnsi="Times New Roman"/>
          <w:lang w:val="bs-Latn-BA"/>
        </w:rPr>
        <w:t xml:space="preserve">. </w:t>
      </w:r>
      <w:r w:rsidR="00CB071F" w:rsidRPr="003E3695">
        <w:rPr>
          <w:rFonts w:ascii="Times New Roman" w:hAnsi="Times New Roman"/>
        </w:rPr>
        <w:t xml:space="preserve">Na području Federacije BiH, na centralni </w:t>
      </w:r>
      <w:r w:rsidR="00512E30">
        <w:rPr>
          <w:rFonts w:ascii="Times New Roman" w:hAnsi="Times New Roman"/>
        </w:rPr>
        <w:t>sistem</w:t>
      </w:r>
      <w:r w:rsidR="00CB071F" w:rsidRPr="003E3695">
        <w:rPr>
          <w:rFonts w:ascii="Times New Roman" w:hAnsi="Times New Roman"/>
        </w:rPr>
        <w:t xml:space="preserve"> </w:t>
      </w:r>
      <w:r w:rsidR="00F70FD4">
        <w:rPr>
          <w:rFonts w:ascii="Times New Roman" w:hAnsi="Times New Roman"/>
        </w:rPr>
        <w:t>vodosnabdijevanja</w:t>
      </w:r>
      <w:r w:rsidR="00CB071F" w:rsidRPr="003E3695">
        <w:rPr>
          <w:rFonts w:ascii="Times New Roman" w:hAnsi="Times New Roman"/>
        </w:rPr>
        <w:t xml:space="preserve"> priključeno </w:t>
      </w:r>
      <w:r>
        <w:rPr>
          <w:rFonts w:ascii="Times New Roman" w:hAnsi="Times New Roman"/>
        </w:rPr>
        <w:t xml:space="preserve">je </w:t>
      </w:r>
      <w:r w:rsidR="00CB071F" w:rsidRPr="003E3695">
        <w:rPr>
          <w:rFonts w:ascii="Times New Roman" w:hAnsi="Times New Roman"/>
        </w:rPr>
        <w:t xml:space="preserve">60% stanovništva, a </w:t>
      </w:r>
      <w:r w:rsidR="00950A64">
        <w:rPr>
          <w:rFonts w:ascii="Times New Roman" w:hAnsi="Times New Roman"/>
        </w:rPr>
        <w:t>pobol</w:t>
      </w:r>
      <w:r w:rsidR="00CB071F" w:rsidRPr="003E3695">
        <w:rPr>
          <w:rFonts w:ascii="Times New Roman" w:hAnsi="Times New Roman"/>
        </w:rPr>
        <w:t>jšane izvore vode za piće (voda iz vodovoda, zaštićeni bunar, zaštićeni izvor) koristi 99,6% stanovništva. Na kanalizaci</w:t>
      </w:r>
      <w:r>
        <w:rPr>
          <w:rFonts w:ascii="Times New Roman" w:hAnsi="Times New Roman"/>
        </w:rPr>
        <w:t xml:space="preserve">jski </w:t>
      </w:r>
      <w:r w:rsidR="00512E30">
        <w:rPr>
          <w:rFonts w:ascii="Times New Roman" w:hAnsi="Times New Roman"/>
        </w:rPr>
        <w:t>sistem</w:t>
      </w:r>
      <w:r w:rsidR="00CB071F" w:rsidRPr="003E3695">
        <w:rPr>
          <w:rFonts w:ascii="Times New Roman" w:hAnsi="Times New Roman"/>
        </w:rPr>
        <w:t xml:space="preserve"> priključeno </w:t>
      </w:r>
      <w:r>
        <w:rPr>
          <w:rFonts w:ascii="Times New Roman" w:hAnsi="Times New Roman"/>
        </w:rPr>
        <w:t xml:space="preserve">je </w:t>
      </w:r>
      <w:r w:rsidR="00CB071F" w:rsidRPr="003E3695">
        <w:rPr>
          <w:rFonts w:ascii="Times New Roman" w:hAnsi="Times New Roman"/>
        </w:rPr>
        <w:t xml:space="preserve">57,5% stanovništva. </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Nepropisno uklanjanje opasnih otpadnih materija, naročito industrijskog i medicinskog otpada, predstavlja jednu od najozbiljnijih prijetnji zdravlju stanovništva. Na komunalnim deponijama se odlaže 55% potencijalno infektivnog, 23% </w:t>
      </w:r>
      <w:r w:rsidR="00950A64">
        <w:rPr>
          <w:rFonts w:ascii="Times New Roman" w:hAnsi="Times New Roman"/>
        </w:rPr>
        <w:t>hemijskog</w:t>
      </w:r>
      <w:r w:rsidRPr="003E3695">
        <w:rPr>
          <w:rFonts w:ascii="Times New Roman" w:hAnsi="Times New Roman"/>
        </w:rPr>
        <w:t xml:space="preserve"> i 20% farmaceutskog otpada iz zdravstvenih ustanova. </w:t>
      </w:r>
    </w:p>
    <w:p w:rsidR="00CB071F" w:rsidRPr="003E3695" w:rsidRDefault="00950A64" w:rsidP="003E3695">
      <w:pPr>
        <w:spacing w:line="276" w:lineRule="auto"/>
        <w:rPr>
          <w:rFonts w:ascii="Times New Roman" w:hAnsi="Times New Roman"/>
        </w:rPr>
      </w:pPr>
      <w:r>
        <w:rPr>
          <w:rFonts w:ascii="Times New Roman" w:hAnsi="Times New Roman"/>
        </w:rPr>
        <w:t>Nekontrolisano</w:t>
      </w:r>
      <w:r w:rsidR="00CB071F" w:rsidRPr="003E3695">
        <w:rPr>
          <w:rFonts w:ascii="Times New Roman" w:hAnsi="Times New Roman"/>
        </w:rPr>
        <w:t xml:space="preserve"> odlaganje i s</w:t>
      </w:r>
      <w:r>
        <w:rPr>
          <w:rFonts w:ascii="Times New Roman" w:hAnsi="Times New Roman"/>
        </w:rPr>
        <w:t>tvaranj</w:t>
      </w:r>
      <w:r w:rsidR="00CB071F" w:rsidRPr="003E3695">
        <w:rPr>
          <w:rFonts w:ascii="Times New Roman" w:hAnsi="Times New Roman"/>
        </w:rPr>
        <w:t>e „divljih deponija“ karakteristično je za čvrsti otpad, dok se tečne otpadne materije u većini slučajeva ulijevaju u vodotoke bez prethodnog prečišćavanja.</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line="276" w:lineRule="auto"/>
        <w:rPr>
          <w:rFonts w:ascii="Times New Roman" w:hAnsi="Times New Roman"/>
        </w:rPr>
      </w:pPr>
      <w:r w:rsidRPr="003E3695">
        <w:rPr>
          <w:rFonts w:ascii="Times New Roman" w:hAnsi="Times New Roman"/>
        </w:rPr>
        <w:t>U</w:t>
      </w:r>
      <w:r w:rsidRPr="003E3695">
        <w:rPr>
          <w:rFonts w:ascii="Times New Roman" w:hAnsi="Times New Roman"/>
          <w:lang w:val="bs-Latn-BA"/>
        </w:rPr>
        <w:t xml:space="preserve"> </w:t>
      </w:r>
      <w:r w:rsidR="00F70FD4">
        <w:rPr>
          <w:rFonts w:ascii="Times New Roman" w:hAnsi="Times New Roman"/>
        </w:rPr>
        <w:t>periodu</w:t>
      </w:r>
      <w:r w:rsidRPr="003E3695">
        <w:rPr>
          <w:rFonts w:ascii="Times New Roman" w:hAnsi="Times New Roman"/>
          <w:lang w:val="bs-Latn-BA"/>
        </w:rPr>
        <w:t xml:space="preserve"> 2013-2015. </w:t>
      </w:r>
      <w:r w:rsidRPr="003E3695">
        <w:rPr>
          <w:rFonts w:ascii="Times New Roman" w:hAnsi="Times New Roman"/>
        </w:rPr>
        <w:t>godine</w:t>
      </w:r>
      <w:r w:rsidRPr="003E3695">
        <w:rPr>
          <w:rFonts w:ascii="Times New Roman" w:hAnsi="Times New Roman"/>
          <w:lang w:val="bs-Latn-BA"/>
        </w:rPr>
        <w:t xml:space="preserve">, </w:t>
      </w:r>
      <w:r w:rsidRPr="003E3695">
        <w:rPr>
          <w:rFonts w:ascii="Times New Roman" w:hAnsi="Times New Roman"/>
        </w:rPr>
        <w:t>na</w:t>
      </w:r>
      <w:r w:rsidRPr="003E3695">
        <w:rPr>
          <w:rFonts w:ascii="Times New Roman" w:hAnsi="Times New Roman"/>
          <w:lang w:val="bs-Latn-BA"/>
        </w:rPr>
        <w:t xml:space="preserve"> </w:t>
      </w:r>
      <w:r w:rsidRPr="003E3695">
        <w:rPr>
          <w:rFonts w:ascii="Times New Roman" w:hAnsi="Times New Roman"/>
        </w:rPr>
        <w:t>podru</w:t>
      </w:r>
      <w:r w:rsidRPr="003E3695">
        <w:rPr>
          <w:rFonts w:ascii="Times New Roman" w:hAnsi="Times New Roman"/>
          <w:lang w:val="bs-Latn-BA"/>
        </w:rPr>
        <w:t>č</w:t>
      </w:r>
      <w:r w:rsidRPr="003E3695">
        <w:rPr>
          <w:rFonts w:ascii="Times New Roman" w:hAnsi="Times New Roman"/>
        </w:rPr>
        <w:t>ju</w:t>
      </w:r>
      <w:r w:rsidRPr="003E3695">
        <w:rPr>
          <w:rFonts w:ascii="Times New Roman" w:hAnsi="Times New Roman"/>
          <w:lang w:val="bs-Latn-BA"/>
        </w:rPr>
        <w:t xml:space="preserve"> </w:t>
      </w:r>
      <w:r w:rsidRPr="003E3695">
        <w:rPr>
          <w:rFonts w:ascii="Times New Roman" w:hAnsi="Times New Roman"/>
        </w:rPr>
        <w:t>Federacije</w:t>
      </w:r>
      <w:r w:rsidRPr="003E3695">
        <w:rPr>
          <w:rFonts w:ascii="Times New Roman" w:hAnsi="Times New Roman"/>
          <w:lang w:val="bs-Latn-BA"/>
        </w:rPr>
        <w:t xml:space="preserve"> </w:t>
      </w:r>
      <w:r w:rsidRPr="003E3695">
        <w:rPr>
          <w:rFonts w:ascii="Times New Roman" w:hAnsi="Times New Roman"/>
        </w:rPr>
        <w:t>BiH</w:t>
      </w:r>
      <w:r w:rsidRPr="003E3695">
        <w:rPr>
          <w:rFonts w:ascii="Times New Roman" w:hAnsi="Times New Roman"/>
          <w:lang w:val="bs-Latn-BA"/>
        </w:rPr>
        <w:t xml:space="preserve"> </w:t>
      </w:r>
      <w:r w:rsidRPr="003E3695">
        <w:rPr>
          <w:rFonts w:ascii="Times New Roman" w:hAnsi="Times New Roman"/>
        </w:rPr>
        <w:t>od</w:t>
      </w:r>
      <w:r w:rsidRPr="003E3695">
        <w:rPr>
          <w:rFonts w:ascii="Times New Roman" w:hAnsi="Times New Roman"/>
          <w:lang w:val="bs-Latn-BA"/>
        </w:rPr>
        <w:t xml:space="preserve"> </w:t>
      </w:r>
      <w:r w:rsidRPr="003E3695">
        <w:rPr>
          <w:rFonts w:ascii="Times New Roman" w:hAnsi="Times New Roman"/>
        </w:rPr>
        <w:t>mina</w:t>
      </w:r>
      <w:r w:rsidRPr="003E3695">
        <w:rPr>
          <w:rFonts w:ascii="Times New Roman" w:hAnsi="Times New Roman"/>
          <w:lang w:val="bs-Latn-BA"/>
        </w:rPr>
        <w:t xml:space="preserve"> </w:t>
      </w:r>
      <w:r w:rsidRPr="003E3695">
        <w:rPr>
          <w:rFonts w:ascii="Times New Roman" w:hAnsi="Times New Roman"/>
        </w:rPr>
        <w:t>i</w:t>
      </w:r>
      <w:r w:rsidRPr="003E3695">
        <w:rPr>
          <w:rFonts w:ascii="Times New Roman" w:hAnsi="Times New Roman"/>
          <w:lang w:val="bs-Latn-BA"/>
        </w:rPr>
        <w:t xml:space="preserve"> </w:t>
      </w:r>
      <w:r w:rsidRPr="003E3695">
        <w:rPr>
          <w:rFonts w:ascii="Times New Roman" w:hAnsi="Times New Roman"/>
        </w:rPr>
        <w:t>eksplozivnih</w:t>
      </w:r>
      <w:r w:rsidRPr="003E3695">
        <w:rPr>
          <w:rFonts w:ascii="Times New Roman" w:hAnsi="Times New Roman"/>
          <w:lang w:val="bs-Latn-BA"/>
        </w:rPr>
        <w:t xml:space="preserve"> </w:t>
      </w:r>
      <w:r w:rsidRPr="003E3695">
        <w:rPr>
          <w:rFonts w:ascii="Times New Roman" w:hAnsi="Times New Roman"/>
        </w:rPr>
        <w:t>sredstava</w:t>
      </w:r>
      <w:r w:rsidRPr="003E3695">
        <w:rPr>
          <w:rFonts w:ascii="Times New Roman" w:hAnsi="Times New Roman"/>
          <w:lang w:val="bs-Latn-BA"/>
        </w:rPr>
        <w:t xml:space="preserve"> </w:t>
      </w:r>
      <w:r w:rsidRPr="003E3695">
        <w:rPr>
          <w:rFonts w:ascii="Times New Roman" w:hAnsi="Times New Roman"/>
        </w:rPr>
        <w:t>povrije</w:t>
      </w:r>
      <w:r w:rsidRPr="003E3695">
        <w:rPr>
          <w:rFonts w:ascii="Times New Roman" w:hAnsi="Times New Roman"/>
          <w:lang w:val="bs-Latn-BA"/>
        </w:rPr>
        <w:t>đ</w:t>
      </w:r>
      <w:r w:rsidRPr="003E3695">
        <w:rPr>
          <w:rFonts w:ascii="Times New Roman" w:hAnsi="Times New Roman"/>
        </w:rPr>
        <w:t>eno</w:t>
      </w:r>
      <w:r w:rsidRPr="003E3695">
        <w:rPr>
          <w:rFonts w:ascii="Times New Roman" w:hAnsi="Times New Roman"/>
          <w:lang w:val="bs-Latn-BA"/>
        </w:rPr>
        <w:t xml:space="preserve"> </w:t>
      </w:r>
      <w:r w:rsidRPr="003E3695">
        <w:rPr>
          <w:rFonts w:ascii="Times New Roman" w:hAnsi="Times New Roman"/>
        </w:rPr>
        <w:t>je 15</w:t>
      </w:r>
      <w:r w:rsidRPr="003E3695">
        <w:rPr>
          <w:rFonts w:ascii="Times New Roman" w:hAnsi="Times New Roman"/>
          <w:lang w:val="bs-Latn-BA"/>
        </w:rPr>
        <w:t xml:space="preserve">, </w:t>
      </w:r>
      <w:r w:rsidRPr="003E3695">
        <w:rPr>
          <w:rFonts w:ascii="Times New Roman" w:hAnsi="Times New Roman"/>
        </w:rPr>
        <w:t>dok</w:t>
      </w:r>
      <w:r w:rsidRPr="003E3695">
        <w:rPr>
          <w:rFonts w:ascii="Times New Roman" w:hAnsi="Times New Roman"/>
          <w:lang w:val="bs-Latn-BA"/>
        </w:rPr>
        <w:t xml:space="preserve"> </w:t>
      </w:r>
      <w:r w:rsidRPr="003E3695">
        <w:rPr>
          <w:rFonts w:ascii="Times New Roman" w:hAnsi="Times New Roman"/>
        </w:rPr>
        <w:t>je</w:t>
      </w:r>
      <w:r w:rsidRPr="003E3695">
        <w:rPr>
          <w:rFonts w:ascii="Times New Roman" w:hAnsi="Times New Roman"/>
          <w:lang w:val="bs-Latn-BA"/>
        </w:rPr>
        <w:t xml:space="preserve"> </w:t>
      </w:r>
      <w:r w:rsidRPr="003E3695">
        <w:rPr>
          <w:rFonts w:ascii="Times New Roman" w:hAnsi="Times New Roman"/>
        </w:rPr>
        <w:t>smrtno</w:t>
      </w:r>
      <w:r w:rsidRPr="003E3695">
        <w:rPr>
          <w:rFonts w:ascii="Times New Roman" w:hAnsi="Times New Roman"/>
          <w:lang w:val="bs-Latn-BA"/>
        </w:rPr>
        <w:t xml:space="preserve"> </w:t>
      </w:r>
      <w:r w:rsidRPr="003E3695">
        <w:rPr>
          <w:rFonts w:ascii="Times New Roman" w:hAnsi="Times New Roman"/>
        </w:rPr>
        <w:t>stradalo</w:t>
      </w:r>
      <w:r w:rsidRPr="003E3695">
        <w:rPr>
          <w:rFonts w:ascii="Times New Roman" w:hAnsi="Times New Roman"/>
          <w:lang w:val="bs-Latn-BA"/>
        </w:rPr>
        <w:t xml:space="preserve"> 8 </w:t>
      </w:r>
      <w:r w:rsidRPr="003E3695">
        <w:rPr>
          <w:rFonts w:ascii="Times New Roman" w:hAnsi="Times New Roman"/>
        </w:rPr>
        <w:t>osoba</w:t>
      </w:r>
      <w:r w:rsidRPr="003E3695">
        <w:rPr>
          <w:rFonts w:ascii="Times New Roman" w:hAnsi="Times New Roman"/>
          <w:lang w:val="bs-Latn-BA"/>
        </w:rPr>
        <w:t>.</w:t>
      </w:r>
    </w:p>
    <w:p w:rsidR="00CB071F" w:rsidRPr="003E3695" w:rsidRDefault="00CB071F" w:rsidP="003E3695">
      <w:pPr>
        <w:spacing w:line="276" w:lineRule="auto"/>
        <w:rPr>
          <w:rFonts w:ascii="Times New Roman" w:hAnsi="Times New Roman"/>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Organizacija zdravstvene zaštite</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U poređenju sa prosjekom </w:t>
      </w:r>
      <w:r w:rsidR="00294C0A">
        <w:rPr>
          <w:rFonts w:ascii="Times New Roman" w:hAnsi="Times New Roman"/>
        </w:rPr>
        <w:t>eu</w:t>
      </w:r>
      <w:r w:rsidRPr="003E3695">
        <w:rPr>
          <w:rFonts w:ascii="Times New Roman" w:hAnsi="Times New Roman"/>
        </w:rPr>
        <w:t>ropsk</w:t>
      </w:r>
      <w:r w:rsidR="00294C0A">
        <w:rPr>
          <w:rFonts w:ascii="Times New Roman" w:hAnsi="Times New Roman"/>
        </w:rPr>
        <w:t>e</w:t>
      </w:r>
      <w:r w:rsidRPr="003E3695">
        <w:rPr>
          <w:rFonts w:ascii="Times New Roman" w:hAnsi="Times New Roman"/>
        </w:rPr>
        <w:t xml:space="preserve"> regi</w:t>
      </w:r>
      <w:r w:rsidR="00294C0A">
        <w:rPr>
          <w:rFonts w:ascii="Times New Roman" w:hAnsi="Times New Roman"/>
        </w:rPr>
        <w:t>je</w:t>
      </w:r>
      <w:r w:rsidRPr="00F311A8">
        <w:rPr>
          <w:rFonts w:ascii="Times New Roman" w:hAnsi="Times New Roman"/>
        </w:rPr>
        <w:t>, o</w:t>
      </w:r>
      <w:r w:rsidR="00294C0A" w:rsidRPr="00F311A8">
        <w:rPr>
          <w:rFonts w:ascii="Times New Roman" w:hAnsi="Times New Roman"/>
        </w:rPr>
        <w:t>siguranost</w:t>
      </w:r>
      <w:r w:rsidRPr="00F311A8">
        <w:rPr>
          <w:rFonts w:ascii="Times New Roman" w:hAnsi="Times New Roman"/>
        </w:rPr>
        <w:t xml:space="preserve"> stanovništva zdravstvenim </w:t>
      </w:r>
      <w:r w:rsidR="00950A64">
        <w:rPr>
          <w:rFonts w:ascii="Times New Roman" w:hAnsi="Times New Roman"/>
        </w:rPr>
        <w:t>radnici</w:t>
      </w:r>
      <w:r w:rsidR="00294C0A" w:rsidRPr="00F311A8">
        <w:rPr>
          <w:rFonts w:ascii="Times New Roman" w:hAnsi="Times New Roman"/>
        </w:rPr>
        <w:t>ma</w:t>
      </w:r>
      <w:r w:rsidRPr="00F311A8">
        <w:rPr>
          <w:rFonts w:ascii="Times New Roman" w:hAnsi="Times New Roman"/>
        </w:rPr>
        <w:t xml:space="preserve"> u </w:t>
      </w:r>
      <w:r w:rsidRPr="003E3695">
        <w:rPr>
          <w:rFonts w:ascii="Times New Roman" w:hAnsi="Times New Roman"/>
        </w:rPr>
        <w:t xml:space="preserve">Federaciji BiH je niska. </w:t>
      </w:r>
      <w:r w:rsidRPr="003E3695">
        <w:rPr>
          <w:rFonts w:ascii="Times New Roman" w:eastAsiaTheme="minorHAnsi" w:hAnsi="Times New Roman"/>
          <w:lang w:val="bs-Latn-BA"/>
        </w:rPr>
        <w:t xml:space="preserve">Prema </w:t>
      </w:r>
      <w:r w:rsidR="002B489B">
        <w:rPr>
          <w:rFonts w:ascii="Times New Roman" w:eastAsiaTheme="minorHAnsi" w:hAnsi="Times New Roman"/>
          <w:lang w:val="bs-Latn-BA"/>
        </w:rPr>
        <w:t>podaci</w:t>
      </w:r>
      <w:r w:rsidRPr="003E3695">
        <w:rPr>
          <w:rFonts w:ascii="Times New Roman" w:eastAsiaTheme="minorHAnsi" w:hAnsi="Times New Roman"/>
          <w:lang w:val="bs-Latn-BA"/>
        </w:rPr>
        <w:t xml:space="preserve">ma </w:t>
      </w:r>
      <w:r w:rsidR="002B489B">
        <w:rPr>
          <w:rFonts w:ascii="Times New Roman" w:eastAsiaTheme="minorHAnsi" w:hAnsi="Times New Roman"/>
          <w:lang w:val="bs-Latn-BA"/>
        </w:rPr>
        <w:t>redovne</w:t>
      </w:r>
      <w:r w:rsidRPr="003E3695">
        <w:rPr>
          <w:rFonts w:ascii="Times New Roman" w:eastAsiaTheme="minorHAnsi" w:hAnsi="Times New Roman"/>
          <w:lang w:val="bs-Latn-BA"/>
        </w:rPr>
        <w:t xml:space="preserve"> zdravstvene statistike, u 2015. godini je u zdravstvenim ustanovama u javnom sektoru bilo zaposleno ukupno 26.435 </w:t>
      </w:r>
      <w:r w:rsidR="00950A64">
        <w:rPr>
          <w:rFonts w:ascii="Times New Roman" w:eastAsiaTheme="minorHAnsi" w:hAnsi="Times New Roman"/>
          <w:lang w:val="bs-Latn-BA"/>
        </w:rPr>
        <w:t>zaposlen</w:t>
      </w:r>
      <w:r w:rsidR="00C861DA">
        <w:rPr>
          <w:rFonts w:ascii="Times New Roman" w:eastAsiaTheme="minorHAnsi" w:hAnsi="Times New Roman"/>
          <w:lang w:val="bs-Latn-BA"/>
        </w:rPr>
        <w:t>ika</w:t>
      </w:r>
      <w:r w:rsidRPr="003E3695">
        <w:rPr>
          <w:rFonts w:ascii="Times New Roman" w:eastAsiaTheme="minorHAnsi" w:hAnsi="Times New Roman"/>
          <w:lang w:val="bs-Latn-BA"/>
        </w:rPr>
        <w:t xml:space="preserve"> (stopa 1.132/100.000 stanovnika), što u odnosu na 2010. godinu predstavlja povećanje za 3,4%. U zavodima zdravstvenog osiguranja i reosiguranja u Federaciji BiH su u 2015. godini bila </w:t>
      </w:r>
      <w:r w:rsidR="00950A64">
        <w:rPr>
          <w:rFonts w:ascii="Times New Roman" w:eastAsiaTheme="minorHAnsi" w:hAnsi="Times New Roman"/>
          <w:lang w:val="bs-Latn-BA"/>
        </w:rPr>
        <w:t>zaposlen</w:t>
      </w:r>
      <w:r w:rsidRPr="003E3695">
        <w:rPr>
          <w:rFonts w:ascii="Times New Roman" w:eastAsiaTheme="minorHAnsi" w:hAnsi="Times New Roman"/>
          <w:lang w:val="bs-Latn-BA"/>
        </w:rPr>
        <w:t xml:space="preserve">a 833 </w:t>
      </w:r>
      <w:r w:rsidR="00950A64">
        <w:rPr>
          <w:rFonts w:ascii="Times New Roman" w:eastAsiaTheme="minorHAnsi" w:hAnsi="Times New Roman"/>
          <w:lang w:val="bs-Latn-BA"/>
        </w:rPr>
        <w:t>radnika</w:t>
      </w:r>
      <w:r w:rsidRPr="003E3695">
        <w:rPr>
          <w:rFonts w:ascii="Times New Roman" w:eastAsiaTheme="minorHAnsi" w:hAnsi="Times New Roman"/>
          <w:lang w:val="bs-Latn-BA"/>
        </w:rPr>
        <w:t xml:space="preserve">, a u privatnim zdravstvenim ustanovama/privatnoj praksi je </w:t>
      </w:r>
      <w:r w:rsidR="00A80006">
        <w:rPr>
          <w:rFonts w:ascii="Times New Roman" w:eastAsiaTheme="minorHAnsi" w:hAnsi="Times New Roman"/>
          <w:lang w:val="bs-Latn-BA"/>
        </w:rPr>
        <w:t>registrovano</w:t>
      </w:r>
      <w:r w:rsidR="00294C0A">
        <w:rPr>
          <w:rFonts w:ascii="Times New Roman" w:eastAsiaTheme="minorHAnsi" w:hAnsi="Times New Roman"/>
          <w:lang w:val="bs-Latn-BA"/>
        </w:rPr>
        <w:t xml:space="preserve"> </w:t>
      </w:r>
      <w:r w:rsidRPr="003E3695">
        <w:rPr>
          <w:rFonts w:ascii="Times New Roman" w:eastAsiaTheme="minorHAnsi" w:hAnsi="Times New Roman"/>
          <w:lang w:val="bs-Latn-BA"/>
        </w:rPr>
        <w:t xml:space="preserve">3.429 </w:t>
      </w:r>
      <w:r w:rsidR="00950A64">
        <w:rPr>
          <w:rFonts w:ascii="Times New Roman" w:eastAsiaTheme="minorHAnsi" w:hAnsi="Times New Roman"/>
          <w:lang w:val="bs-Latn-BA"/>
        </w:rPr>
        <w:t>zaposlen</w:t>
      </w:r>
      <w:r w:rsidRPr="003E3695">
        <w:rPr>
          <w:rFonts w:ascii="Times New Roman" w:eastAsiaTheme="minorHAnsi" w:hAnsi="Times New Roman"/>
          <w:lang w:val="bs-Latn-BA"/>
        </w:rPr>
        <w:t>ih.</w:t>
      </w:r>
    </w:p>
    <w:p w:rsidR="00CB071F" w:rsidRPr="003E3695" w:rsidRDefault="00CB071F" w:rsidP="003E3695">
      <w:pPr>
        <w:spacing w:line="276" w:lineRule="auto"/>
        <w:rPr>
          <w:rFonts w:ascii="Times New Roman" w:hAnsi="Times New Roman"/>
        </w:rPr>
      </w:pPr>
    </w:p>
    <w:p w:rsidR="00CB071F" w:rsidRPr="003E3695" w:rsidRDefault="00CB071F" w:rsidP="003E3695">
      <w:pPr>
        <w:spacing w:line="276" w:lineRule="auto"/>
        <w:rPr>
          <w:rFonts w:ascii="Times New Roman" w:hAnsi="Times New Roman"/>
        </w:rPr>
      </w:pPr>
      <w:r w:rsidRPr="003E3695">
        <w:rPr>
          <w:rFonts w:ascii="Times New Roman" w:hAnsi="Times New Roman"/>
        </w:rPr>
        <w:t>Starosna struktura doktora medicine u FBiH je nepovoljna, tako je u 2015. godini četvrtina ukupnih  dok</w:t>
      </w:r>
      <w:r w:rsidR="00294C0A">
        <w:rPr>
          <w:rFonts w:ascii="Times New Roman" w:hAnsi="Times New Roman"/>
        </w:rPr>
        <w:t>tora medicine (25,5%) bila</w:t>
      </w:r>
      <w:r w:rsidRPr="003E3695">
        <w:rPr>
          <w:rFonts w:ascii="Times New Roman" w:hAnsi="Times New Roman"/>
        </w:rPr>
        <w:t xml:space="preserve"> starosti 55 i više godina,  uz preko četvrtinu doktora starosti 45-54 godine (26,2%). Zabrinjavajuća je činjenica da je preko polovine specijalista medicine rada (66,7%), radi</w:t>
      </w:r>
      <w:r w:rsidR="00294C0A">
        <w:rPr>
          <w:rFonts w:ascii="Times New Roman" w:hAnsi="Times New Roman"/>
        </w:rPr>
        <w:t>o</w:t>
      </w:r>
      <w:r w:rsidR="000E56ED">
        <w:rPr>
          <w:rFonts w:ascii="Times New Roman" w:hAnsi="Times New Roman"/>
        </w:rPr>
        <w:t>logije (57,1%) i pneumof</w:t>
      </w:r>
      <w:r w:rsidRPr="003E3695">
        <w:rPr>
          <w:rFonts w:ascii="Times New Roman" w:hAnsi="Times New Roman"/>
        </w:rPr>
        <w:t>iziologije (54,5%) starije od 55 godina, uz značajan procenat starijih među specijalistima ostalih disciplina. Uz ovo,</w:t>
      </w:r>
      <w:r w:rsidR="00294C0A">
        <w:rPr>
          <w:rFonts w:ascii="Times New Roman" w:hAnsi="Times New Roman"/>
        </w:rPr>
        <w:t xml:space="preserve"> </w:t>
      </w:r>
      <w:r w:rsidRPr="003E3695">
        <w:rPr>
          <w:rFonts w:ascii="Times New Roman" w:hAnsi="Times New Roman"/>
        </w:rPr>
        <w:t xml:space="preserve">čak dvije petine specijalista pedijatrije  (39,9%) i blizu četvrtine specijalista </w:t>
      </w:r>
      <w:r w:rsidR="00950A64">
        <w:rPr>
          <w:rFonts w:ascii="Times New Roman" w:hAnsi="Times New Roman"/>
        </w:rPr>
        <w:t>porodične</w:t>
      </w:r>
      <w:r w:rsidRPr="003E3695">
        <w:rPr>
          <w:rFonts w:ascii="Times New Roman" w:hAnsi="Times New Roman"/>
        </w:rPr>
        <w:t xml:space="preserve"> medicine (24,3%) je starije od 55 godina.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Iako Federacija BiH ima manji broj bolničkih postelja u odnosu na zemlje u okruženju i prosjek </w:t>
      </w:r>
      <w:r w:rsidR="00294C0A">
        <w:rPr>
          <w:rFonts w:ascii="Times New Roman" w:eastAsiaTheme="minorHAnsi" w:hAnsi="Times New Roman"/>
          <w:lang w:val="bs-Latn-BA"/>
        </w:rPr>
        <w:t>eu</w:t>
      </w:r>
      <w:r w:rsidRPr="003E3695">
        <w:rPr>
          <w:rFonts w:ascii="Times New Roman" w:eastAsiaTheme="minorHAnsi" w:hAnsi="Times New Roman"/>
          <w:lang w:val="bs-Latn-BA"/>
        </w:rPr>
        <w:t>ropsk</w:t>
      </w:r>
      <w:r w:rsidR="00294C0A">
        <w:rPr>
          <w:rFonts w:ascii="Times New Roman" w:eastAsiaTheme="minorHAnsi" w:hAnsi="Times New Roman"/>
          <w:lang w:val="bs-Latn-BA"/>
        </w:rPr>
        <w:t>e</w:t>
      </w:r>
      <w:r w:rsidRPr="003E3695">
        <w:rPr>
          <w:rFonts w:ascii="Times New Roman" w:eastAsiaTheme="minorHAnsi" w:hAnsi="Times New Roman"/>
          <w:lang w:val="bs-Latn-BA"/>
        </w:rPr>
        <w:t xml:space="preserve"> regi</w:t>
      </w:r>
      <w:r w:rsidR="00294C0A">
        <w:rPr>
          <w:rFonts w:ascii="Times New Roman" w:eastAsiaTheme="minorHAnsi" w:hAnsi="Times New Roman"/>
          <w:lang w:val="bs-Latn-BA"/>
        </w:rPr>
        <w:t>je</w:t>
      </w:r>
      <w:r w:rsidRPr="003E3695">
        <w:rPr>
          <w:rFonts w:ascii="Times New Roman" w:eastAsiaTheme="minorHAnsi" w:hAnsi="Times New Roman"/>
          <w:lang w:val="bs-Latn-BA"/>
        </w:rPr>
        <w:t>, evidentna je nedovoljna iskorištenost bolničkih kapaciteta, što ukazuje na potrebu njihove racionalizacije. Prosječna zauzetost postelja i dužina ležanja u bolnici u Federaciji BiH je u 2015. godini smanjena u odnosu na pre</w:t>
      </w:r>
      <w:r w:rsidR="00294C0A">
        <w:rPr>
          <w:rFonts w:ascii="Times New Roman" w:eastAsiaTheme="minorHAnsi" w:hAnsi="Times New Roman"/>
          <w:lang w:val="bs-Latn-BA"/>
        </w:rPr>
        <w:t>t</w:t>
      </w:r>
      <w:r w:rsidRPr="003E3695">
        <w:rPr>
          <w:rFonts w:ascii="Times New Roman" w:eastAsiaTheme="minorHAnsi" w:hAnsi="Times New Roman"/>
          <w:lang w:val="bs-Latn-BA"/>
        </w:rPr>
        <w:t>hodne godine.</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color w:val="FF0000"/>
          <w:lang w:val="bs-Latn-BA"/>
        </w:rPr>
      </w:pPr>
      <w:r w:rsidRPr="003E3695">
        <w:rPr>
          <w:rFonts w:ascii="Times New Roman" w:eastAsiaTheme="minorHAnsi" w:hAnsi="Times New Roman"/>
          <w:lang w:val="bs-Latn-BA"/>
        </w:rPr>
        <w:t xml:space="preserve">Nepostojanje sveobuhvatnih podataka iz privatnog sektora onemogućava potpuni uvid u zdravstveno stanje stanovništva i organizaciju zdravstvene zaštite u Federaciji BiH. </w:t>
      </w:r>
    </w:p>
    <w:p w:rsidR="00CB071F" w:rsidRPr="003E3695" w:rsidRDefault="00CB071F" w:rsidP="003E3695">
      <w:pPr>
        <w:spacing w:after="160" w:line="276" w:lineRule="auto"/>
        <w:rPr>
          <w:rFonts w:ascii="Times New Roman" w:eastAsiaTheme="minorHAnsi" w:hAnsi="Times New Roman"/>
          <w:color w:val="FF0000"/>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Zaključci</w:t>
      </w:r>
    </w:p>
    <w:p w:rsidR="00CB071F" w:rsidRPr="003E3695" w:rsidRDefault="00587CDA" w:rsidP="003E3695">
      <w:pPr>
        <w:tabs>
          <w:tab w:val="left" w:pos="550"/>
        </w:tabs>
        <w:spacing w:before="120" w:line="276" w:lineRule="auto"/>
        <w:rPr>
          <w:rFonts w:ascii="Times New Roman" w:hAnsi="Times New Roman"/>
          <w:noProof/>
          <w:lang w:val="hr-HR" w:eastAsia="de-DE"/>
        </w:rPr>
      </w:pPr>
      <w:r>
        <w:rPr>
          <w:rFonts w:ascii="Times New Roman" w:hAnsi="Times New Roman"/>
          <w:noProof/>
          <w:lang w:val="hr-HR" w:eastAsia="de-DE"/>
        </w:rPr>
        <w:t>Pokazatelji</w:t>
      </w:r>
      <w:r w:rsidR="00CB071F" w:rsidRPr="003E3695">
        <w:rPr>
          <w:rFonts w:ascii="Times New Roman" w:hAnsi="Times New Roman"/>
          <w:noProof/>
          <w:lang w:val="hr-HR" w:eastAsia="de-DE"/>
        </w:rPr>
        <w:t xml:space="preserve"> zdravstvenog stanja stanovništva Federacije BiH su </w:t>
      </w:r>
      <w:r w:rsidR="00294C0A">
        <w:rPr>
          <w:rFonts w:ascii="Times New Roman" w:hAnsi="Times New Roman"/>
          <w:noProof/>
          <w:lang w:val="hr-HR" w:eastAsia="de-DE"/>
        </w:rPr>
        <w:t>uglavnom</w:t>
      </w:r>
      <w:r w:rsidR="00CB071F" w:rsidRPr="003E3695">
        <w:rPr>
          <w:rFonts w:ascii="Times New Roman" w:hAnsi="Times New Roman"/>
          <w:noProof/>
          <w:lang w:val="hr-HR" w:eastAsia="de-DE"/>
        </w:rPr>
        <w:t xml:space="preserve"> nepovoljni, što je povezano s još uvijek lošom socioekonomskom situacijom u zemlji, životnim navikama, </w:t>
      </w:r>
      <w:r w:rsidR="00F70FD4">
        <w:rPr>
          <w:rFonts w:ascii="Times New Roman" w:hAnsi="Times New Roman"/>
          <w:noProof/>
          <w:lang w:val="hr-HR" w:eastAsia="de-DE"/>
        </w:rPr>
        <w:t>uslovi</w:t>
      </w:r>
      <w:r w:rsidR="00294C0A">
        <w:rPr>
          <w:rFonts w:ascii="Times New Roman" w:hAnsi="Times New Roman"/>
          <w:noProof/>
          <w:lang w:val="hr-HR" w:eastAsia="de-DE"/>
        </w:rPr>
        <w:t>ma</w:t>
      </w:r>
      <w:r w:rsidR="00CB071F" w:rsidRPr="003E3695">
        <w:rPr>
          <w:rFonts w:ascii="Times New Roman" w:hAnsi="Times New Roman"/>
          <w:noProof/>
          <w:lang w:val="hr-HR" w:eastAsia="de-DE"/>
        </w:rPr>
        <w:t xml:space="preserve"> stanovanja, </w:t>
      </w:r>
      <w:r w:rsidR="00F70FD4">
        <w:rPr>
          <w:rFonts w:ascii="Times New Roman" w:hAnsi="Times New Roman"/>
          <w:noProof/>
          <w:lang w:val="hr-HR" w:eastAsia="de-DE"/>
        </w:rPr>
        <w:t>uslovi</w:t>
      </w:r>
      <w:r w:rsidR="00294C0A">
        <w:rPr>
          <w:rFonts w:ascii="Times New Roman" w:hAnsi="Times New Roman"/>
          <w:noProof/>
          <w:lang w:val="hr-HR" w:eastAsia="de-DE"/>
        </w:rPr>
        <w:t>ma</w:t>
      </w:r>
      <w:r w:rsidR="00CB071F" w:rsidRPr="003E3695">
        <w:rPr>
          <w:rFonts w:ascii="Times New Roman" w:hAnsi="Times New Roman"/>
          <w:noProof/>
          <w:lang w:val="hr-HR" w:eastAsia="de-DE"/>
        </w:rPr>
        <w:t xml:space="preserve"> na radnom mjestu, </w:t>
      </w:r>
      <w:r w:rsidR="00CB080B">
        <w:rPr>
          <w:rFonts w:ascii="Times New Roman" w:hAnsi="Times New Roman"/>
          <w:noProof/>
          <w:lang w:val="hr-HR" w:eastAsia="de-DE"/>
        </w:rPr>
        <w:t>okoliš</w:t>
      </w:r>
      <w:r w:rsidR="00294C0A">
        <w:rPr>
          <w:rFonts w:ascii="Times New Roman" w:hAnsi="Times New Roman"/>
          <w:noProof/>
          <w:lang w:val="hr-HR" w:eastAsia="de-DE"/>
        </w:rPr>
        <w:t xml:space="preserve">nim i </w:t>
      </w:r>
      <w:r w:rsidR="00CB071F" w:rsidRPr="003E3695">
        <w:rPr>
          <w:rFonts w:ascii="Times New Roman" w:hAnsi="Times New Roman"/>
          <w:noProof/>
          <w:lang w:val="hr-HR" w:eastAsia="de-DE"/>
        </w:rPr>
        <w:t xml:space="preserve">mnogim drugim </w:t>
      </w:r>
      <w:r w:rsidR="00D21A46">
        <w:rPr>
          <w:rFonts w:ascii="Times New Roman" w:hAnsi="Times New Roman"/>
          <w:noProof/>
          <w:lang w:val="hr-HR" w:eastAsia="de-DE"/>
        </w:rPr>
        <w:t>faktori</w:t>
      </w:r>
      <w:r w:rsidR="00294C0A">
        <w:rPr>
          <w:rFonts w:ascii="Times New Roman" w:hAnsi="Times New Roman"/>
          <w:noProof/>
          <w:lang w:val="hr-HR" w:eastAsia="de-DE"/>
        </w:rPr>
        <w:t xml:space="preserve">ma. </w:t>
      </w:r>
    </w:p>
    <w:p w:rsidR="00CB071F" w:rsidRPr="003E3695" w:rsidRDefault="00CB071F" w:rsidP="003E3695">
      <w:pPr>
        <w:tabs>
          <w:tab w:val="left" w:pos="550"/>
        </w:tabs>
        <w:spacing w:before="120" w:line="276" w:lineRule="auto"/>
        <w:rPr>
          <w:rFonts w:ascii="Times New Roman" w:hAnsi="Times New Roman"/>
          <w:i/>
          <w:noProof/>
          <w:lang w:val="hr-HR" w:eastAsia="de-DE"/>
        </w:rPr>
      </w:pPr>
      <w:r w:rsidRPr="003E3695">
        <w:rPr>
          <w:rFonts w:ascii="Times New Roman" w:hAnsi="Times New Roman"/>
          <w:noProof/>
          <w:lang w:val="hr-HR" w:eastAsia="de-DE"/>
        </w:rPr>
        <w:t>Zna</w:t>
      </w:r>
      <w:r w:rsidR="00EE5188">
        <w:rPr>
          <w:rFonts w:ascii="Times New Roman" w:hAnsi="Times New Roman"/>
          <w:noProof/>
          <w:lang w:val="hr-HR" w:eastAsia="de-DE"/>
        </w:rPr>
        <w:t>t</w:t>
      </w:r>
      <w:r w:rsidRPr="003E3695">
        <w:rPr>
          <w:rFonts w:ascii="Times New Roman" w:hAnsi="Times New Roman"/>
          <w:noProof/>
          <w:lang w:val="hr-HR" w:eastAsia="de-DE"/>
        </w:rPr>
        <w:t xml:space="preserve">na je prisutnost </w:t>
      </w:r>
      <w:r w:rsidR="00D21A46">
        <w:rPr>
          <w:rFonts w:ascii="Times New Roman" w:hAnsi="Times New Roman"/>
          <w:noProof/>
          <w:lang w:val="hr-HR" w:eastAsia="de-DE"/>
        </w:rPr>
        <w:t>faktor</w:t>
      </w:r>
      <w:r w:rsidR="00294C0A">
        <w:rPr>
          <w:rFonts w:ascii="Times New Roman" w:hAnsi="Times New Roman"/>
          <w:noProof/>
          <w:lang w:val="hr-HR" w:eastAsia="de-DE"/>
        </w:rPr>
        <w:t>a</w:t>
      </w:r>
      <w:r w:rsidRPr="003E3695">
        <w:rPr>
          <w:rFonts w:ascii="Times New Roman" w:hAnsi="Times New Roman"/>
          <w:noProof/>
          <w:lang w:val="hr-HR" w:eastAsia="de-DE"/>
        </w:rPr>
        <w:t xml:space="preserve"> rizika po zdravlje stanovništva: konzum</w:t>
      </w:r>
      <w:r w:rsidR="00523C6C">
        <w:rPr>
          <w:rFonts w:ascii="Times New Roman" w:hAnsi="Times New Roman"/>
          <w:noProof/>
          <w:lang w:val="hr-HR" w:eastAsia="de-DE"/>
        </w:rPr>
        <w:t xml:space="preserve">acija </w:t>
      </w:r>
      <w:r w:rsidRPr="003E3695">
        <w:rPr>
          <w:rFonts w:ascii="Times New Roman" w:hAnsi="Times New Roman"/>
          <w:noProof/>
          <w:lang w:val="hr-HR" w:eastAsia="de-DE"/>
        </w:rPr>
        <w:t xml:space="preserve">duhana (44,1% odraslih) i alkohola (28,8% odraslih), nezdrava </w:t>
      </w:r>
      <w:r w:rsidR="00D21A46">
        <w:rPr>
          <w:rFonts w:ascii="Times New Roman" w:hAnsi="Times New Roman"/>
          <w:noProof/>
          <w:lang w:val="hr-HR" w:eastAsia="de-DE"/>
        </w:rPr>
        <w:t>ishrana</w:t>
      </w:r>
      <w:r w:rsidRPr="003E3695">
        <w:rPr>
          <w:rFonts w:ascii="Times New Roman" w:hAnsi="Times New Roman"/>
          <w:noProof/>
          <w:lang w:val="hr-HR" w:eastAsia="de-DE"/>
        </w:rPr>
        <w:t xml:space="preserve"> (21,2% odraslih gojazno), tjelesna neaktivnost (75,4%), stres itd.</w:t>
      </w:r>
    </w:p>
    <w:p w:rsidR="00CB071F" w:rsidRPr="003E3695" w:rsidRDefault="00CB071F" w:rsidP="003E3695">
      <w:pPr>
        <w:tabs>
          <w:tab w:val="left" w:pos="550"/>
        </w:tabs>
        <w:spacing w:before="120" w:line="276" w:lineRule="auto"/>
        <w:rPr>
          <w:rFonts w:ascii="Times New Roman" w:hAnsi="Times New Roman"/>
          <w:noProof/>
          <w:lang w:val="hr-HR" w:eastAsia="de-DE"/>
        </w:rPr>
      </w:pPr>
      <w:r w:rsidRPr="003E3695">
        <w:rPr>
          <w:rFonts w:ascii="Times New Roman" w:hAnsi="Times New Roman"/>
          <w:noProof/>
          <w:lang w:val="hr-HR" w:eastAsia="de-DE"/>
        </w:rPr>
        <w:t>Stanovništvo Federacije BiH najčešće obol</w:t>
      </w:r>
      <w:r w:rsidR="00523C6C">
        <w:rPr>
          <w:rFonts w:ascii="Times New Roman" w:hAnsi="Times New Roman"/>
          <w:noProof/>
          <w:lang w:val="hr-HR" w:eastAsia="de-DE"/>
        </w:rPr>
        <w:t>i</w:t>
      </w:r>
      <w:r w:rsidRPr="003E3695">
        <w:rPr>
          <w:rFonts w:ascii="Times New Roman" w:hAnsi="Times New Roman"/>
          <w:noProof/>
          <w:lang w:val="hr-HR" w:eastAsia="de-DE"/>
        </w:rPr>
        <w:t>jeva od nezaraznih bolest</w:t>
      </w:r>
      <w:r w:rsidR="00523C6C">
        <w:rPr>
          <w:rFonts w:ascii="Times New Roman" w:hAnsi="Times New Roman"/>
          <w:noProof/>
          <w:lang w:val="hr-HR" w:eastAsia="de-DE"/>
        </w:rPr>
        <w:t>i</w:t>
      </w:r>
      <w:r w:rsidRPr="003E3695">
        <w:rPr>
          <w:rFonts w:ascii="Times New Roman" w:hAnsi="Times New Roman"/>
          <w:noProof/>
          <w:lang w:val="hr-HR" w:eastAsia="de-DE"/>
        </w:rPr>
        <w:t xml:space="preserve">, dok je </w:t>
      </w:r>
      <w:r w:rsidR="00243A26">
        <w:rPr>
          <w:rFonts w:ascii="Times New Roman" w:hAnsi="Times New Roman"/>
          <w:noProof/>
          <w:lang w:val="hr-HR" w:eastAsia="de-DE"/>
        </w:rPr>
        <w:t>udio</w:t>
      </w:r>
      <w:r w:rsidRPr="003E3695">
        <w:rPr>
          <w:rFonts w:ascii="Times New Roman" w:hAnsi="Times New Roman"/>
          <w:noProof/>
          <w:lang w:val="hr-HR" w:eastAsia="de-DE"/>
        </w:rPr>
        <w:t xml:space="preserve"> zaraznih bolesti  i </w:t>
      </w:r>
      <w:r w:rsidR="00FE3B0D">
        <w:rPr>
          <w:rFonts w:ascii="Times New Roman" w:hAnsi="Times New Roman"/>
          <w:noProof/>
          <w:lang w:val="hr-HR" w:eastAsia="de-DE"/>
        </w:rPr>
        <w:t>ozljeda</w:t>
      </w:r>
      <w:r w:rsidRPr="003E3695">
        <w:rPr>
          <w:rFonts w:ascii="Times New Roman" w:hAnsi="Times New Roman"/>
          <w:noProof/>
          <w:lang w:val="hr-HR" w:eastAsia="de-DE"/>
        </w:rPr>
        <w:t xml:space="preserve"> značajno manj</w:t>
      </w:r>
      <w:r w:rsidR="00FE3B0D">
        <w:rPr>
          <w:rFonts w:ascii="Times New Roman" w:hAnsi="Times New Roman"/>
          <w:noProof/>
          <w:lang w:val="hr-HR" w:eastAsia="de-DE"/>
        </w:rPr>
        <w:t>i</w:t>
      </w:r>
      <w:r w:rsidRPr="003E3695">
        <w:rPr>
          <w:rFonts w:ascii="Times New Roman" w:hAnsi="Times New Roman"/>
          <w:noProof/>
          <w:lang w:val="hr-HR" w:eastAsia="de-DE"/>
        </w:rPr>
        <w:t>.</w:t>
      </w:r>
    </w:p>
    <w:p w:rsidR="00CB071F" w:rsidRPr="003E3695" w:rsidRDefault="00CB071F" w:rsidP="003E3695">
      <w:pPr>
        <w:tabs>
          <w:tab w:val="left" w:pos="550"/>
        </w:tabs>
        <w:spacing w:before="120" w:line="276" w:lineRule="auto"/>
        <w:rPr>
          <w:rFonts w:ascii="Times New Roman" w:hAnsi="Times New Roman"/>
          <w:i/>
          <w:noProof/>
          <w:lang w:val="hr-HR" w:eastAsia="de-DE"/>
        </w:rPr>
      </w:pPr>
      <w:r w:rsidRPr="003E3695">
        <w:rPr>
          <w:rFonts w:ascii="Times New Roman" w:hAnsi="Times New Roman"/>
          <w:noProof/>
          <w:lang w:val="hr-HR" w:eastAsia="de-DE"/>
        </w:rPr>
        <w:t xml:space="preserve">Vodeći uzroci smrti stanovništva Federacije BiH su iz grupe nezaraznih oboljenja, svaki drugi stanovnik umire od bolesti srca i krvnih </w:t>
      </w:r>
      <w:r w:rsidR="000E56ED">
        <w:rPr>
          <w:rFonts w:ascii="Times New Roman" w:hAnsi="Times New Roman"/>
          <w:noProof/>
          <w:lang w:val="hr-HR" w:eastAsia="de-DE"/>
        </w:rPr>
        <w:t>sudova</w:t>
      </w:r>
      <w:r w:rsidRPr="003E3695">
        <w:rPr>
          <w:rFonts w:ascii="Times New Roman" w:hAnsi="Times New Roman"/>
          <w:noProof/>
          <w:lang w:val="hr-HR" w:eastAsia="de-DE"/>
        </w:rPr>
        <w:t xml:space="preserve">, a svaki peti od malignih neoplazmi.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Iako je reforma </w:t>
      </w:r>
      <w:r w:rsidR="00512E30">
        <w:rPr>
          <w:rFonts w:ascii="Times New Roman" w:eastAsiaTheme="minorHAnsi" w:hAnsi="Times New Roman"/>
          <w:lang w:val="bs-Latn-BA"/>
        </w:rPr>
        <w:t>sistem</w:t>
      </w:r>
      <w:r w:rsidR="00523C6C">
        <w:rPr>
          <w:rFonts w:ascii="Times New Roman" w:eastAsiaTheme="minorHAnsi" w:hAnsi="Times New Roman"/>
          <w:lang w:val="bs-Latn-BA"/>
        </w:rPr>
        <w:t>a</w:t>
      </w:r>
      <w:r w:rsidRPr="003E3695">
        <w:rPr>
          <w:rFonts w:ascii="Times New Roman" w:eastAsiaTheme="minorHAnsi" w:hAnsi="Times New Roman"/>
          <w:lang w:val="bs-Latn-BA"/>
        </w:rPr>
        <w:t xml:space="preserve"> zdravstva u Federaciji BiH bazirana na jačanju primarne zdravstvene zaštite još uvijek su prisutne razlike u dostupnosti stanovništvu po kantonima Federacije BiH.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 pored značajnog broja </w:t>
      </w:r>
      <w:r w:rsidR="000E56ED">
        <w:rPr>
          <w:rFonts w:ascii="Times New Roman" w:eastAsiaTheme="minorHAnsi" w:hAnsi="Times New Roman"/>
          <w:lang w:val="bs-Latn-BA"/>
        </w:rPr>
        <w:t>edukovanih</w:t>
      </w:r>
      <w:r w:rsidRPr="003E3695">
        <w:rPr>
          <w:rFonts w:ascii="Times New Roman" w:eastAsiaTheme="minorHAnsi" w:hAnsi="Times New Roman"/>
          <w:lang w:val="bs-Latn-BA"/>
        </w:rPr>
        <w:t xml:space="preserve"> doktora i medicinskih sestara, te unaprijeđene infrastrukture, implementacija </w:t>
      </w:r>
      <w:r w:rsidR="00950A64">
        <w:rPr>
          <w:rFonts w:ascii="Times New Roman" w:eastAsiaTheme="minorHAnsi" w:hAnsi="Times New Roman"/>
          <w:lang w:val="bs-Latn-BA"/>
        </w:rPr>
        <w:t>porodične</w:t>
      </w:r>
      <w:r w:rsidRPr="003E3695">
        <w:rPr>
          <w:rFonts w:ascii="Times New Roman" w:eastAsiaTheme="minorHAnsi" w:hAnsi="Times New Roman"/>
          <w:lang w:val="bs-Latn-BA"/>
        </w:rPr>
        <w:t xml:space="preserve"> medicine još uvijek nije zadovoljavajuća. Razlozi su brojni, od evidentnog problema nedostajućeg kadra i stalne fluktuacije </w:t>
      </w:r>
      <w:r w:rsidR="00950A64">
        <w:rPr>
          <w:rFonts w:ascii="Times New Roman" w:eastAsiaTheme="minorHAnsi" w:hAnsi="Times New Roman"/>
          <w:lang w:val="bs-Latn-BA"/>
        </w:rPr>
        <w:t>zaposlen</w:t>
      </w:r>
      <w:r w:rsidRPr="003E3695">
        <w:rPr>
          <w:rFonts w:ascii="Times New Roman" w:eastAsiaTheme="minorHAnsi" w:hAnsi="Times New Roman"/>
          <w:lang w:val="bs-Latn-BA"/>
        </w:rPr>
        <w:t>ih, sporog procesa reorganizacije službi unutar domova zdravlja, ne</w:t>
      </w:r>
      <w:r w:rsidR="00751A8F">
        <w:rPr>
          <w:rFonts w:ascii="Times New Roman" w:eastAsiaTheme="minorHAnsi" w:hAnsi="Times New Roman"/>
          <w:lang w:val="bs-Latn-BA"/>
        </w:rPr>
        <w:t>poticajnih</w:t>
      </w:r>
      <w:r w:rsidRPr="003E3695">
        <w:rPr>
          <w:rFonts w:ascii="Times New Roman" w:eastAsiaTheme="minorHAnsi" w:hAnsi="Times New Roman"/>
          <w:lang w:val="bs-Latn-BA"/>
        </w:rPr>
        <w:t xml:space="preserve"> mehanizama </w:t>
      </w:r>
      <w:r w:rsidR="000A3A46">
        <w:rPr>
          <w:rFonts w:ascii="Times New Roman" w:eastAsiaTheme="minorHAnsi" w:hAnsi="Times New Roman"/>
          <w:lang w:val="bs-Latn-BA"/>
        </w:rPr>
        <w:t>plaćanja</w:t>
      </w:r>
      <w:r w:rsidRPr="003E3695">
        <w:rPr>
          <w:rFonts w:ascii="Times New Roman" w:eastAsiaTheme="minorHAnsi" w:hAnsi="Times New Roman"/>
          <w:lang w:val="bs-Latn-BA"/>
        </w:rPr>
        <w:t xml:space="preserve">, nedostatka menadžerskih vještina i drugo.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Iako Federacija BiH ima manji broj bolničkih postelja u odnosu na zemlje u okruženju i prosjek </w:t>
      </w:r>
      <w:r w:rsidR="00523C6C">
        <w:rPr>
          <w:rFonts w:ascii="Times New Roman" w:eastAsiaTheme="minorHAnsi" w:hAnsi="Times New Roman"/>
          <w:lang w:val="bs-Latn-BA"/>
        </w:rPr>
        <w:t xml:space="preserve">europske </w:t>
      </w:r>
      <w:r w:rsidRPr="003E3695">
        <w:rPr>
          <w:rFonts w:ascii="Times New Roman" w:eastAsiaTheme="minorHAnsi" w:hAnsi="Times New Roman"/>
          <w:lang w:val="bs-Latn-BA"/>
        </w:rPr>
        <w:t>regi</w:t>
      </w:r>
      <w:r w:rsidR="00523C6C">
        <w:rPr>
          <w:rFonts w:ascii="Times New Roman" w:eastAsiaTheme="minorHAnsi" w:hAnsi="Times New Roman"/>
          <w:lang w:val="bs-Latn-BA"/>
        </w:rPr>
        <w:t>je</w:t>
      </w:r>
      <w:r w:rsidRPr="003E3695">
        <w:rPr>
          <w:rFonts w:ascii="Times New Roman" w:eastAsiaTheme="minorHAnsi" w:hAnsi="Times New Roman"/>
          <w:lang w:val="bs-Latn-BA"/>
        </w:rPr>
        <w:t>, evidentna je nedovoljna iskorištenost bolničkih kapaciteta, što ukazuje na potrebu njihove racionalizacije</w:t>
      </w:r>
      <w:r w:rsidR="003E3695">
        <w:rPr>
          <w:rFonts w:ascii="Times New Roman" w:eastAsiaTheme="minorHAnsi" w:hAnsi="Times New Roman"/>
          <w:lang w:val="bs-Latn-BA"/>
        </w:rPr>
        <w:t>.</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Nepostojanje sveobuhvatnih podataka iz privatnog sektora onemogućava potpuni uvid u zdravstveno stanje stanovništva i organizaciju zdravstvene zaštite u Federaciji BiH. </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Preporuke</w:t>
      </w:r>
    </w:p>
    <w:p w:rsidR="00021055" w:rsidRDefault="00021055" w:rsidP="003E3695">
      <w:pPr>
        <w:spacing w:after="160" w:line="276" w:lineRule="auto"/>
        <w:rPr>
          <w:rFonts w:ascii="Times New Roman" w:eastAsiaTheme="minorHAnsi" w:hAnsi="Times New Roman"/>
          <w:lang w:val="bs-Latn-BA"/>
        </w:rPr>
      </w:pPr>
      <w:r w:rsidRPr="003E3695">
        <w:rPr>
          <w:rFonts w:ascii="Times New Roman" w:eastAsiaTheme="minorHAnsi" w:hAnsi="Times New Roman"/>
          <w:lang w:val="bs-Latn-BA"/>
        </w:rPr>
        <w:t>S ciljem unapređenja zdravstvenog stanja stanovništva neophodno je realizirati niz</w:t>
      </w:r>
      <w:r w:rsidR="00D8295C">
        <w:rPr>
          <w:rFonts w:ascii="Times New Roman" w:eastAsiaTheme="minorHAnsi" w:hAnsi="Times New Roman"/>
          <w:lang w:val="bs-Latn-BA"/>
        </w:rPr>
        <w:t xml:space="preserve"> javnozdravstvenih intervencija, kao što su:</w:t>
      </w:r>
      <w:r w:rsidR="00D15A66">
        <w:rPr>
          <w:rFonts w:ascii="Times New Roman" w:eastAsiaTheme="minorHAnsi" w:hAnsi="Times New Roman"/>
          <w:lang w:val="bs-Latn-BA"/>
        </w:rPr>
        <w:t xml:space="preserve"> donošenje populaci</w:t>
      </w:r>
      <w:r w:rsidR="00D47537">
        <w:rPr>
          <w:rFonts w:ascii="Times New Roman" w:eastAsiaTheme="minorHAnsi" w:hAnsi="Times New Roman"/>
          <w:lang w:val="bs-Latn-BA"/>
        </w:rPr>
        <w:t>jske</w:t>
      </w:r>
      <w:r w:rsidR="00D15A66">
        <w:rPr>
          <w:rFonts w:ascii="Times New Roman" w:eastAsiaTheme="minorHAnsi" w:hAnsi="Times New Roman"/>
          <w:lang w:val="bs-Latn-BA"/>
        </w:rPr>
        <w:t xml:space="preserve"> politike</w:t>
      </w:r>
      <w:r w:rsidR="00D8295C">
        <w:rPr>
          <w:rFonts w:ascii="Times New Roman" w:eastAsiaTheme="minorHAnsi" w:hAnsi="Times New Roman"/>
          <w:lang w:val="bs-Latn-BA"/>
        </w:rPr>
        <w:t xml:space="preserve">, aktivnosti u </w:t>
      </w:r>
      <w:r w:rsidR="000E56ED">
        <w:rPr>
          <w:rFonts w:ascii="Times New Roman" w:eastAsiaTheme="minorHAnsi" w:hAnsi="Times New Roman"/>
          <w:lang w:val="bs-Latn-BA"/>
        </w:rPr>
        <w:t>vezi</w:t>
      </w:r>
      <w:r w:rsidR="00D8295C">
        <w:rPr>
          <w:rFonts w:ascii="Times New Roman" w:eastAsiaTheme="minorHAnsi" w:hAnsi="Times New Roman"/>
          <w:lang w:val="bs-Latn-BA"/>
        </w:rPr>
        <w:t xml:space="preserve"> sa unapređenjem zdravlja starijih osoba, </w:t>
      </w:r>
      <w:r w:rsidR="00512E30">
        <w:rPr>
          <w:rFonts w:ascii="Times New Roman" w:eastAsiaTheme="minorHAnsi" w:hAnsi="Times New Roman"/>
          <w:lang w:val="bs-Latn-BA"/>
        </w:rPr>
        <w:t>sistem</w:t>
      </w:r>
      <w:r w:rsidR="00D47537">
        <w:rPr>
          <w:rFonts w:ascii="Times New Roman" w:eastAsiaTheme="minorHAnsi" w:hAnsi="Times New Roman"/>
          <w:lang w:val="bs-Latn-BA"/>
        </w:rPr>
        <w:t>ni</w:t>
      </w:r>
      <w:r w:rsidR="00D8295C">
        <w:rPr>
          <w:rFonts w:ascii="Times New Roman" w:eastAsiaTheme="minorHAnsi" w:hAnsi="Times New Roman"/>
          <w:lang w:val="bs-Latn-BA"/>
        </w:rPr>
        <w:t xml:space="preserve"> pristup programima prevencije i nadzora vodećih rizika za najučestalija oboljenja, intersektorske promotivne intervencije na </w:t>
      </w:r>
      <w:r w:rsidR="002B489B">
        <w:rPr>
          <w:rFonts w:ascii="Times New Roman" w:eastAsiaTheme="minorHAnsi" w:hAnsi="Times New Roman"/>
          <w:lang w:val="bs-Latn-BA"/>
        </w:rPr>
        <w:t>nivou</w:t>
      </w:r>
      <w:r w:rsidR="00D8295C">
        <w:rPr>
          <w:rFonts w:ascii="Times New Roman" w:eastAsiaTheme="minorHAnsi" w:hAnsi="Times New Roman"/>
          <w:lang w:val="bs-Latn-BA"/>
        </w:rPr>
        <w:t xml:space="preserve"> lokalne zajednice, jačanje nad</w:t>
      </w:r>
      <w:r w:rsidR="00D15A66">
        <w:rPr>
          <w:rFonts w:ascii="Times New Roman" w:eastAsiaTheme="minorHAnsi" w:hAnsi="Times New Roman"/>
          <w:lang w:val="bs-Latn-BA"/>
        </w:rPr>
        <w:t xml:space="preserve">zora nad zaraznim bolestima, </w:t>
      </w:r>
      <w:r w:rsidR="00D8295C">
        <w:rPr>
          <w:rFonts w:ascii="Times New Roman" w:eastAsiaTheme="minorHAnsi" w:hAnsi="Times New Roman"/>
          <w:lang w:val="bs-Latn-BA"/>
        </w:rPr>
        <w:t>osiguranje kontinuiranih mehanizama finan</w:t>
      </w:r>
      <w:r w:rsidR="00D47537">
        <w:rPr>
          <w:rFonts w:ascii="Times New Roman" w:eastAsiaTheme="minorHAnsi" w:hAnsi="Times New Roman"/>
          <w:lang w:val="bs-Latn-BA"/>
        </w:rPr>
        <w:t>c</w:t>
      </w:r>
      <w:r w:rsidR="00D8295C">
        <w:rPr>
          <w:rFonts w:ascii="Times New Roman" w:eastAsiaTheme="minorHAnsi" w:hAnsi="Times New Roman"/>
          <w:lang w:val="bs-Latn-BA"/>
        </w:rPr>
        <w:t>iranja za javnozdravstvene kampanje</w:t>
      </w:r>
      <w:r w:rsidR="00D15A66">
        <w:rPr>
          <w:rFonts w:ascii="Times New Roman" w:eastAsiaTheme="minorHAnsi" w:hAnsi="Times New Roman"/>
          <w:lang w:val="bs-Latn-BA"/>
        </w:rPr>
        <w:t xml:space="preserve"> i drugo. Uz ovo</w:t>
      </w:r>
      <w:r w:rsidR="00D8295C">
        <w:rPr>
          <w:rFonts w:ascii="Times New Roman" w:eastAsiaTheme="minorHAnsi" w:hAnsi="Times New Roman"/>
          <w:lang w:val="bs-Latn-BA"/>
        </w:rPr>
        <w:t xml:space="preserve">, </w:t>
      </w:r>
      <w:r w:rsidR="00D15A66">
        <w:rPr>
          <w:rFonts w:ascii="Times New Roman" w:eastAsiaTheme="minorHAnsi" w:hAnsi="Times New Roman"/>
          <w:lang w:val="bs-Latn-BA"/>
        </w:rPr>
        <w:t>važno</w:t>
      </w:r>
      <w:r w:rsidR="00D8295C">
        <w:rPr>
          <w:rFonts w:ascii="Times New Roman" w:eastAsiaTheme="minorHAnsi" w:hAnsi="Times New Roman"/>
          <w:lang w:val="bs-Latn-BA"/>
        </w:rPr>
        <w:t xml:space="preserve"> je usklađivanje postojeće i donošenje nove zakonske regulative</w:t>
      </w:r>
      <w:r w:rsidR="00791094">
        <w:rPr>
          <w:rFonts w:ascii="Times New Roman" w:eastAsiaTheme="minorHAnsi" w:hAnsi="Times New Roman"/>
          <w:lang w:val="bs-Latn-BA"/>
        </w:rPr>
        <w:t xml:space="preserve"> u </w:t>
      </w:r>
      <w:r w:rsidR="000E56ED">
        <w:rPr>
          <w:rFonts w:ascii="Times New Roman" w:eastAsiaTheme="minorHAnsi" w:hAnsi="Times New Roman"/>
          <w:lang w:val="bs-Latn-BA"/>
        </w:rPr>
        <w:t>vezi</w:t>
      </w:r>
      <w:r w:rsidR="00791094">
        <w:rPr>
          <w:rFonts w:ascii="Times New Roman" w:eastAsiaTheme="minorHAnsi" w:hAnsi="Times New Roman"/>
          <w:lang w:val="bs-Latn-BA"/>
        </w:rPr>
        <w:t xml:space="preserve"> sa nadzorom </w:t>
      </w:r>
      <w:r w:rsidR="00CB080B">
        <w:rPr>
          <w:rFonts w:ascii="Times New Roman" w:eastAsiaTheme="minorHAnsi" w:hAnsi="Times New Roman"/>
          <w:lang w:val="bs-Latn-BA"/>
        </w:rPr>
        <w:t>okoliš</w:t>
      </w:r>
      <w:r w:rsidR="00D47537">
        <w:rPr>
          <w:rFonts w:ascii="Times New Roman" w:eastAsiaTheme="minorHAnsi" w:hAnsi="Times New Roman"/>
          <w:lang w:val="bs-Latn-BA"/>
        </w:rPr>
        <w:t xml:space="preserve">nih </w:t>
      </w:r>
      <w:r w:rsidR="00D21A46">
        <w:rPr>
          <w:rFonts w:ascii="Times New Roman" w:eastAsiaTheme="minorHAnsi" w:hAnsi="Times New Roman"/>
          <w:lang w:val="bs-Latn-BA"/>
        </w:rPr>
        <w:t>faktor</w:t>
      </w:r>
      <w:r w:rsidR="00D47537">
        <w:rPr>
          <w:rFonts w:ascii="Times New Roman" w:eastAsiaTheme="minorHAnsi" w:hAnsi="Times New Roman"/>
          <w:lang w:val="bs-Latn-BA"/>
        </w:rPr>
        <w:t xml:space="preserve">a </w:t>
      </w:r>
      <w:r w:rsidR="00791094">
        <w:rPr>
          <w:rFonts w:ascii="Times New Roman" w:eastAsiaTheme="minorHAnsi" w:hAnsi="Times New Roman"/>
          <w:lang w:val="bs-Latn-BA"/>
        </w:rPr>
        <w:t xml:space="preserve">rizika, unapređenje laboratorijske opreme i kontinuirana edukacija </w:t>
      </w:r>
      <w:r w:rsidR="00950A64">
        <w:rPr>
          <w:rFonts w:ascii="Times New Roman" w:eastAsiaTheme="minorHAnsi" w:hAnsi="Times New Roman"/>
          <w:lang w:val="bs-Latn-BA"/>
        </w:rPr>
        <w:t>zaposlen</w:t>
      </w:r>
      <w:r w:rsidR="00791094">
        <w:rPr>
          <w:rFonts w:ascii="Times New Roman" w:eastAsiaTheme="minorHAnsi" w:hAnsi="Times New Roman"/>
          <w:lang w:val="bs-Latn-BA"/>
        </w:rPr>
        <w:t xml:space="preserve">ih. Također, </w:t>
      </w:r>
      <w:r w:rsidR="00D47537">
        <w:rPr>
          <w:rFonts w:ascii="Times New Roman" w:eastAsiaTheme="minorHAnsi" w:hAnsi="Times New Roman"/>
          <w:lang w:val="bs-Latn-BA"/>
        </w:rPr>
        <w:t>važna</w:t>
      </w:r>
      <w:r w:rsidR="00D15A66">
        <w:rPr>
          <w:rFonts w:ascii="Times New Roman" w:eastAsiaTheme="minorHAnsi" w:hAnsi="Times New Roman"/>
          <w:lang w:val="bs-Latn-BA"/>
        </w:rPr>
        <w:t xml:space="preserve"> je i </w:t>
      </w:r>
      <w:r w:rsidR="00791094">
        <w:rPr>
          <w:rFonts w:ascii="Times New Roman" w:eastAsiaTheme="minorHAnsi" w:hAnsi="Times New Roman"/>
          <w:lang w:val="bs-Latn-BA"/>
        </w:rPr>
        <w:t>konti</w:t>
      </w:r>
      <w:r w:rsidR="007E27E5">
        <w:rPr>
          <w:rFonts w:ascii="Times New Roman" w:eastAsiaTheme="minorHAnsi" w:hAnsi="Times New Roman"/>
          <w:lang w:val="bs-Latn-BA"/>
        </w:rPr>
        <w:t xml:space="preserve">nuirana intersektorska </w:t>
      </w:r>
      <w:r w:rsidR="002B489B">
        <w:rPr>
          <w:rFonts w:ascii="Times New Roman" w:eastAsiaTheme="minorHAnsi" w:hAnsi="Times New Roman"/>
          <w:lang w:val="bs-Latn-BA"/>
        </w:rPr>
        <w:t>saradnja</w:t>
      </w:r>
      <w:r w:rsidR="00D15A66">
        <w:rPr>
          <w:rFonts w:ascii="Times New Roman" w:eastAsiaTheme="minorHAnsi" w:hAnsi="Times New Roman"/>
          <w:lang w:val="bs-Latn-BA"/>
        </w:rPr>
        <w:t xml:space="preserve"> po pitanjima promocije zdravlja i prevencije</w:t>
      </w:r>
      <w:r w:rsidR="007E27E5">
        <w:rPr>
          <w:rFonts w:ascii="Times New Roman" w:eastAsiaTheme="minorHAnsi" w:hAnsi="Times New Roman"/>
          <w:lang w:val="bs-Latn-BA"/>
        </w:rPr>
        <w:t>.</w:t>
      </w:r>
    </w:p>
    <w:p w:rsidR="00CB071F" w:rsidRPr="00CB071F" w:rsidRDefault="00D8295C" w:rsidP="00CB071F">
      <w:pPr>
        <w:spacing w:after="160" w:line="259" w:lineRule="auto"/>
        <w:rPr>
          <w:rFonts w:asciiTheme="minorHAnsi" w:eastAsiaTheme="minorHAnsi" w:hAnsiTheme="minorHAnsi" w:cstheme="minorBidi"/>
          <w:lang w:val="bs-Latn-BA"/>
        </w:rPr>
      </w:pPr>
      <w:r w:rsidRPr="00014349">
        <w:rPr>
          <w:rFonts w:ascii="Times New Roman" w:eastAsiaTheme="minorHAnsi" w:hAnsi="Times New Roman"/>
          <w:lang w:val="bs-Latn-BA"/>
        </w:rPr>
        <w:t>S ciljem unapređenja organizacije zdravstvene zaštite</w:t>
      </w:r>
      <w:r w:rsidR="00D15A66" w:rsidRPr="00014349">
        <w:rPr>
          <w:rFonts w:ascii="Times New Roman" w:eastAsiaTheme="minorHAnsi" w:hAnsi="Times New Roman"/>
          <w:lang w:val="bs-Latn-BA"/>
        </w:rPr>
        <w:t>, od v</w:t>
      </w:r>
      <w:r w:rsidR="007E27E5" w:rsidRPr="00014349">
        <w:rPr>
          <w:rFonts w:ascii="Times New Roman" w:eastAsiaTheme="minorHAnsi" w:hAnsi="Times New Roman"/>
          <w:lang w:val="bs-Latn-BA"/>
        </w:rPr>
        <w:t>elike važnosti je</w:t>
      </w:r>
      <w:r w:rsidR="007E27E5">
        <w:rPr>
          <w:rFonts w:ascii="Times New Roman" w:eastAsiaTheme="minorHAnsi" w:hAnsi="Times New Roman"/>
          <w:lang w:val="bs-Latn-BA"/>
        </w:rPr>
        <w:t xml:space="preserve"> </w:t>
      </w:r>
      <w:r w:rsidR="00C95E91">
        <w:rPr>
          <w:rFonts w:ascii="Times New Roman" w:eastAsiaTheme="minorHAnsi" w:hAnsi="Times New Roman"/>
          <w:lang w:val="bs-Latn-BA"/>
        </w:rPr>
        <w:t>unapređenje implementacije ciljeva S</w:t>
      </w:r>
      <w:r w:rsidR="00D15A66">
        <w:rPr>
          <w:rFonts w:ascii="Times New Roman" w:eastAsiaTheme="minorHAnsi" w:hAnsi="Times New Roman"/>
          <w:lang w:val="bs-Latn-BA"/>
        </w:rPr>
        <w:t>t</w:t>
      </w:r>
      <w:r w:rsidR="00C95E91">
        <w:rPr>
          <w:rFonts w:ascii="Times New Roman" w:eastAsiaTheme="minorHAnsi" w:hAnsi="Times New Roman"/>
          <w:lang w:val="bs-Latn-BA"/>
        </w:rPr>
        <w:t xml:space="preserve">rateškog plana razvoja zdravstva u Federaciji BiH, što se posebno odnosi na bržu reorganizaciju službi u domovima zdravlja i smanjenje razlika u dostupnosti timova primarne zdravstvene zaštite po kantonima, racionalizaciju bolničkih kapaciteta, uvođenje </w:t>
      </w:r>
      <w:r w:rsidR="00D47537">
        <w:rPr>
          <w:rFonts w:ascii="Times New Roman" w:eastAsiaTheme="minorHAnsi" w:hAnsi="Times New Roman"/>
          <w:lang w:val="bs-Latn-BA"/>
        </w:rPr>
        <w:t xml:space="preserve">poticajnih </w:t>
      </w:r>
      <w:r w:rsidR="00014349">
        <w:rPr>
          <w:rFonts w:ascii="Times New Roman" w:eastAsiaTheme="minorHAnsi" w:hAnsi="Times New Roman"/>
          <w:lang w:val="bs-Latn-BA"/>
        </w:rPr>
        <w:t xml:space="preserve">mehanizama </w:t>
      </w:r>
      <w:r w:rsidR="000A3A46">
        <w:rPr>
          <w:rFonts w:ascii="Times New Roman" w:eastAsiaTheme="minorHAnsi" w:hAnsi="Times New Roman"/>
          <w:lang w:val="bs-Latn-BA"/>
        </w:rPr>
        <w:t>plaćanja</w:t>
      </w:r>
      <w:r w:rsidR="00014349">
        <w:rPr>
          <w:rFonts w:ascii="Times New Roman" w:eastAsiaTheme="minorHAnsi" w:hAnsi="Times New Roman"/>
          <w:lang w:val="bs-Latn-BA"/>
        </w:rPr>
        <w:t xml:space="preserve">, kontinuiranu profesionalnu edukaciju </w:t>
      </w:r>
      <w:r w:rsidR="00950A64">
        <w:rPr>
          <w:rFonts w:ascii="Times New Roman" w:eastAsiaTheme="minorHAnsi" w:hAnsi="Times New Roman"/>
          <w:lang w:val="bs-Latn-BA"/>
        </w:rPr>
        <w:t>zaposlen</w:t>
      </w:r>
      <w:r w:rsidR="00D47537">
        <w:rPr>
          <w:rFonts w:ascii="Times New Roman" w:eastAsiaTheme="minorHAnsi" w:hAnsi="Times New Roman"/>
          <w:lang w:val="bs-Latn-BA"/>
        </w:rPr>
        <w:t>ih, te po</w:t>
      </w:r>
      <w:r w:rsidR="00014349">
        <w:rPr>
          <w:rFonts w:ascii="Times New Roman" w:eastAsiaTheme="minorHAnsi" w:hAnsi="Times New Roman"/>
          <w:lang w:val="bs-Latn-BA"/>
        </w:rPr>
        <w:t xml:space="preserve">mlađivanje </w:t>
      </w:r>
      <w:r w:rsidR="00D47537">
        <w:rPr>
          <w:rFonts w:ascii="Times New Roman" w:eastAsiaTheme="minorHAnsi" w:hAnsi="Times New Roman"/>
          <w:lang w:val="bs-Latn-BA"/>
        </w:rPr>
        <w:t>osoblja</w:t>
      </w:r>
      <w:r w:rsidR="00014349">
        <w:rPr>
          <w:rFonts w:ascii="Times New Roman" w:eastAsiaTheme="minorHAnsi" w:hAnsi="Times New Roman"/>
          <w:lang w:val="bs-Latn-BA"/>
        </w:rPr>
        <w:t xml:space="preserve"> u zdravstvenim ustanovama. Također je neophodno kontinuirano raditi na informatizaciji u </w:t>
      </w:r>
      <w:r w:rsidR="000B2551">
        <w:rPr>
          <w:rFonts w:ascii="Times New Roman" w:eastAsiaTheme="minorHAnsi" w:hAnsi="Times New Roman"/>
          <w:lang w:val="bs-Latn-BA"/>
        </w:rPr>
        <w:t>sektoru zdravstva</w:t>
      </w:r>
      <w:r w:rsidR="00014349">
        <w:rPr>
          <w:rFonts w:ascii="Times New Roman" w:eastAsiaTheme="minorHAnsi" w:hAnsi="Times New Roman"/>
          <w:lang w:val="bs-Latn-BA"/>
        </w:rPr>
        <w:t>.</w:t>
      </w:r>
    </w:p>
    <w:p w:rsidR="00A131AD" w:rsidRDefault="00A131AD" w:rsidP="000C0138">
      <w:pPr>
        <w:spacing w:line="276" w:lineRule="auto"/>
        <w:ind w:left="6372" w:firstLine="708"/>
        <w:rPr>
          <w:rFonts w:ascii="Times New Roman" w:hAnsi="Times New Roman"/>
        </w:rPr>
      </w:pPr>
    </w:p>
    <w:p w:rsidR="00CB071F" w:rsidRPr="00155F80" w:rsidRDefault="00CB071F" w:rsidP="000C0138">
      <w:pPr>
        <w:spacing w:line="276" w:lineRule="auto"/>
        <w:ind w:left="6372" w:firstLine="708"/>
        <w:rPr>
          <w:rFonts w:ascii="Times New Roman" w:hAnsi="Times New Roman"/>
        </w:rPr>
      </w:pPr>
    </w:p>
    <w:p w:rsidR="00A131AD" w:rsidRPr="00155F80" w:rsidRDefault="00A131AD" w:rsidP="000C0138">
      <w:pPr>
        <w:spacing w:line="276" w:lineRule="auto"/>
        <w:ind w:left="6372" w:firstLine="708"/>
        <w:rPr>
          <w:rFonts w:ascii="Times New Roman" w:hAnsi="Times New Roman"/>
        </w:rPr>
      </w:pPr>
    </w:p>
    <w:p w:rsidR="00CB071F" w:rsidRDefault="00CB071F">
      <w:pPr>
        <w:spacing w:after="160" w:line="259" w:lineRule="auto"/>
        <w:jc w:val="left"/>
        <w:rPr>
          <w:rFonts w:ascii="Times New Roman" w:hAnsi="Times New Roman"/>
        </w:rPr>
      </w:pPr>
      <w:r>
        <w:rPr>
          <w:rFonts w:ascii="Times New Roman" w:hAnsi="Times New Roman"/>
        </w:rPr>
        <w:br w:type="page"/>
      </w:r>
    </w:p>
    <w:p w:rsidR="00C822DB" w:rsidRPr="001313B1" w:rsidRDefault="00C822DB" w:rsidP="00C822DB">
      <w:pPr>
        <w:pStyle w:val="Poglavlje1"/>
        <w:numPr>
          <w:ilvl w:val="0"/>
          <w:numId w:val="0"/>
        </w:numPr>
        <w:ind w:left="720"/>
      </w:pPr>
      <w:bookmarkStart w:id="3" w:name="_Toc460848216"/>
      <w:bookmarkStart w:id="4" w:name="_Toc460929177"/>
      <w:r w:rsidRPr="001313B1">
        <w:rPr>
          <w:rFonts w:eastAsia="Calibri"/>
        </w:rPr>
        <w:t>ABSTRACT</w:t>
      </w:r>
      <w:bookmarkEnd w:id="3"/>
      <w:bookmarkEnd w:id="4"/>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Population health care does not depend exclusively on health system activity and it cannot be seen separately from demographic, socio-economic and ecological indicators. </w:t>
      </w:r>
    </w:p>
    <w:p w:rsidR="00C822DB" w:rsidRPr="001313B1" w:rsidRDefault="00C822DB" w:rsidP="00C822DB">
      <w:pPr>
        <w:spacing w:line="276" w:lineRule="auto"/>
        <w:rPr>
          <w:rFonts w:ascii="Times New Roman" w:hAnsi="Times New Roman"/>
        </w:rPr>
      </w:pPr>
    </w:p>
    <w:p w:rsidR="00C822DB" w:rsidRPr="001313B1" w:rsidRDefault="00C822DB" w:rsidP="00C822DB">
      <w:pPr>
        <w:spacing w:line="360" w:lineRule="auto"/>
        <w:rPr>
          <w:rFonts w:ascii="Times New Roman" w:hAnsi="Times New Roman"/>
          <w:b/>
        </w:rPr>
      </w:pPr>
      <w:r w:rsidRPr="001313B1">
        <w:rPr>
          <w:rFonts w:ascii="Times New Roman" w:hAnsi="Times New Roman"/>
          <w:b/>
        </w:rPr>
        <w:t>Population</w:t>
      </w:r>
    </w:p>
    <w:p w:rsidR="00C822DB" w:rsidRPr="001313B1" w:rsidRDefault="00C822DB" w:rsidP="00C822DB">
      <w:pPr>
        <w:spacing w:line="276" w:lineRule="auto"/>
        <w:rPr>
          <w:rFonts w:ascii="Times New Roman" w:hAnsi="Times New Roman"/>
        </w:rPr>
      </w:pPr>
      <w:r w:rsidRPr="001313B1">
        <w:rPr>
          <w:rFonts w:ascii="Times New Roman" w:hAnsi="Times New Roman"/>
        </w:rPr>
        <w:t>According Federal statistic Institute’s estimate, there is negative demographic trend between 2010 and 2015 in Federation of B&amp;H, i.e. population decrease, with almost equal proportion of women and men. In other countries of the region, as well as in Europe, aging trend is evident. Birth rate constantly decreases, mortality rate grows, and as a consequence, there is negative population growth (-1%0) in 2015, where even 9 cantons, with the exception of Sarajevo, had negative population growth.</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rPr>
      </w:pPr>
      <w:r w:rsidRPr="001313B1">
        <w:rPr>
          <w:rFonts w:ascii="Times New Roman" w:hAnsi="Times New Roman"/>
        </w:rPr>
        <w:t>Socio-economic conditions in Federation of B&amp;H are still unfavorable, unemployment rate is 29,1% (for men 25,7%, for women 32 4%), and average net salary in 2015 was 830 KM.</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b/>
        </w:rPr>
      </w:pPr>
      <w:r w:rsidRPr="001313B1">
        <w:rPr>
          <w:rFonts w:ascii="Times New Roman" w:hAnsi="Times New Roman"/>
          <w:b/>
        </w:rPr>
        <w:t>Mortality and morbidity</w:t>
      </w: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Leading death causes in Federation of B&amp;H are cardiovascular diseases (53,8%)  malignant neoplasm (21,0%), and endoctrine  metabolic diseases with dietary disorders (5,5%). These diseases caused over three quarters of deaths per year. </w:t>
      </w:r>
    </w:p>
    <w:p w:rsidR="00C822DB" w:rsidRPr="001313B1" w:rsidRDefault="00C822DB" w:rsidP="00C822DB">
      <w:pPr>
        <w:spacing w:line="276" w:lineRule="auto"/>
        <w:rPr>
          <w:rFonts w:ascii="Times New Roman" w:hAnsi="Times New Roman"/>
        </w:rPr>
      </w:pPr>
      <w:r w:rsidRPr="001313B1">
        <w:rPr>
          <w:rFonts w:ascii="Times New Roman" w:hAnsi="Times New Roman"/>
        </w:rPr>
        <w:t>Chronic diseases show growth in disease rate, especially in hypertension diseases, diabetes and dorsopathia.</w:t>
      </w: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Among leading infectious diseases, majority is from respiratory group (influenza/ diseases similar to influenza, varicella, streptococcal angina, TBC of respiratory system, measles, scarlatina and infectious mononucleosis). On a high third place is acute enterocolitis, and on fifth pace scabies. </w:t>
      </w:r>
    </w:p>
    <w:p w:rsidR="00C822DB" w:rsidRPr="001313B1" w:rsidRDefault="00C822DB" w:rsidP="00C822DB">
      <w:pPr>
        <w:spacing w:line="276" w:lineRule="auto"/>
        <w:rPr>
          <w:rFonts w:ascii="Times New Roman" w:hAnsi="Times New Roman"/>
        </w:rPr>
      </w:pPr>
      <w:r w:rsidRPr="001313B1">
        <w:rPr>
          <w:rFonts w:ascii="Times New Roman" w:hAnsi="Times New Roman"/>
        </w:rPr>
        <w:t>Lower immunization rate is noticed in 2015 in comparison to the earlier years, which leads to quality decline of population immunity against certain infectious diseases. This could cause repeated and occasional emergence of vaccination prevented diseases.</w:t>
      </w:r>
    </w:p>
    <w:p w:rsidR="00C822DB" w:rsidRPr="001313B1" w:rsidRDefault="00C822DB" w:rsidP="00C822DB">
      <w:pPr>
        <w:tabs>
          <w:tab w:val="left" w:pos="550"/>
        </w:tabs>
        <w:spacing w:before="120" w:line="276" w:lineRule="auto"/>
        <w:rPr>
          <w:rFonts w:ascii="Times New Roman" w:hAnsi="Times New Roman"/>
          <w:b/>
        </w:rPr>
      </w:pPr>
      <w:r w:rsidRPr="001313B1">
        <w:rPr>
          <w:rFonts w:ascii="Times New Roman" w:hAnsi="Times New Roman"/>
          <w:b/>
        </w:rPr>
        <w:t>Risk factors for health</w:t>
      </w:r>
    </w:p>
    <w:p w:rsidR="00C822DB" w:rsidRPr="001313B1" w:rsidRDefault="00C822DB" w:rsidP="00C822DB">
      <w:pPr>
        <w:tabs>
          <w:tab w:val="left" w:pos="550"/>
        </w:tabs>
        <w:spacing w:before="120" w:line="276" w:lineRule="auto"/>
        <w:rPr>
          <w:rFonts w:ascii="Times New Roman" w:hAnsi="Times New Roman"/>
          <w:noProof/>
          <w:lang w:eastAsia="de-DE"/>
        </w:rPr>
      </w:pPr>
      <w:r w:rsidRPr="001313B1">
        <w:rPr>
          <w:rFonts w:ascii="Times New Roman" w:hAnsi="Times New Roman"/>
          <w:noProof/>
          <w:lang w:eastAsia="de-DE"/>
        </w:rPr>
        <w:t xml:space="preserve">There are significant risk factors: adults tobacco consumation 44,1%, alcohol  28,8%, over one fifth (21,2%) of adults are overweight, and physically active population are only </w:t>
      </w:r>
      <w:r w:rsidRPr="001313B1">
        <w:rPr>
          <w:rFonts w:ascii="Times New Roman" w:hAnsi="Times New Roman"/>
        </w:rPr>
        <w:t>24,6%.</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Contaminated water, food and air are leading health care problems which demands constant surveillance. In Federation of B&amp;H, 60% of population is using central system of water distribution, and improved water resources (water supply, protected well, protected spring) uses 99,6% of population. Sewerage system uses 57,5% of population. </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Irregular disposal of dangerous materials, especially industrial and medical waste, is among most serious threats to population health. Landfills are used for 55% potentially infectious waste, 23% of chemical and 20% pharmaceutical from medical institutions. </w:t>
      </w: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Uncontrolled waste disposal is common for hard waste while liquid materials are spilled in watercourses without purification. </w:t>
      </w:r>
    </w:p>
    <w:p w:rsidR="00C822DB" w:rsidRPr="001313B1" w:rsidRDefault="00C822DB" w:rsidP="00C822DB">
      <w:pPr>
        <w:spacing w:line="276" w:lineRule="auto"/>
        <w:rPr>
          <w:rFonts w:ascii="Times New Roman" w:hAnsi="Times New Roman"/>
        </w:rPr>
      </w:pPr>
      <w:r w:rsidRPr="001313B1">
        <w:rPr>
          <w:rFonts w:ascii="Times New Roman" w:hAnsi="Times New Roman"/>
        </w:rPr>
        <w:t>In 2013-2015 period, there are 15 injured and 8 dead from mine explosions.</w:t>
      </w:r>
    </w:p>
    <w:p w:rsidR="00C822DB" w:rsidRPr="001313B1" w:rsidRDefault="00C822DB" w:rsidP="00C822DB">
      <w:pPr>
        <w:spacing w:line="276" w:lineRule="auto"/>
        <w:rPr>
          <w:rFonts w:ascii="Times New Roman" w:hAnsi="Times New Roman"/>
        </w:rPr>
      </w:pPr>
    </w:p>
    <w:p w:rsidR="00C822DB" w:rsidRPr="001313B1" w:rsidRDefault="00C822DB" w:rsidP="00C822DB">
      <w:pPr>
        <w:spacing w:line="360" w:lineRule="auto"/>
        <w:rPr>
          <w:rFonts w:ascii="Times New Roman" w:hAnsi="Times New Roman"/>
          <w:b/>
        </w:rPr>
      </w:pPr>
      <w:r w:rsidRPr="001313B1">
        <w:rPr>
          <w:rFonts w:ascii="Times New Roman" w:hAnsi="Times New Roman"/>
          <w:b/>
        </w:rPr>
        <w:t>Health care organization</w:t>
      </w:r>
    </w:p>
    <w:p w:rsidR="00C822DB" w:rsidRPr="001313B1" w:rsidRDefault="00C822DB" w:rsidP="00C822DB">
      <w:pPr>
        <w:spacing w:line="276" w:lineRule="auto"/>
        <w:rPr>
          <w:rFonts w:ascii="Times New Roman" w:hAnsi="Times New Roman"/>
        </w:rPr>
      </w:pPr>
      <w:r w:rsidRPr="001313B1">
        <w:rPr>
          <w:rFonts w:ascii="Times New Roman" w:hAnsi="Times New Roman"/>
        </w:rPr>
        <w:t>In comparison with European average, health care workers population’s coverage in Federation of B&amp;H is low. According to statistic, in 2015 in public sector, there were 26.435 health workers (1.132/100.000 rate), which is, in comparison to 2010, increase of 3,4%. In Health Insurance Institutes in 2015 there were 833 workers, and in private health practice there were 3.429 registered workers.</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rPr>
      </w:pPr>
      <w:r w:rsidRPr="001313B1">
        <w:rPr>
          <w:rFonts w:ascii="Times New Roman" w:hAnsi="Times New Roman"/>
        </w:rPr>
        <w:t xml:space="preserve">Age structure among medical doctors is unfavorable, so in 2015 one quarter of medical doctors (25,5%) were 55 plus year of age,  with over a quarter 45-54 years of age (26,2%). Worrisome is the fact that over half of occupational health specialists (66,7%), radiology (57,1%) pneumoftiziology (54,5%) are older than 55 years of age, with significant percentage of seniors in other disciplines. With this, two fifths of pediatric specialists (39,9%) and close to quarter of family medicine specialists (24,3%) is older than 55 years of age.  </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rPr>
      </w:pPr>
      <w:r w:rsidRPr="001313B1">
        <w:rPr>
          <w:rFonts w:ascii="Times New Roman" w:hAnsi="Times New Roman"/>
        </w:rPr>
        <w:t>Although Federation of B&amp;H has less hospital beds than the surrounding countries and the European average, under utilization of hospital capacities is evident, which implies the necessity of rationalization. Average bed occupancy and hospitalization in Federation of B&amp;H in 2015 is decreased in comparison to the past years.</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color w:val="FF0000"/>
        </w:rPr>
      </w:pPr>
      <w:r w:rsidRPr="001313B1">
        <w:rPr>
          <w:rFonts w:ascii="Times New Roman" w:hAnsi="Times New Roman"/>
        </w:rPr>
        <w:t xml:space="preserve">Lack of data from private practice prevents complete insight of health status of the population and health care organization in Federation of B&amp;H. </w:t>
      </w:r>
    </w:p>
    <w:p w:rsidR="00C822DB" w:rsidRPr="001313B1" w:rsidRDefault="00C822DB" w:rsidP="00C822DB">
      <w:pPr>
        <w:spacing w:line="276" w:lineRule="auto"/>
        <w:rPr>
          <w:rFonts w:ascii="Times New Roman" w:hAnsi="Times New Roman"/>
          <w:color w:val="FF0000"/>
        </w:rPr>
      </w:pPr>
    </w:p>
    <w:p w:rsidR="00C822DB" w:rsidRPr="001313B1" w:rsidRDefault="00C822DB" w:rsidP="00C822DB">
      <w:pPr>
        <w:spacing w:line="276" w:lineRule="auto"/>
        <w:rPr>
          <w:rFonts w:ascii="Times New Roman" w:hAnsi="Times New Roman"/>
          <w:b/>
        </w:rPr>
      </w:pPr>
      <w:r w:rsidRPr="001313B1">
        <w:rPr>
          <w:rFonts w:ascii="Times New Roman" w:hAnsi="Times New Roman"/>
          <w:b/>
        </w:rPr>
        <w:t>Conclusions</w:t>
      </w:r>
    </w:p>
    <w:p w:rsidR="00C822DB" w:rsidRPr="001313B1" w:rsidRDefault="00C822DB" w:rsidP="00C822DB">
      <w:pPr>
        <w:tabs>
          <w:tab w:val="left" w:pos="550"/>
        </w:tabs>
        <w:spacing w:before="120" w:line="276" w:lineRule="auto"/>
        <w:rPr>
          <w:rFonts w:ascii="Times New Roman" w:hAnsi="Times New Roman"/>
          <w:noProof/>
          <w:lang w:eastAsia="de-DE"/>
        </w:rPr>
      </w:pPr>
      <w:r w:rsidRPr="001313B1">
        <w:rPr>
          <w:rFonts w:ascii="Times New Roman" w:hAnsi="Times New Roman"/>
        </w:rPr>
        <w:t xml:space="preserve">Health status </w:t>
      </w:r>
      <w:r w:rsidRPr="001313B1">
        <w:rPr>
          <w:rFonts w:ascii="Times New Roman" w:hAnsi="Times New Roman"/>
          <w:noProof/>
          <w:lang w:eastAsia="de-DE"/>
        </w:rPr>
        <w:t>indicators</w:t>
      </w:r>
      <w:r w:rsidRPr="001313B1">
        <w:rPr>
          <w:rFonts w:ascii="Times New Roman" w:hAnsi="Times New Roman"/>
        </w:rPr>
        <w:t xml:space="preserve"> in </w:t>
      </w:r>
      <w:r w:rsidRPr="001313B1">
        <w:rPr>
          <w:rFonts w:ascii="Times New Roman" w:hAnsi="Times New Roman"/>
          <w:noProof/>
          <w:lang w:eastAsia="de-DE"/>
        </w:rPr>
        <w:t>Federation of B&amp;H are predominantly negative, and in relation with bad socio-economic situation in the country, life habits, living conditions, occupational conditions, enviroment factors etc.</w:t>
      </w:r>
    </w:p>
    <w:p w:rsidR="00C822DB" w:rsidRPr="001313B1" w:rsidRDefault="00C822DB" w:rsidP="00C822DB">
      <w:pPr>
        <w:tabs>
          <w:tab w:val="left" w:pos="550"/>
        </w:tabs>
        <w:spacing w:before="120" w:line="276" w:lineRule="auto"/>
        <w:rPr>
          <w:rFonts w:ascii="Times New Roman" w:hAnsi="Times New Roman"/>
          <w:i/>
          <w:noProof/>
          <w:lang w:eastAsia="de-DE"/>
        </w:rPr>
      </w:pPr>
      <w:r w:rsidRPr="001313B1">
        <w:rPr>
          <w:rFonts w:ascii="Times New Roman" w:hAnsi="Times New Roman"/>
          <w:noProof/>
          <w:lang w:eastAsia="de-DE"/>
        </w:rPr>
        <w:t>There are significant risk factors present: tobacco consumption (44,1% adults) and alcohol (28,8% adults), unhealthy diet (21,2% overweight adults), physical inactivitiy (75,4%), stress etc.</w:t>
      </w:r>
    </w:p>
    <w:p w:rsidR="00C822DB" w:rsidRPr="001313B1" w:rsidRDefault="00C822DB" w:rsidP="00C822DB">
      <w:pPr>
        <w:tabs>
          <w:tab w:val="left" w:pos="550"/>
        </w:tabs>
        <w:spacing w:before="120" w:line="276" w:lineRule="auto"/>
        <w:rPr>
          <w:rFonts w:ascii="Times New Roman" w:hAnsi="Times New Roman"/>
          <w:noProof/>
          <w:lang w:eastAsia="de-DE"/>
        </w:rPr>
      </w:pPr>
      <w:r w:rsidRPr="001313B1">
        <w:rPr>
          <w:rFonts w:ascii="Times New Roman" w:hAnsi="Times New Roman"/>
          <w:noProof/>
          <w:lang w:eastAsia="de-DE"/>
        </w:rPr>
        <w:t>Population is mostly affected by non-infectius diseases, while presence of infectiuos diseases and injuries is lesser.</w:t>
      </w:r>
    </w:p>
    <w:p w:rsidR="00C822DB" w:rsidRPr="001313B1" w:rsidRDefault="00C822DB" w:rsidP="00C822DB">
      <w:pPr>
        <w:tabs>
          <w:tab w:val="left" w:pos="550"/>
        </w:tabs>
        <w:spacing w:before="120" w:line="276" w:lineRule="auto"/>
        <w:rPr>
          <w:rFonts w:ascii="Times New Roman" w:hAnsi="Times New Roman"/>
          <w:i/>
          <w:noProof/>
          <w:lang w:eastAsia="de-DE"/>
        </w:rPr>
      </w:pPr>
      <w:r w:rsidRPr="001313B1">
        <w:rPr>
          <w:rFonts w:ascii="Times New Roman" w:hAnsi="Times New Roman"/>
          <w:noProof/>
          <w:lang w:eastAsia="de-DE"/>
        </w:rPr>
        <w:t xml:space="preserve">Leading causees of death in Federation are from non-infectiuos diseases, every second person dies from hearth and blood vessels disease, and every fifth inhabitant from malignant neoplasm. </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rPr>
      </w:pPr>
      <w:r w:rsidRPr="001313B1">
        <w:rPr>
          <w:rFonts w:ascii="Times New Roman" w:hAnsi="Times New Roman"/>
        </w:rPr>
        <w:t xml:space="preserve">Although health reform in Federation of B&amp;H is based on primary care strengthening, there are differences in availability among cantons. </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rPr>
      </w:pPr>
      <w:r w:rsidRPr="001313B1">
        <w:rPr>
          <w:rFonts w:ascii="Times New Roman" w:hAnsi="Times New Roman"/>
        </w:rPr>
        <w:t xml:space="preserve">Despite large number of educated doctors and nurses, as well as improved infrastructure, the implementation of family medicine is still not satisfactory. Reasons are many, from obvious staff missing problem and continuous fluctuation, to the slow process of reorganization of services and departments within health centers, non-stimulating payment mechanism,  lack of managerial skills and so on. </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rPr>
      </w:pPr>
      <w:r w:rsidRPr="001313B1">
        <w:rPr>
          <w:rFonts w:ascii="Times New Roman" w:hAnsi="Times New Roman"/>
        </w:rPr>
        <w:t>Although Federation of B&amp;H has less hospital beds than other countries of the region and European average, under utilization of hospital capacities is evident, which implies the necessity of rationalization.</w:t>
      </w:r>
    </w:p>
    <w:p w:rsidR="00C822DB" w:rsidRPr="001313B1" w:rsidRDefault="00C822DB" w:rsidP="00C822DB">
      <w:pPr>
        <w:autoSpaceDE w:val="0"/>
        <w:autoSpaceDN w:val="0"/>
        <w:adjustRightInd w:val="0"/>
        <w:spacing w:line="276" w:lineRule="auto"/>
        <w:rPr>
          <w:rFonts w:ascii="Times New Roman" w:hAnsi="Times New Roman"/>
        </w:rPr>
      </w:pPr>
    </w:p>
    <w:p w:rsidR="00C822DB" w:rsidRPr="001313B1" w:rsidRDefault="00C822DB" w:rsidP="00C822DB">
      <w:pPr>
        <w:autoSpaceDE w:val="0"/>
        <w:autoSpaceDN w:val="0"/>
        <w:adjustRightInd w:val="0"/>
        <w:spacing w:line="276" w:lineRule="auto"/>
        <w:rPr>
          <w:rFonts w:ascii="Times New Roman" w:hAnsi="Times New Roman"/>
        </w:rPr>
      </w:pPr>
      <w:r w:rsidRPr="001313B1">
        <w:rPr>
          <w:rFonts w:ascii="Times New Roman" w:hAnsi="Times New Roman"/>
        </w:rPr>
        <w:t xml:space="preserve">Lack of data from private practice prevents complete insight of health status of the population and health care organization in Federation of B&amp;H. </w:t>
      </w:r>
    </w:p>
    <w:p w:rsidR="00C822DB" w:rsidRPr="001313B1" w:rsidRDefault="00C822DB" w:rsidP="00C822DB">
      <w:pPr>
        <w:spacing w:line="276" w:lineRule="auto"/>
        <w:rPr>
          <w:rFonts w:ascii="Times New Roman" w:hAnsi="Times New Roman"/>
        </w:rPr>
      </w:pPr>
    </w:p>
    <w:p w:rsidR="00C822DB" w:rsidRPr="001313B1" w:rsidRDefault="00C822DB" w:rsidP="00C822DB">
      <w:pPr>
        <w:spacing w:line="276" w:lineRule="auto"/>
        <w:rPr>
          <w:rFonts w:ascii="Times New Roman" w:hAnsi="Times New Roman"/>
          <w:b/>
        </w:rPr>
      </w:pPr>
    </w:p>
    <w:p w:rsidR="00C822DB" w:rsidRPr="001313B1" w:rsidRDefault="00C822DB" w:rsidP="00C822DB">
      <w:pPr>
        <w:spacing w:line="276" w:lineRule="auto"/>
        <w:rPr>
          <w:rFonts w:ascii="Times New Roman" w:hAnsi="Times New Roman"/>
          <w:b/>
        </w:rPr>
      </w:pPr>
    </w:p>
    <w:p w:rsidR="00C822DB" w:rsidRDefault="00C822DB" w:rsidP="00C822DB">
      <w:pPr>
        <w:spacing w:line="360" w:lineRule="auto"/>
        <w:rPr>
          <w:rFonts w:ascii="Times New Roman" w:hAnsi="Times New Roman"/>
          <w:b/>
        </w:rPr>
      </w:pPr>
      <w:r w:rsidRPr="001313B1">
        <w:rPr>
          <w:rFonts w:ascii="Times New Roman" w:hAnsi="Times New Roman"/>
          <w:b/>
        </w:rPr>
        <w:t>Recommendations</w:t>
      </w:r>
    </w:p>
    <w:p w:rsidR="004975B7" w:rsidRPr="001313B1" w:rsidRDefault="004975B7" w:rsidP="00C822DB">
      <w:pPr>
        <w:spacing w:line="360" w:lineRule="auto"/>
        <w:rPr>
          <w:rFonts w:ascii="Times New Roman" w:hAnsi="Times New Roman"/>
          <w:b/>
        </w:rPr>
      </w:pPr>
    </w:p>
    <w:p w:rsidR="00C822DB" w:rsidRPr="001313B1" w:rsidRDefault="00C822DB" w:rsidP="00C822DB">
      <w:pPr>
        <w:spacing w:line="276" w:lineRule="auto"/>
        <w:rPr>
          <w:rFonts w:ascii="Times New Roman" w:hAnsi="Times New Roman"/>
        </w:rPr>
      </w:pPr>
      <w:r w:rsidRPr="001313B1">
        <w:rPr>
          <w:rFonts w:ascii="Times New Roman" w:hAnsi="Times New Roman"/>
        </w:rPr>
        <w:t>To improve health status of the population, it is necessary to implement various public health interventions like: population policymaking, activities regarding health improvement of elderly people, systematic approach to the prevention programs and surveillance of leading risk factors for most common diseases, inter sector  promotional interventions on a local community level, strengthening surveillance over infectious diseases, enabling continuous finance mechanisms for public health campaigns etc. With this, it is important to harmonize existing and make new regulations regarding the surveillance of environmental risk factor, improve lab equipment and continuing education of employees. Also, in regard to health promotion and prevention, constant inter sector cooperation is important.</w:t>
      </w:r>
    </w:p>
    <w:p w:rsidR="00C822DB" w:rsidRPr="001313B1" w:rsidRDefault="00C822DB" w:rsidP="00C822DB">
      <w:pPr>
        <w:spacing w:line="276" w:lineRule="auto"/>
        <w:rPr>
          <w:rFonts w:ascii="Times New Roman" w:hAnsi="Times New Roman"/>
        </w:rPr>
      </w:pPr>
      <w:r w:rsidRPr="001313B1">
        <w:rPr>
          <w:rFonts w:ascii="Times New Roman" w:hAnsi="Times New Roman"/>
        </w:rPr>
        <w:t>With the goal of improvement of health care organization, it is very important to implement goals of the Strategic Plan  for  Health development in Federation of B&amp;H, especially relating to quicker reorganization of services in public health centers and  reduction of differences in availability of teams of primary health services in cantons, rationalization of hospital capacities, introduction of stimulating payment mechanisms, continuous professional education of health workers and rejuvenation of staff in health institutions. Also, it is necessary to constantly work on computerization in health sector.</w:t>
      </w:r>
    </w:p>
    <w:p w:rsidR="004975B7" w:rsidRDefault="004975B7" w:rsidP="000C0138">
      <w:pPr>
        <w:pStyle w:val="Poglavlje1"/>
        <w:numPr>
          <w:ilvl w:val="0"/>
          <w:numId w:val="0"/>
        </w:numPr>
        <w:spacing w:line="276" w:lineRule="auto"/>
        <w:ind w:left="720"/>
      </w:pPr>
    </w:p>
    <w:p w:rsidR="004975B7" w:rsidRDefault="004975B7" w:rsidP="000C0138">
      <w:pPr>
        <w:pStyle w:val="Poglavlje1"/>
        <w:numPr>
          <w:ilvl w:val="0"/>
          <w:numId w:val="0"/>
        </w:numPr>
        <w:spacing w:line="276" w:lineRule="auto"/>
        <w:ind w:left="720"/>
      </w:pPr>
    </w:p>
    <w:p w:rsidR="004975B7" w:rsidRDefault="004975B7" w:rsidP="000C0138">
      <w:pPr>
        <w:pStyle w:val="Poglavlje1"/>
        <w:numPr>
          <w:ilvl w:val="0"/>
          <w:numId w:val="0"/>
        </w:numPr>
        <w:spacing w:line="276" w:lineRule="auto"/>
        <w:ind w:left="720"/>
      </w:pPr>
    </w:p>
    <w:p w:rsidR="004975B7" w:rsidRDefault="004975B7" w:rsidP="000C0138">
      <w:pPr>
        <w:pStyle w:val="Poglavlje1"/>
        <w:numPr>
          <w:ilvl w:val="0"/>
          <w:numId w:val="0"/>
        </w:numPr>
        <w:spacing w:line="276" w:lineRule="auto"/>
        <w:ind w:left="720"/>
      </w:pPr>
    </w:p>
    <w:p w:rsidR="004975B7" w:rsidRDefault="004975B7" w:rsidP="000C0138">
      <w:pPr>
        <w:pStyle w:val="Poglavlje1"/>
        <w:numPr>
          <w:ilvl w:val="0"/>
          <w:numId w:val="0"/>
        </w:numPr>
        <w:spacing w:line="276" w:lineRule="auto"/>
        <w:ind w:left="720"/>
      </w:pPr>
    </w:p>
    <w:p w:rsidR="00C822DB" w:rsidRDefault="00C822DB" w:rsidP="000C0138">
      <w:pPr>
        <w:pStyle w:val="Poglavlje1"/>
        <w:numPr>
          <w:ilvl w:val="0"/>
          <w:numId w:val="0"/>
        </w:numPr>
        <w:spacing w:line="276" w:lineRule="auto"/>
        <w:ind w:left="720"/>
      </w:pPr>
    </w:p>
    <w:p w:rsidR="00A131AD" w:rsidRPr="004975B7" w:rsidRDefault="000A3A46" w:rsidP="004975B7">
      <w:pPr>
        <w:rPr>
          <w:color w:val="FFFFFF" w:themeColor="background1"/>
        </w:rPr>
      </w:pPr>
      <w:r w:rsidRPr="004975B7">
        <w:rPr>
          <w:color w:val="FFFFFF" w:themeColor="background1"/>
        </w:rPr>
        <w:t>SKRAĆENICE</w:t>
      </w:r>
    </w:p>
    <w:p w:rsidR="00A131AD" w:rsidRPr="00155F80" w:rsidRDefault="00A131AD" w:rsidP="000C0138">
      <w:pPr>
        <w:spacing w:line="276" w:lineRule="auto"/>
        <w:jc w:val="left"/>
        <w:rPr>
          <w:rFonts w:ascii="Times New Roman" w:hAnsi="Times New Roman"/>
          <w:lang w:val="bs-Latn-BA"/>
        </w:rPr>
      </w:pPr>
    </w:p>
    <w:p w:rsidR="004975B7" w:rsidRDefault="004975B7" w:rsidP="004975B7">
      <w:pPr>
        <w:pStyle w:val="Poglavlje1"/>
        <w:numPr>
          <w:ilvl w:val="0"/>
          <w:numId w:val="0"/>
        </w:numPr>
        <w:spacing w:line="276" w:lineRule="auto"/>
        <w:ind w:left="720"/>
      </w:pPr>
      <w:bookmarkStart w:id="5" w:name="_Toc460929178"/>
    </w:p>
    <w:p w:rsidR="004975B7" w:rsidRDefault="004975B7" w:rsidP="004975B7">
      <w:pPr>
        <w:pStyle w:val="Poglavlje1"/>
        <w:numPr>
          <w:ilvl w:val="0"/>
          <w:numId w:val="0"/>
        </w:numPr>
        <w:spacing w:line="276" w:lineRule="auto"/>
        <w:ind w:left="720"/>
      </w:pPr>
    </w:p>
    <w:p w:rsidR="004975B7" w:rsidRDefault="004975B7" w:rsidP="004975B7">
      <w:pPr>
        <w:pStyle w:val="Poglavlje1"/>
        <w:numPr>
          <w:ilvl w:val="0"/>
          <w:numId w:val="0"/>
        </w:numPr>
        <w:spacing w:line="276" w:lineRule="auto"/>
        <w:ind w:left="720"/>
      </w:pPr>
    </w:p>
    <w:p w:rsidR="004975B7" w:rsidRDefault="004975B7" w:rsidP="004975B7">
      <w:pPr>
        <w:pStyle w:val="Poglavlje1"/>
        <w:numPr>
          <w:ilvl w:val="0"/>
          <w:numId w:val="0"/>
        </w:numPr>
        <w:spacing w:line="276" w:lineRule="auto"/>
        <w:ind w:left="720"/>
      </w:pPr>
    </w:p>
    <w:p w:rsidR="004975B7" w:rsidRDefault="004975B7" w:rsidP="004975B7">
      <w:pPr>
        <w:pStyle w:val="Poglavlje1"/>
        <w:numPr>
          <w:ilvl w:val="0"/>
          <w:numId w:val="0"/>
        </w:numPr>
        <w:spacing w:line="276" w:lineRule="auto"/>
        <w:ind w:left="720"/>
      </w:pPr>
    </w:p>
    <w:p w:rsidR="004975B7" w:rsidRPr="004975B7" w:rsidRDefault="004975B7" w:rsidP="004975B7">
      <w:pPr>
        <w:rPr>
          <w:color w:val="FFFFFF" w:themeColor="background1"/>
        </w:rPr>
      </w:pPr>
      <w:r w:rsidRPr="004975B7">
        <w:rPr>
          <w:color w:val="FFFFFF" w:themeColor="background1"/>
        </w:rPr>
        <w:t>SKRAĆENICE</w:t>
      </w:r>
      <w:bookmarkEnd w:id="5"/>
    </w:p>
    <w:tbl>
      <w:tblPr>
        <w:tblpPr w:leftFromText="180" w:rightFromText="180" w:vertAnchor="page" w:horzAnchor="margin" w:tblpY="25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1"/>
        <w:gridCol w:w="6981"/>
      </w:tblGrid>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AIDS</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Sindrom stečene imunodeficijencije</w:t>
            </w:r>
          </w:p>
        </w:tc>
      </w:tr>
      <w:tr w:rsidR="004975B7" w:rsidRPr="00155F80" w:rsidTr="004975B7">
        <w:trPr>
          <w:trHeight w:val="333"/>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BDP/GDP</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Bruto domaći proizvod</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BBS</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Biološko-bihevioralna studija</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DRARNS</w:t>
            </w:r>
          </w:p>
        </w:tc>
        <w:tc>
          <w:tcPr>
            <w:tcW w:w="6981" w:type="dxa"/>
            <w:tcBorders>
              <w:top w:val="single" w:sz="4" w:space="0" w:color="auto"/>
              <w:left w:val="single" w:sz="4" w:space="0" w:color="auto"/>
              <w:bottom w:val="single" w:sz="4" w:space="0" w:color="auto"/>
              <w:right w:val="single" w:sz="4" w:space="0" w:color="auto"/>
            </w:tcBorders>
            <w:vAlign w:val="center"/>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Državna regulatorna agencija za radijacijsku i nuklearnu sigurnost</w:t>
            </w:r>
          </w:p>
        </w:tc>
      </w:tr>
      <w:tr w:rsidR="004975B7" w:rsidRPr="00155F80" w:rsidTr="004975B7">
        <w:trPr>
          <w:trHeight w:val="376"/>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FBiH</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Federacija Bosne i Hercegovine</w:t>
            </w:r>
          </w:p>
        </w:tc>
      </w:tr>
      <w:tr w:rsidR="004975B7" w:rsidRPr="00155F80" w:rsidTr="004975B7">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FMZ</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Federalno ministarstvo zdravstva</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FZS</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Federalni zavod za statistiku</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HBV</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Hepatitis B virus</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HBC</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Hepatitis C virus</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HIV</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Virus koji uzrokuje AIDS</w:t>
            </w:r>
          </w:p>
        </w:tc>
      </w:tr>
      <w:tr w:rsidR="004975B7" w:rsidRPr="00155F80" w:rsidTr="004975B7">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IAEA</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Pr>
                <w:rFonts w:ascii="Times New Roman" w:hAnsi="Times New Roman"/>
                <w:lang w:val="bs-Latn-BA"/>
              </w:rPr>
              <w:t>Međunarodna</w:t>
            </w:r>
            <w:r w:rsidRPr="00155F80">
              <w:rPr>
                <w:rFonts w:ascii="Times New Roman" w:hAnsi="Times New Roman"/>
                <w:lang w:val="bs-Latn-BA"/>
              </w:rPr>
              <w:t xml:space="preserve"> agencija za atomsku energiju</w:t>
            </w:r>
          </w:p>
        </w:tc>
      </w:tr>
      <w:tr w:rsidR="004975B7" w:rsidRPr="00155F80" w:rsidTr="004975B7">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ITM/BMI</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Indeks tjelesne mase</w:t>
            </w:r>
          </w:p>
        </w:tc>
      </w:tr>
      <w:tr w:rsidR="004975B7" w:rsidRPr="00155F80" w:rsidTr="004975B7">
        <w:trPr>
          <w:trHeight w:val="362"/>
        </w:trPr>
        <w:tc>
          <w:tcPr>
            <w:tcW w:w="2081" w:type="dxa"/>
            <w:tcBorders>
              <w:top w:val="single" w:sz="4" w:space="0" w:color="auto"/>
              <w:left w:val="single" w:sz="4" w:space="0" w:color="auto"/>
              <w:bottom w:val="single" w:sz="4" w:space="0" w:color="auto"/>
              <w:right w:val="single" w:sz="4" w:space="0" w:color="auto"/>
            </w:tcBorders>
            <w:vAlign w:val="center"/>
          </w:tcPr>
          <w:p w:rsidR="004975B7" w:rsidRPr="00155F80" w:rsidRDefault="004975B7" w:rsidP="004975B7">
            <w:pPr>
              <w:spacing w:before="60" w:line="276" w:lineRule="auto"/>
              <w:jc w:val="left"/>
              <w:rPr>
                <w:rFonts w:ascii="Times New Roman" w:hAnsi="Times New Roman"/>
                <w:lang w:val="bs-Latn-BA"/>
              </w:rPr>
            </w:pPr>
            <w:r>
              <w:rPr>
                <w:rFonts w:ascii="Times New Roman" w:hAnsi="Times New Roman"/>
                <w:lang w:val="bs-Latn-BA"/>
              </w:rPr>
              <w:t>KPE</w:t>
            </w:r>
          </w:p>
        </w:tc>
        <w:tc>
          <w:tcPr>
            <w:tcW w:w="6981" w:type="dxa"/>
            <w:tcBorders>
              <w:top w:val="single" w:sz="4" w:space="0" w:color="auto"/>
              <w:left w:val="single" w:sz="4" w:space="0" w:color="auto"/>
              <w:bottom w:val="single" w:sz="4" w:space="0" w:color="auto"/>
              <w:right w:val="single" w:sz="4" w:space="0" w:color="auto"/>
            </w:tcBorders>
            <w:vAlign w:val="center"/>
          </w:tcPr>
          <w:p w:rsidR="004975B7" w:rsidRPr="00155F80" w:rsidRDefault="004975B7" w:rsidP="004975B7">
            <w:pPr>
              <w:spacing w:before="60" w:line="276" w:lineRule="auto"/>
              <w:jc w:val="left"/>
              <w:rPr>
                <w:rFonts w:ascii="Times New Roman" w:hAnsi="Times New Roman"/>
                <w:lang w:val="bs-Latn-BA"/>
              </w:rPr>
            </w:pPr>
            <w:r>
              <w:rPr>
                <w:rFonts w:ascii="Times New Roman" w:hAnsi="Times New Roman"/>
                <w:lang w:val="bs-Latn-BA"/>
              </w:rPr>
              <w:t>Kontinuirana profesionalna edukacija</w:t>
            </w:r>
          </w:p>
        </w:tc>
      </w:tr>
      <w:tr w:rsidR="004975B7" w:rsidRPr="00155F80" w:rsidTr="004975B7">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Mb</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Morbiditet</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MKB</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Međunarodna klasifikacija bolesti, ozljeda i uzroka smrti</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OM</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Pr>
                <w:rFonts w:ascii="Times New Roman" w:hAnsi="Times New Roman"/>
                <w:lang w:val="bs-Latn-BA"/>
              </w:rPr>
              <w:t>Porodična</w:t>
            </w:r>
            <w:r w:rsidRPr="00155F80">
              <w:rPr>
                <w:rFonts w:ascii="Times New Roman" w:hAnsi="Times New Roman"/>
                <w:lang w:val="bs-Latn-BA"/>
              </w:rPr>
              <w:t xml:space="preserve"> medicina</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PAT</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Program dodatne edukacije</w:t>
            </w:r>
          </w:p>
        </w:tc>
      </w:tr>
      <w:tr w:rsidR="004975B7" w:rsidRPr="00155F80" w:rsidTr="004975B7">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PZZ</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Primarna zdravstvena zaštita</w:t>
            </w:r>
          </w:p>
        </w:tc>
      </w:tr>
      <w:tr w:rsidR="004975B7" w:rsidRPr="00155F80" w:rsidTr="004975B7">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SDR</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Pr>
                <w:rFonts w:ascii="Times New Roman" w:hAnsi="Times New Roman"/>
                <w:lang w:val="bs-Latn-BA"/>
              </w:rPr>
              <w:t xml:space="preserve">Standardizovana </w:t>
            </w:r>
            <w:r w:rsidRPr="00155F80">
              <w:rPr>
                <w:rFonts w:ascii="Times New Roman" w:hAnsi="Times New Roman"/>
                <w:lang w:val="bs-Latn-BA"/>
              </w:rPr>
              <w:t>stopa mortaliteta</w:t>
            </w:r>
          </w:p>
        </w:tc>
      </w:tr>
      <w:tr w:rsidR="004975B7" w:rsidRPr="00155F80" w:rsidTr="004975B7">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SPI</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Spolno prenosive infekcije</w:t>
            </w:r>
          </w:p>
        </w:tc>
      </w:tr>
      <w:tr w:rsidR="004975B7" w:rsidRPr="00155F80" w:rsidTr="004975B7">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SZO/WHO</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Svjetska zdravstvena organizacija</w:t>
            </w:r>
          </w:p>
        </w:tc>
      </w:tr>
      <w:tr w:rsidR="004975B7" w:rsidRPr="00155F80" w:rsidTr="004975B7">
        <w:trPr>
          <w:trHeight w:val="376"/>
        </w:trPr>
        <w:tc>
          <w:tcPr>
            <w:tcW w:w="20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ZZJZ FBiH</w:t>
            </w:r>
          </w:p>
        </w:tc>
        <w:tc>
          <w:tcPr>
            <w:tcW w:w="6981" w:type="dxa"/>
            <w:tcBorders>
              <w:top w:val="single" w:sz="4" w:space="0" w:color="auto"/>
              <w:left w:val="single" w:sz="4" w:space="0" w:color="auto"/>
              <w:bottom w:val="single" w:sz="4" w:space="0" w:color="auto"/>
              <w:right w:val="single" w:sz="4" w:space="0" w:color="auto"/>
            </w:tcBorders>
            <w:vAlign w:val="center"/>
            <w:hideMark/>
          </w:tcPr>
          <w:p w:rsidR="004975B7" w:rsidRPr="00155F80" w:rsidRDefault="004975B7" w:rsidP="004975B7">
            <w:pPr>
              <w:spacing w:before="60" w:line="276" w:lineRule="auto"/>
              <w:jc w:val="left"/>
              <w:rPr>
                <w:rFonts w:ascii="Times New Roman" w:hAnsi="Times New Roman"/>
                <w:lang w:val="bs-Latn-BA"/>
              </w:rPr>
            </w:pPr>
            <w:r w:rsidRPr="00155F80">
              <w:rPr>
                <w:rFonts w:ascii="Times New Roman" w:hAnsi="Times New Roman"/>
                <w:lang w:val="bs-Latn-BA"/>
              </w:rPr>
              <w:t>Zavod za javno zdravstvo Federacije Bosne i Hercegovine</w:t>
            </w:r>
          </w:p>
        </w:tc>
      </w:tr>
    </w:tbl>
    <w:p w:rsidR="004975B7" w:rsidRPr="00155F80" w:rsidRDefault="004975B7" w:rsidP="004975B7">
      <w:pPr>
        <w:pStyle w:val="Poglavlje1"/>
        <w:numPr>
          <w:ilvl w:val="0"/>
          <w:numId w:val="0"/>
        </w:numPr>
        <w:spacing w:line="276" w:lineRule="auto"/>
        <w:ind w:left="720"/>
      </w:pPr>
    </w:p>
    <w:p w:rsidR="00A131AD" w:rsidRPr="00155F80" w:rsidRDefault="004975B7" w:rsidP="004975B7">
      <w:pPr>
        <w:pStyle w:val="Poglavlje1"/>
        <w:numPr>
          <w:ilvl w:val="0"/>
          <w:numId w:val="0"/>
        </w:numPr>
        <w:ind w:left="720"/>
      </w:pPr>
      <w:r>
        <w:t>SKRAĆENICE</w:t>
      </w:r>
    </w:p>
    <w:p w:rsidR="00A131AD" w:rsidRPr="00155F80" w:rsidRDefault="00A131AD" w:rsidP="000C0138">
      <w:pPr>
        <w:spacing w:after="200" w:line="276" w:lineRule="auto"/>
        <w:jc w:val="left"/>
        <w:rPr>
          <w:rFonts w:ascii="Times New Roman" w:hAnsi="Times New Roman"/>
          <w:b/>
          <w:bCs/>
          <w:lang w:val="bs-Latn-BA"/>
        </w:rPr>
      </w:pPr>
      <w:bookmarkStart w:id="6" w:name="_Toc424298812"/>
    </w:p>
    <w:p w:rsidR="00A131AD" w:rsidRPr="00155F80" w:rsidRDefault="00A131AD" w:rsidP="000C0138">
      <w:pPr>
        <w:spacing w:after="200" w:line="276" w:lineRule="auto"/>
        <w:jc w:val="left"/>
        <w:rPr>
          <w:rFonts w:ascii="Times New Roman" w:hAnsi="Times New Roman"/>
          <w:b/>
          <w:bCs/>
          <w:lang w:val="bs-Latn-BA"/>
        </w:rPr>
      </w:pPr>
    </w:p>
    <w:p w:rsidR="00A131AD" w:rsidRPr="00155F80" w:rsidRDefault="00A131AD" w:rsidP="000C0138">
      <w:pPr>
        <w:spacing w:after="200" w:line="276" w:lineRule="auto"/>
        <w:jc w:val="left"/>
        <w:rPr>
          <w:rFonts w:ascii="Times New Roman" w:hAnsi="Times New Roman"/>
          <w:b/>
          <w:bCs/>
          <w:lang w:val="bs-Latn-BA"/>
        </w:rPr>
      </w:pPr>
    </w:p>
    <w:p w:rsidR="00A131AD" w:rsidRDefault="00A131AD" w:rsidP="000C0138">
      <w:pPr>
        <w:spacing w:after="200" w:line="276" w:lineRule="auto"/>
        <w:jc w:val="left"/>
        <w:rPr>
          <w:rFonts w:ascii="Times New Roman" w:hAnsi="Times New Roman"/>
          <w:b/>
          <w:bCs/>
          <w:lang w:val="bs-Latn-BA"/>
        </w:rPr>
      </w:pPr>
    </w:p>
    <w:p w:rsidR="004975B7" w:rsidRPr="00155F80" w:rsidRDefault="004975B7" w:rsidP="000C0138">
      <w:pPr>
        <w:spacing w:after="200" w:line="276" w:lineRule="auto"/>
        <w:jc w:val="left"/>
        <w:rPr>
          <w:rFonts w:ascii="Times New Roman" w:hAnsi="Times New Roman"/>
          <w:b/>
          <w:bCs/>
          <w:lang w:val="bs-Latn-BA"/>
        </w:rPr>
      </w:pPr>
    </w:p>
    <w:p w:rsidR="00A131AD" w:rsidRPr="00155F80" w:rsidRDefault="00A131AD" w:rsidP="000C0138">
      <w:pPr>
        <w:spacing w:after="200" w:line="276" w:lineRule="auto"/>
        <w:jc w:val="left"/>
        <w:rPr>
          <w:rFonts w:ascii="Times New Roman" w:hAnsi="Times New Roman"/>
          <w:b/>
          <w:bCs/>
          <w:lang w:val="bs-Latn-BA"/>
        </w:rPr>
      </w:pPr>
    </w:p>
    <w:p w:rsidR="00A131AD" w:rsidRDefault="00A131AD" w:rsidP="000C0138">
      <w:pPr>
        <w:spacing w:after="200" w:line="276" w:lineRule="auto"/>
        <w:jc w:val="left"/>
        <w:rPr>
          <w:rFonts w:ascii="Times New Roman" w:hAnsi="Times New Roman"/>
          <w:b/>
          <w:bCs/>
          <w:lang w:val="bs-Latn-BA"/>
        </w:rPr>
      </w:pPr>
    </w:p>
    <w:p w:rsidR="00CB071F" w:rsidRDefault="00CB071F" w:rsidP="000C0138">
      <w:pPr>
        <w:spacing w:after="200" w:line="276" w:lineRule="auto"/>
        <w:jc w:val="left"/>
        <w:rPr>
          <w:rFonts w:ascii="Times New Roman" w:hAnsi="Times New Roman"/>
          <w:b/>
          <w:bCs/>
          <w:lang w:val="bs-Latn-BA"/>
        </w:rPr>
      </w:pPr>
    </w:p>
    <w:p w:rsidR="00CB071F" w:rsidRPr="00155F80" w:rsidRDefault="00CB071F" w:rsidP="000C0138">
      <w:pPr>
        <w:spacing w:after="200" w:line="276" w:lineRule="auto"/>
        <w:jc w:val="left"/>
        <w:rPr>
          <w:rFonts w:ascii="Times New Roman" w:hAnsi="Times New Roman"/>
          <w:b/>
          <w:bCs/>
          <w:lang w:val="bs-Latn-BA"/>
        </w:rPr>
      </w:pPr>
    </w:p>
    <w:bookmarkEnd w:id="6"/>
    <w:p w:rsidR="00A131AD" w:rsidRPr="00155F80" w:rsidRDefault="00A131AD" w:rsidP="000C0138">
      <w:pPr>
        <w:spacing w:line="276" w:lineRule="auto"/>
        <w:rPr>
          <w:rFonts w:ascii="Times New Roman" w:hAnsi="Times New Roman"/>
          <w:lang w:val="bs-Latn-BA"/>
        </w:rPr>
      </w:pPr>
    </w:p>
    <w:p w:rsidR="000C263A" w:rsidRPr="000C263A" w:rsidRDefault="000C263A" w:rsidP="000C263A">
      <w:pPr>
        <w:spacing w:after="160" w:line="259" w:lineRule="auto"/>
        <w:jc w:val="center"/>
        <w:rPr>
          <w:rFonts w:ascii="Times New Roman" w:eastAsiaTheme="minorHAnsi" w:hAnsi="Times New Roman"/>
          <w:b/>
          <w:lang w:val="bs-Latn-BA"/>
        </w:rPr>
      </w:pPr>
      <w:r w:rsidRPr="000C263A">
        <w:rPr>
          <w:rFonts w:ascii="Times New Roman" w:eastAsiaTheme="minorHAnsi" w:hAnsi="Times New Roman"/>
          <w:b/>
          <w:lang w:val="bs-Latn-BA"/>
        </w:rPr>
        <w:t xml:space="preserve">Odabrani </w:t>
      </w:r>
      <w:r w:rsidR="00587CDA">
        <w:rPr>
          <w:rFonts w:ascii="Times New Roman" w:eastAsiaTheme="minorHAnsi" w:hAnsi="Times New Roman"/>
          <w:b/>
          <w:lang w:val="bs-Latn-BA"/>
        </w:rPr>
        <w:t>pokazatelji</w:t>
      </w:r>
      <w:r w:rsidRPr="000C263A">
        <w:rPr>
          <w:rFonts w:ascii="Times New Roman" w:eastAsiaTheme="minorHAnsi" w:hAnsi="Times New Roman"/>
          <w:b/>
          <w:lang w:val="bs-Latn-BA"/>
        </w:rPr>
        <w:t xml:space="preserve"> za 2015. godinu</w:t>
      </w:r>
    </w:p>
    <w:tbl>
      <w:tblPr>
        <w:tblStyle w:val="TableGrid1"/>
        <w:tblW w:w="0" w:type="auto"/>
        <w:tblLook w:val="04A0" w:firstRow="1" w:lastRow="0" w:firstColumn="1" w:lastColumn="0" w:noHBand="0" w:noVBand="1"/>
      </w:tblPr>
      <w:tblGrid>
        <w:gridCol w:w="3397"/>
        <w:gridCol w:w="2482"/>
        <w:gridCol w:w="2942"/>
      </w:tblGrid>
      <w:tr w:rsidR="000C263A" w:rsidRPr="000C263A" w:rsidTr="004809B6">
        <w:trPr>
          <w:trHeight w:val="828"/>
        </w:trPr>
        <w:tc>
          <w:tcPr>
            <w:tcW w:w="3397" w:type="dxa"/>
            <w:shd w:val="clear" w:color="auto" w:fill="BFBFBF" w:themeFill="background1" w:themeFillShade="BF"/>
          </w:tcPr>
          <w:p w:rsidR="000C263A" w:rsidRPr="000C263A" w:rsidRDefault="000C263A" w:rsidP="000C263A">
            <w:pPr>
              <w:jc w:val="center"/>
              <w:rPr>
                <w:rFonts w:ascii="Times New Roman" w:eastAsiaTheme="minorHAnsi" w:hAnsi="Times New Roman"/>
                <w:b/>
                <w:lang w:val="bs-Latn-BA"/>
              </w:rPr>
            </w:pPr>
          </w:p>
          <w:p w:rsidR="000C263A" w:rsidRPr="000C263A" w:rsidRDefault="000C263A" w:rsidP="000C263A">
            <w:pPr>
              <w:jc w:val="center"/>
              <w:rPr>
                <w:rFonts w:ascii="Times New Roman" w:eastAsiaTheme="minorHAnsi" w:hAnsi="Times New Roman"/>
                <w:b/>
                <w:lang w:val="bs-Latn-BA"/>
              </w:rPr>
            </w:pPr>
            <w:r w:rsidRPr="000C263A">
              <w:rPr>
                <w:rFonts w:ascii="Times New Roman" w:eastAsiaTheme="minorHAnsi" w:hAnsi="Times New Roman"/>
                <w:b/>
                <w:lang w:val="bs-Latn-BA"/>
              </w:rPr>
              <w:t>DEMOGRAFSKI</w:t>
            </w:r>
          </w:p>
        </w:tc>
        <w:tc>
          <w:tcPr>
            <w:tcW w:w="2482" w:type="dxa"/>
            <w:shd w:val="clear" w:color="auto" w:fill="BFBFBF" w:themeFill="background1" w:themeFillShade="BF"/>
          </w:tcPr>
          <w:p w:rsidR="000C263A" w:rsidRPr="000C263A" w:rsidRDefault="000C263A" w:rsidP="000C263A">
            <w:pPr>
              <w:jc w:val="center"/>
              <w:rPr>
                <w:rFonts w:ascii="Times New Roman" w:eastAsiaTheme="minorHAnsi" w:hAnsi="Times New Roman" w:cstheme="minorBidi"/>
                <w:b/>
                <w:bCs/>
                <w:lang w:val="bs-Latn-BA"/>
              </w:rPr>
            </w:pPr>
          </w:p>
          <w:p w:rsidR="000C263A" w:rsidRPr="000C263A" w:rsidRDefault="000C263A" w:rsidP="005901AB">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E</w:t>
            </w:r>
            <w:r w:rsidR="005901AB">
              <w:rPr>
                <w:rFonts w:ascii="Times New Roman" w:eastAsiaTheme="minorHAnsi" w:hAnsi="Times New Roman" w:cstheme="minorBidi"/>
                <w:b/>
                <w:bCs/>
                <w:lang w:val="bs-Latn-BA"/>
              </w:rPr>
              <w:t>U</w:t>
            </w:r>
            <w:r w:rsidRPr="000C263A">
              <w:rPr>
                <w:rFonts w:ascii="Times New Roman" w:eastAsiaTheme="minorHAnsi" w:hAnsi="Times New Roman" w:cstheme="minorBidi"/>
                <w:b/>
                <w:bCs/>
                <w:lang w:val="bs-Latn-BA"/>
              </w:rPr>
              <w:t>ROPSKI REGION*</w:t>
            </w:r>
          </w:p>
        </w:tc>
        <w:tc>
          <w:tcPr>
            <w:tcW w:w="2942" w:type="dxa"/>
            <w:shd w:val="clear" w:color="auto" w:fill="BFBFBF" w:themeFill="background1" w:themeFillShade="BF"/>
          </w:tcPr>
          <w:p w:rsidR="000C263A" w:rsidRPr="000C263A" w:rsidRDefault="000C263A" w:rsidP="000C263A">
            <w:pPr>
              <w:jc w:val="center"/>
              <w:rPr>
                <w:rFonts w:ascii="Times New Roman" w:eastAsiaTheme="minorHAnsi" w:hAnsi="Times New Roman" w:cstheme="minorBidi"/>
                <w:b/>
                <w:bCs/>
                <w:lang w:val="bs-Latn-BA"/>
              </w:rPr>
            </w:pPr>
          </w:p>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FEDERACIJA BOSNE I HERCEGOVINE 2015.</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Procjena broja stanovnika (%)</w:t>
            </w:r>
          </w:p>
        </w:tc>
        <w:tc>
          <w:tcPr>
            <w:tcW w:w="2482" w:type="dxa"/>
          </w:tcPr>
          <w:p w:rsidR="000C263A" w:rsidRPr="000C263A" w:rsidRDefault="000C263A" w:rsidP="000C263A">
            <w:pPr>
              <w:spacing w:line="276" w:lineRule="auto"/>
              <w:ind w:left="-108"/>
              <w:jc w:val="right"/>
              <w:rPr>
                <w:rFonts w:ascii="Times New Roman" w:hAnsi="Times New Roman"/>
                <w:lang w:val="bs-Latn-BA"/>
              </w:rPr>
            </w:pPr>
            <w:r w:rsidRPr="000C263A">
              <w:rPr>
                <w:rFonts w:ascii="Times New Roman" w:hAnsi="Times New Roman"/>
                <w:lang w:val="bs-Latn-BA"/>
              </w:rPr>
              <w:t>0-14: 17,7%</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 xml:space="preserve"> 65+ : 14,8%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0-14:18,1%</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65+: 14,3%</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GDP per capita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cstheme="minorBidi"/>
                <w:lang w:val="bs-Latn-BA"/>
              </w:rPr>
              <w:t>25.681,7 USA $</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Stopa nezaposlenosti (%)</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9,36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29,1</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Živorođeni /1000 stanovnika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12,32</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8,3</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Stopa fertiliteta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1,64</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1,2</w:t>
            </w:r>
          </w:p>
        </w:tc>
      </w:tr>
      <w:tr w:rsidR="000C263A" w:rsidRPr="000C263A" w:rsidTr="004809B6">
        <w:trPr>
          <w:trHeight w:val="438"/>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b/>
                <w:lang w:val="bs-Latn-BA"/>
              </w:rPr>
            </w:pPr>
            <w:r w:rsidRPr="000C263A">
              <w:rPr>
                <w:rFonts w:ascii="Times New Roman" w:eastAsiaTheme="minorHAnsi" w:hAnsi="Times New Roman"/>
                <w:b/>
                <w:lang w:val="bs-Latn-BA"/>
              </w:rPr>
              <w:t xml:space="preserve">MORTALITET: </w:t>
            </w:r>
            <w:r w:rsidR="000A3A46">
              <w:rPr>
                <w:rFonts w:ascii="Times New Roman" w:eastAsiaTheme="minorHAnsi" w:hAnsi="Times New Roman"/>
                <w:b/>
                <w:lang w:val="bs-Latn-BA"/>
              </w:rPr>
              <w:t>Standardizovana</w:t>
            </w:r>
            <w:r w:rsidRPr="000C263A">
              <w:rPr>
                <w:rFonts w:ascii="Times New Roman" w:eastAsiaTheme="minorHAnsi" w:hAnsi="Times New Roman"/>
                <w:b/>
                <w:lang w:val="bs-Latn-BA"/>
              </w:rPr>
              <w:t xml:space="preserve"> stopa smrtnosti (SDR)/100.000 stanovnika</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svi uzroci i sve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752,26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762,2</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bolesti cirkula</w:t>
            </w:r>
            <w:r w:rsidR="00065CCF">
              <w:rPr>
                <w:rFonts w:ascii="Times New Roman" w:eastAsiaTheme="minorHAnsi" w:hAnsi="Times New Roman" w:cstheme="minorBidi"/>
                <w:lang w:val="bs-Latn-BA"/>
              </w:rPr>
              <w:t>cijskog</w:t>
            </w:r>
            <w:r w:rsidRPr="000C263A">
              <w:rPr>
                <w:rFonts w:ascii="Times New Roman" w:eastAsiaTheme="minorHAnsi" w:hAnsi="Times New Roman" w:cstheme="minorBidi"/>
                <w:lang w:val="bs-Latn-BA"/>
              </w:rPr>
              <w:t xml:space="preserve"> </w:t>
            </w:r>
            <w:r w:rsidR="00512E30">
              <w:rPr>
                <w:rFonts w:ascii="Times New Roman" w:eastAsiaTheme="minorHAnsi" w:hAnsi="Times New Roman" w:cstheme="minorBidi"/>
                <w:lang w:val="bs-Latn-BA"/>
              </w:rPr>
              <w:t>sistem</w:t>
            </w:r>
            <w:r w:rsidR="00065CCF">
              <w:rPr>
                <w:rFonts w:ascii="Times New Roman" w:eastAsiaTheme="minorHAnsi" w:hAnsi="Times New Roman" w:cstheme="minorBidi"/>
                <w:lang w:val="bs-Latn-BA"/>
              </w:rPr>
              <w:t>a</w:t>
            </w:r>
            <w:r w:rsidRPr="000C263A">
              <w:rPr>
                <w:rFonts w:ascii="Times New Roman" w:eastAsiaTheme="minorHAnsi" w:hAnsi="Times New Roman" w:cstheme="minorBidi"/>
                <w:lang w:val="bs-Latn-BA"/>
              </w:rPr>
              <w:t>, sv</w:t>
            </w:r>
            <w:r w:rsidR="00065CCF">
              <w:rPr>
                <w:rFonts w:ascii="Times New Roman" w:eastAsiaTheme="minorHAnsi" w:hAnsi="Times New Roman" w:cstheme="minorBidi"/>
                <w:lang w:val="bs-Latn-BA"/>
              </w:rPr>
              <w:t>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339,99</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400,9</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maligne neoplazme, sv</w:t>
            </w:r>
            <w:r w:rsidR="00065CCF">
              <w:rPr>
                <w:rFonts w:ascii="Times New Roman" w:eastAsiaTheme="minorHAnsi" w:hAnsi="Times New Roman" w:cstheme="minorBidi"/>
                <w:lang w:val="bs-Latn-BA"/>
              </w:rPr>
              <w:t>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156,51</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164,1</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samoubojstva, sv</w:t>
            </w:r>
            <w:r w:rsidR="00065CCF">
              <w:rPr>
                <w:rFonts w:ascii="Times New Roman" w:eastAsiaTheme="minorHAnsi" w:hAnsi="Times New Roman" w:cstheme="minorBidi"/>
                <w:lang w:val="bs-Latn-BA"/>
              </w:rPr>
              <w:t>e</w:t>
            </w:r>
            <w:r w:rsidRPr="000C263A">
              <w:rPr>
                <w:rFonts w:ascii="Times New Roman" w:eastAsiaTheme="minorHAnsi" w:hAnsi="Times New Roman" w:cstheme="minorBidi"/>
                <w:lang w:val="bs-Latn-BA"/>
              </w:rPr>
              <w:t xml:space="preserve"> </w:t>
            </w:r>
            <w:r w:rsidR="00065CCF">
              <w:rPr>
                <w:rFonts w:ascii="Times New Roman" w:eastAsiaTheme="minorHAnsi" w:hAnsi="Times New Roman" w:cstheme="minorBidi"/>
                <w:lang w:val="bs-Latn-BA"/>
              </w:rPr>
              <w:t>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11,33</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6,6</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zarazna i parazitarna oboljenja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13,04</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w:t>
            </w:r>
          </w:p>
        </w:tc>
      </w:tr>
      <w:tr w:rsidR="000C263A" w:rsidRPr="000C263A" w:rsidTr="004809B6">
        <w:trPr>
          <w:trHeight w:val="339"/>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ZARAZNE BOLESTI</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AIDS incidenca/100.000 st.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1,78</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0,21</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HIV incidenca/100.000 st.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6,7</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0,42</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Tuberkuloza: Incidenca/100.000</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32,88</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31</w:t>
            </w:r>
          </w:p>
        </w:tc>
      </w:tr>
      <w:tr w:rsidR="000C263A" w:rsidRPr="000C263A" w:rsidTr="004809B6">
        <w:trPr>
          <w:trHeight w:val="396"/>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ZDRAVLJE DJECE I MLADIH</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hAnsi="Times New Roman"/>
                <w:lang w:val="bs-Latn-BA"/>
              </w:rPr>
              <w:t xml:space="preserve">Dojenačka smrtnost </w:t>
            </w:r>
          </w:p>
          <w:p w:rsidR="000C263A" w:rsidRPr="000C263A" w:rsidRDefault="000C263A" w:rsidP="000C263A">
            <w:pPr>
              <w:jc w:val="left"/>
              <w:rPr>
                <w:rFonts w:ascii="Times New Roman" w:eastAsiaTheme="minorHAnsi" w:hAnsi="Times New Roman"/>
                <w:lang w:val="bs-Latn-BA"/>
              </w:rPr>
            </w:pPr>
            <w:r w:rsidRPr="000C263A">
              <w:rPr>
                <w:rFonts w:ascii="Times New Roman" w:hAnsi="Times New Roman"/>
                <w:lang w:val="bs-Latn-BA"/>
              </w:rPr>
              <w:t>(na 1000 živorođenih)</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7,06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7,9</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Pokrivenost imunizacijom DTP</w:t>
            </w:r>
            <w:r w:rsidRPr="000C263A">
              <w:rPr>
                <w:rFonts w:ascii="Times New Roman" w:eastAsiaTheme="minorHAnsi" w:hAnsi="Times New Roman" w:cstheme="minorBidi"/>
                <w:vertAlign w:val="subscript"/>
                <w:lang w:val="bs-Latn-BA"/>
              </w:rPr>
              <w:t>3</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76,3%</w:t>
            </w:r>
          </w:p>
        </w:tc>
      </w:tr>
      <w:tr w:rsidR="000C263A" w:rsidRPr="000C263A" w:rsidTr="004809B6">
        <w:trPr>
          <w:trHeight w:val="317"/>
        </w:trPr>
        <w:tc>
          <w:tcPr>
            <w:tcW w:w="8821" w:type="dxa"/>
            <w:gridSpan w:val="3"/>
            <w:shd w:val="clear" w:color="auto" w:fill="BFBFBF" w:themeFill="background1" w:themeFillShade="BF"/>
          </w:tcPr>
          <w:p w:rsidR="000C263A" w:rsidRDefault="00F311A8" w:rsidP="000C263A">
            <w:pPr>
              <w:jc w:val="center"/>
              <w:rPr>
                <w:rFonts w:ascii="Times New Roman" w:eastAsiaTheme="minorHAnsi" w:hAnsi="Times New Roman" w:cstheme="minorBidi"/>
                <w:b/>
                <w:bCs/>
                <w:lang w:val="bs-Latn-BA"/>
              </w:rPr>
            </w:pPr>
            <w:r>
              <w:rPr>
                <w:rFonts w:ascii="Times New Roman" w:eastAsiaTheme="minorHAnsi" w:hAnsi="Times New Roman" w:cstheme="minorBidi"/>
                <w:b/>
                <w:bCs/>
                <w:lang w:val="bs-Latn-BA"/>
              </w:rPr>
              <w:t xml:space="preserve">RIZIČNI </w:t>
            </w:r>
            <w:r w:rsidR="00D21A46">
              <w:rPr>
                <w:rFonts w:ascii="Times New Roman" w:eastAsiaTheme="minorHAnsi" w:hAnsi="Times New Roman" w:cstheme="minorBidi"/>
                <w:b/>
                <w:bCs/>
                <w:lang w:val="bs-Latn-BA"/>
              </w:rPr>
              <w:t>FAKTORI</w:t>
            </w:r>
            <w:r>
              <w:rPr>
                <w:rFonts w:ascii="Times New Roman" w:eastAsiaTheme="minorHAnsi" w:hAnsi="Times New Roman" w:cstheme="minorBidi"/>
                <w:b/>
                <w:bCs/>
                <w:lang w:val="bs-Latn-BA"/>
              </w:rPr>
              <w:t xml:space="preserve"> </w:t>
            </w:r>
          </w:p>
          <w:p w:rsidR="00D22BBB" w:rsidRPr="000C263A" w:rsidRDefault="00D22BBB" w:rsidP="000C263A">
            <w:pPr>
              <w:jc w:val="center"/>
              <w:rPr>
                <w:rFonts w:ascii="Times New Roman" w:eastAsiaTheme="minorHAnsi" w:hAnsi="Times New Roman"/>
                <w:lang w:val="bs-Latn-BA"/>
              </w:rPr>
            </w:pPr>
          </w:p>
        </w:tc>
      </w:tr>
      <w:tr w:rsidR="000C263A" w:rsidRPr="000C263A" w:rsidTr="004809B6">
        <w:trPr>
          <w:trHeight w:val="517"/>
        </w:trPr>
        <w:tc>
          <w:tcPr>
            <w:tcW w:w="3397" w:type="dxa"/>
          </w:tcPr>
          <w:p w:rsidR="000C263A" w:rsidRPr="006D674E" w:rsidRDefault="006D674E" w:rsidP="006D674E">
            <w:pPr>
              <w:spacing w:line="276" w:lineRule="auto"/>
              <w:jc w:val="left"/>
              <w:rPr>
                <w:rFonts w:ascii="Times New Roman" w:hAnsi="Times New Roman"/>
                <w:lang w:val="bs-Latn-BA"/>
              </w:rPr>
            </w:pPr>
            <w:r>
              <w:rPr>
                <w:rFonts w:ascii="Times New Roman" w:hAnsi="Times New Roman"/>
                <w:lang w:val="bs-Latn-BA"/>
              </w:rPr>
              <w:t xml:space="preserve">Konzumacija duhana-odrasli </w:t>
            </w:r>
            <w:r w:rsidR="000C263A" w:rsidRPr="000C263A">
              <w:rPr>
                <w:rFonts w:ascii="Times New Roman" w:hAnsi="Times New Roman"/>
                <w:lang w:val="bs-Latn-BA"/>
              </w:rPr>
              <w: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26,78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44,1</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56,3</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31,6</w:t>
            </w:r>
          </w:p>
        </w:tc>
      </w:tr>
      <w:tr w:rsidR="000C263A" w:rsidRPr="000C263A" w:rsidTr="004809B6">
        <w:trPr>
          <w:trHeight w:val="517"/>
        </w:trPr>
        <w:tc>
          <w:tcPr>
            <w:tcW w:w="3397" w:type="dxa"/>
          </w:tcPr>
          <w:p w:rsidR="000C263A" w:rsidRPr="000C263A" w:rsidRDefault="00065CCF" w:rsidP="000C263A">
            <w:pPr>
              <w:spacing w:line="276" w:lineRule="auto"/>
              <w:jc w:val="left"/>
              <w:rPr>
                <w:rFonts w:ascii="Times New Roman" w:hAnsi="Times New Roman"/>
                <w:lang w:val="bs-Latn-BA"/>
              </w:rPr>
            </w:pPr>
            <w:r>
              <w:rPr>
                <w:rFonts w:ascii="Times New Roman" w:hAnsi="Times New Roman"/>
                <w:lang w:val="bs-Latn-BA"/>
              </w:rPr>
              <w:t>Pretilost</w:t>
            </w:r>
            <w:r w:rsidR="000C263A" w:rsidRPr="000C263A">
              <w:rPr>
                <w:rFonts w:ascii="Times New Roman" w:hAnsi="Times New Roman"/>
                <w:lang w:val="bs-Latn-BA"/>
              </w:rPr>
              <w:t xml:space="preserve"> (BMI-Indeks tjelesne mase&gt;30)</w:t>
            </w:r>
          </w:p>
        </w:tc>
        <w:tc>
          <w:tcPr>
            <w:tcW w:w="248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Ukupno:&gt;20**</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20</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23</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21,2</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19,1</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23,3</w:t>
            </w:r>
          </w:p>
        </w:tc>
      </w:tr>
      <w:tr w:rsidR="000C263A" w:rsidRPr="000C263A" w:rsidTr="004809B6">
        <w:trPr>
          <w:trHeight w:val="517"/>
        </w:trPr>
        <w:tc>
          <w:tcPr>
            <w:tcW w:w="3397" w:type="dxa"/>
          </w:tcPr>
          <w:p w:rsidR="000C263A" w:rsidRPr="000C263A" w:rsidRDefault="00065CCF" w:rsidP="000C263A">
            <w:pPr>
              <w:spacing w:line="276" w:lineRule="auto"/>
              <w:jc w:val="left"/>
              <w:rPr>
                <w:rFonts w:ascii="Times New Roman" w:hAnsi="Times New Roman"/>
                <w:lang w:val="bs-Latn-BA"/>
              </w:rPr>
            </w:pPr>
            <w:r>
              <w:rPr>
                <w:rFonts w:ascii="Times New Roman" w:hAnsi="Times New Roman"/>
                <w:lang w:val="bs-Latn-BA"/>
              </w:rPr>
              <w:t>Tjelesna</w:t>
            </w:r>
            <w:r w:rsidR="000C263A" w:rsidRPr="000C263A">
              <w:rPr>
                <w:rFonts w:ascii="Times New Roman" w:hAnsi="Times New Roman"/>
                <w:lang w:val="bs-Latn-BA"/>
              </w:rPr>
              <w:t xml:space="preserve"> aktivnost-aktivni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cstheme="minorBidi"/>
                <w:lang w:val="bs-Latn-BA"/>
              </w:rPr>
              <w:t>Ukupno: &lt;70**</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24,6</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28,7</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20,3</w:t>
            </w:r>
          </w:p>
        </w:tc>
      </w:tr>
      <w:tr w:rsidR="000C263A" w:rsidRPr="000C263A" w:rsidTr="004809B6">
        <w:trPr>
          <w:trHeight w:val="416"/>
        </w:trPr>
        <w:tc>
          <w:tcPr>
            <w:tcW w:w="8821" w:type="dxa"/>
            <w:gridSpan w:val="3"/>
            <w:shd w:val="clear" w:color="auto" w:fill="BFBFBF" w:themeFill="background1" w:themeFillShade="BF"/>
          </w:tcPr>
          <w:p w:rsidR="00D22BBB" w:rsidRDefault="00D22BBB" w:rsidP="000C263A">
            <w:pPr>
              <w:spacing w:line="276" w:lineRule="auto"/>
              <w:jc w:val="right"/>
              <w:rPr>
                <w:rFonts w:ascii="Times New Roman" w:eastAsiaTheme="minorHAnsi" w:hAnsi="Times New Roman" w:cstheme="minorBidi"/>
                <w:b/>
                <w:bCs/>
                <w:lang w:val="bs-Latn-BA"/>
              </w:rPr>
            </w:pPr>
          </w:p>
          <w:p w:rsidR="00D22BBB" w:rsidRDefault="00D22BBB" w:rsidP="000C263A">
            <w:pPr>
              <w:spacing w:line="276" w:lineRule="auto"/>
              <w:jc w:val="right"/>
              <w:rPr>
                <w:rFonts w:ascii="Times New Roman" w:eastAsiaTheme="minorHAnsi" w:hAnsi="Times New Roman" w:cstheme="minorBidi"/>
                <w:b/>
                <w:bCs/>
                <w:lang w:val="bs-Latn-BA"/>
              </w:rPr>
            </w:pPr>
          </w:p>
          <w:p w:rsidR="000C263A" w:rsidRDefault="000C263A" w:rsidP="000C263A">
            <w:pPr>
              <w:spacing w:line="276" w:lineRule="auto"/>
              <w:jc w:val="right"/>
              <w:rPr>
                <w:rFonts w:ascii="Times New Roman" w:eastAsiaTheme="minorHAnsi" w:hAnsi="Times New Roman" w:cstheme="minorBidi"/>
                <w:b/>
                <w:bCs/>
                <w:lang w:val="bs-Latn-BA"/>
              </w:rPr>
            </w:pPr>
            <w:r w:rsidRPr="000C263A">
              <w:rPr>
                <w:rFonts w:ascii="Times New Roman" w:eastAsiaTheme="minorHAnsi" w:hAnsi="Times New Roman" w:cstheme="minorBidi"/>
                <w:b/>
                <w:bCs/>
                <w:lang w:val="bs-Latn-BA"/>
              </w:rPr>
              <w:t>RESURSI /100.000 STANOVNIKA I KORIŠTENJE ZDRAVSTVENE ZAŠTITE</w:t>
            </w:r>
          </w:p>
          <w:p w:rsidR="00D22BBB" w:rsidRPr="000C263A" w:rsidRDefault="00D22BBB" w:rsidP="000C263A">
            <w:pPr>
              <w:spacing w:line="276" w:lineRule="auto"/>
              <w:jc w:val="right"/>
              <w:rPr>
                <w:rFonts w:ascii="Times New Roman" w:hAnsi="Times New Roman"/>
                <w:lang w:val="bs-Latn-BA"/>
              </w:rPr>
            </w:pP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Doktori medicine, ukupno</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307,88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204,1</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Doktori medicine opće prakse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64,57</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42,2</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bs-Latn-BA"/>
              </w:rPr>
              <w:t>Doktori stomatologije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53,3</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24,9</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bs-Latn-BA"/>
              </w:rPr>
              <w:t>Magistri farmacije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55,35</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13,8</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en-US"/>
              </w:rPr>
              <w:t>Medicinske sestre/tehničari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728,84</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566,2</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Bolnice(na100.000 stanovnika)</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3,22</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1,0</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Bolnički kreveti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566,62</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356,5</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Prosječna dužina ležanja (dani)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8,64</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7,6</w:t>
            </w:r>
          </w:p>
        </w:tc>
      </w:tr>
      <w:tr w:rsidR="00CB071F" w:rsidRPr="00CB071F" w:rsidTr="004809B6">
        <w:trPr>
          <w:trHeight w:val="517"/>
        </w:trPr>
        <w:tc>
          <w:tcPr>
            <w:tcW w:w="3397" w:type="dxa"/>
          </w:tcPr>
          <w:p w:rsidR="000C263A" w:rsidRPr="00CB071F" w:rsidRDefault="000C263A" w:rsidP="000C263A">
            <w:pPr>
              <w:spacing w:line="276" w:lineRule="auto"/>
              <w:jc w:val="left"/>
              <w:rPr>
                <w:rFonts w:ascii="Times New Roman" w:hAnsi="Times New Roman"/>
                <w:lang w:val="bs-Latn-BA"/>
              </w:rPr>
            </w:pPr>
            <w:r w:rsidRPr="00CB071F">
              <w:rPr>
                <w:rFonts w:ascii="Times New Roman" w:eastAsiaTheme="minorHAnsi" w:hAnsi="Times New Roman" w:cstheme="minorBidi"/>
                <w:lang w:val="bs-Latn-BA"/>
              </w:rPr>
              <w:t>Ukupni t</w:t>
            </w:r>
            <w:r w:rsidR="00CB071F">
              <w:rPr>
                <w:rFonts w:ascii="Times New Roman" w:eastAsiaTheme="minorHAnsi" w:hAnsi="Times New Roman" w:cstheme="minorBidi"/>
                <w:lang w:val="bs-Latn-BA"/>
              </w:rPr>
              <w:t>roškovi u zdravstvu (% GDP-a)</w:t>
            </w:r>
          </w:p>
        </w:tc>
        <w:tc>
          <w:tcPr>
            <w:tcW w:w="2482" w:type="dxa"/>
          </w:tcPr>
          <w:p w:rsidR="000C263A" w:rsidRPr="00CB071F" w:rsidRDefault="000C263A" w:rsidP="000C263A">
            <w:pPr>
              <w:jc w:val="right"/>
              <w:rPr>
                <w:rFonts w:ascii="Times New Roman" w:eastAsiaTheme="minorHAnsi" w:hAnsi="Times New Roman" w:cstheme="minorBidi"/>
                <w:lang w:val="bs-Latn-BA"/>
              </w:rPr>
            </w:pPr>
            <w:r w:rsidRPr="00CB071F">
              <w:rPr>
                <w:rFonts w:ascii="Times New Roman" w:eastAsiaTheme="minorHAnsi" w:hAnsi="Times New Roman" w:cstheme="minorBidi"/>
                <w:lang w:val="bs-Latn-BA"/>
              </w:rPr>
              <w:t>8,24</w:t>
            </w:r>
          </w:p>
        </w:tc>
        <w:tc>
          <w:tcPr>
            <w:tcW w:w="2942" w:type="dxa"/>
          </w:tcPr>
          <w:p w:rsidR="000C263A" w:rsidRPr="00CB071F" w:rsidRDefault="000C263A" w:rsidP="000C263A">
            <w:pPr>
              <w:spacing w:line="276" w:lineRule="auto"/>
              <w:jc w:val="right"/>
              <w:rPr>
                <w:rFonts w:ascii="Times New Roman" w:hAnsi="Times New Roman"/>
                <w:lang w:val="bs-Latn-BA"/>
              </w:rPr>
            </w:pPr>
            <w:r w:rsidRPr="00CB071F">
              <w:rPr>
                <w:rFonts w:ascii="Times New Roman" w:hAnsi="Times New Roman"/>
                <w:lang w:val="bs-Latn-BA"/>
              </w:rPr>
              <w:t>...</w:t>
            </w:r>
          </w:p>
        </w:tc>
      </w:tr>
    </w:tbl>
    <w:p w:rsidR="000C263A" w:rsidRPr="000C263A" w:rsidRDefault="000C263A" w:rsidP="000C263A">
      <w:pPr>
        <w:spacing w:line="276" w:lineRule="auto"/>
        <w:rPr>
          <w:rFonts w:ascii="Times New Roman" w:hAnsi="Times New Roman"/>
        </w:rPr>
      </w:pPr>
      <w:r w:rsidRPr="000C263A">
        <w:rPr>
          <w:rFonts w:ascii="Times New Roman" w:hAnsi="Times New Roman"/>
        </w:rPr>
        <w:t>* WHO, European Health for All data base</w:t>
      </w:r>
    </w:p>
    <w:p w:rsidR="000C263A" w:rsidRPr="000C263A" w:rsidRDefault="000C263A" w:rsidP="000C263A">
      <w:pPr>
        <w:spacing w:line="276" w:lineRule="auto"/>
        <w:rPr>
          <w:rFonts w:ascii="Times New Roman" w:hAnsi="Times New Roman"/>
        </w:rPr>
      </w:pPr>
      <w:r w:rsidRPr="000C263A">
        <w:rPr>
          <w:rFonts w:ascii="Times New Roman" w:hAnsi="Times New Roman"/>
        </w:rPr>
        <w:t>** Procjena SZO (2008. godina)</w:t>
      </w:r>
    </w:p>
    <w:p w:rsidR="000C263A" w:rsidRPr="000C263A" w:rsidRDefault="000C263A" w:rsidP="000C263A">
      <w:pPr>
        <w:spacing w:after="160" w:line="259" w:lineRule="auto"/>
        <w:jc w:val="left"/>
        <w:rPr>
          <w:rFonts w:ascii="Times New Roman" w:eastAsiaTheme="minorHAnsi"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534C26">
      <w:pPr>
        <w:pStyle w:val="Poglavlje1"/>
      </w:pPr>
      <w:bookmarkStart w:id="7" w:name="_Toc460929179"/>
      <w:r w:rsidRPr="00155F80">
        <w:t>STANOVNIŠTVO</w:t>
      </w:r>
      <w:bookmarkEnd w:id="7"/>
    </w:p>
    <w:p w:rsidR="00A131AD" w:rsidRPr="00155F80" w:rsidRDefault="00A131AD" w:rsidP="000C0138">
      <w:pPr>
        <w:spacing w:line="276" w:lineRule="auto"/>
        <w:rPr>
          <w:rFonts w:ascii="Times New Roman" w:hAnsi="Times New Roman"/>
          <w:b/>
          <w:color w:val="FF0000"/>
          <w:lang w:val="bs-Latn-BA"/>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Zdravstvena zaštita i zdravlje stanovništva ne </w:t>
      </w:r>
      <w:r w:rsidR="00F70FD4">
        <w:rPr>
          <w:rFonts w:ascii="Times New Roman" w:hAnsi="Times New Roman"/>
        </w:rPr>
        <w:t>zavise</w:t>
      </w:r>
      <w:r w:rsidRPr="00155F80">
        <w:rPr>
          <w:rFonts w:ascii="Times New Roman" w:hAnsi="Times New Roman"/>
        </w:rPr>
        <w:t xml:space="preserve"> isključivo o djelovanju zdravstvenog </w:t>
      </w:r>
      <w:r w:rsidR="00512E30">
        <w:rPr>
          <w:rFonts w:ascii="Times New Roman" w:hAnsi="Times New Roman"/>
        </w:rPr>
        <w:t>sistem</w:t>
      </w:r>
      <w:r w:rsidR="00065CCF">
        <w:rPr>
          <w:rFonts w:ascii="Times New Roman" w:hAnsi="Times New Roman"/>
        </w:rPr>
        <w:t>a</w:t>
      </w:r>
      <w:r w:rsidRPr="00155F80">
        <w:rPr>
          <w:rFonts w:ascii="Times New Roman" w:hAnsi="Times New Roman"/>
        </w:rPr>
        <w:t xml:space="preserve"> i ne mogu se </w:t>
      </w:r>
      <w:r w:rsidR="00F70FD4">
        <w:rPr>
          <w:rFonts w:ascii="Times New Roman" w:hAnsi="Times New Roman"/>
        </w:rPr>
        <w:t>posmatrati</w:t>
      </w:r>
      <w:r w:rsidRPr="00155F80">
        <w:rPr>
          <w:rFonts w:ascii="Times New Roman" w:hAnsi="Times New Roman"/>
        </w:rPr>
        <w:t xml:space="preserve"> odvojeno od demografskih, socioekono</w:t>
      </w:r>
      <w:r w:rsidR="002D67A3">
        <w:rPr>
          <w:rFonts w:ascii="Times New Roman" w:hAnsi="Times New Roman"/>
        </w:rPr>
        <w:t xml:space="preserve">mskih i ekoloških </w:t>
      </w:r>
      <w:r w:rsidR="00CB080B">
        <w:rPr>
          <w:rFonts w:ascii="Times New Roman" w:hAnsi="Times New Roman"/>
        </w:rPr>
        <w:t>pokazatelja</w:t>
      </w:r>
      <w:r w:rsidR="002D67A3">
        <w:rPr>
          <w:rFonts w:ascii="Times New Roman" w:hAnsi="Times New Roman"/>
        </w:rPr>
        <w:t>.</w:t>
      </w: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Federacija BiH sa deset kantona prostire se na površin</w:t>
      </w:r>
      <w:r w:rsidR="00065CCF">
        <w:rPr>
          <w:rFonts w:ascii="Times New Roman" w:hAnsi="Times New Roman"/>
        </w:rPr>
        <w:t>i</w:t>
      </w:r>
      <w:r w:rsidRPr="00155F80">
        <w:rPr>
          <w:rFonts w:ascii="Times New Roman" w:hAnsi="Times New Roman"/>
        </w:rPr>
        <w:t xml:space="preserve"> od 26.109,7 km² sa gustinom naseljenosti oko 89 stanovnika na km².</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Prema procjeni Federalnog zavoda za statistiku, na terirtoriji FBiH ukupan broj prisutnog stanovništva iznosio je 2.334.348 i u odnosu na prethodnu godinu smanjen je za 2.374 stanovnika. U </w:t>
      </w:r>
      <w:r w:rsidR="00F70FD4">
        <w:rPr>
          <w:rFonts w:ascii="Times New Roman" w:hAnsi="Times New Roman"/>
        </w:rPr>
        <w:t>periodu</w:t>
      </w:r>
      <w:r w:rsidRPr="00155F80">
        <w:rPr>
          <w:rFonts w:ascii="Times New Roman" w:hAnsi="Times New Roman"/>
        </w:rPr>
        <w:t xml:space="preserve"> 2010</w:t>
      </w:r>
      <w:r w:rsidR="00065CCF">
        <w:rPr>
          <w:rFonts w:ascii="Times New Roman" w:hAnsi="Times New Roman"/>
        </w:rPr>
        <w:t>-</w:t>
      </w:r>
      <w:r w:rsidRPr="00155F80">
        <w:rPr>
          <w:rFonts w:ascii="Times New Roman" w:hAnsi="Times New Roman"/>
        </w:rPr>
        <w:t>2015. godine bilježi se negativan demografski trend, odnosno smanjenje ukupnog broja stanovnika, uz skoro jednak udio žena i muškaraca u ukupnom broju stanovnika</w:t>
      </w:r>
      <w:r w:rsidRPr="00F83CAD">
        <w:rPr>
          <w:rFonts w:ascii="Times New Roman" w:hAnsi="Times New Roman"/>
        </w:rPr>
        <w:t xml:space="preserve">. </w:t>
      </w:r>
      <w:r w:rsidR="006A4FB7" w:rsidRPr="00F83CAD">
        <w:rPr>
          <w:rFonts w:ascii="Times New Roman" w:hAnsi="Times New Roman"/>
        </w:rPr>
        <w:t>(1)</w:t>
      </w:r>
    </w:p>
    <w:p w:rsidR="00A131AD" w:rsidRPr="00155F80" w:rsidRDefault="00A131AD" w:rsidP="000C0138">
      <w:pPr>
        <w:spacing w:line="276" w:lineRule="auto"/>
        <w:rPr>
          <w:rFonts w:ascii="Times New Roman" w:hAnsi="Times New Roman"/>
        </w:rPr>
      </w:pPr>
    </w:p>
    <w:p w:rsidR="00A131AD" w:rsidRPr="00250204" w:rsidRDefault="00A131AD" w:rsidP="000C0138">
      <w:pPr>
        <w:spacing w:line="276" w:lineRule="auto"/>
        <w:rPr>
          <w:rFonts w:ascii="Times New Roman" w:hAnsi="Times New Roman"/>
        </w:rPr>
      </w:pPr>
      <w:r w:rsidRPr="00155F80">
        <w:rPr>
          <w:rFonts w:ascii="Times New Roman" w:hAnsi="Times New Roman"/>
        </w:rPr>
        <w:t xml:space="preserve">Stanovništvo Federacije BiH, biološki, spada u regresivni tip prema kojem djeca do 14 godina imaju </w:t>
      </w:r>
      <w:r w:rsidRPr="00250204">
        <w:rPr>
          <w:rFonts w:ascii="Times New Roman" w:hAnsi="Times New Roman"/>
        </w:rPr>
        <w:t>u</w:t>
      </w:r>
      <w:r w:rsidR="00243A26">
        <w:rPr>
          <w:rFonts w:ascii="Times New Roman" w:hAnsi="Times New Roman"/>
        </w:rPr>
        <w:t>dio</w:t>
      </w:r>
      <w:r w:rsidRPr="00250204">
        <w:rPr>
          <w:rFonts w:ascii="Times New Roman" w:hAnsi="Times New Roman"/>
        </w:rPr>
        <w:t xml:space="preserve"> od 18,1%, znatno manji u odnosu na broj stanovnika starosne dobi preko 50 godina.</w:t>
      </w:r>
      <w:r w:rsidR="002D67A3" w:rsidRPr="00250204">
        <w:rPr>
          <w:rFonts w:ascii="Times New Roman" w:hAnsi="Times New Roman"/>
        </w:rPr>
        <w:t xml:space="preserve"> U</w:t>
      </w:r>
      <w:r w:rsidR="00243A26">
        <w:rPr>
          <w:rFonts w:ascii="Times New Roman" w:hAnsi="Times New Roman"/>
        </w:rPr>
        <w:t>dio</w:t>
      </w:r>
      <w:r w:rsidRPr="00250204">
        <w:rPr>
          <w:rFonts w:ascii="Times New Roman" w:hAnsi="Times New Roman"/>
        </w:rPr>
        <w:t xml:space="preserve"> stanovnika sa 65 i više godina iz</w:t>
      </w:r>
      <w:r w:rsidR="00F30AE6" w:rsidRPr="00250204">
        <w:rPr>
          <w:rFonts w:ascii="Times New Roman" w:hAnsi="Times New Roman"/>
        </w:rPr>
        <w:t xml:space="preserve">nosi 14,3% ukupnog stanovništva, slično kao u </w:t>
      </w:r>
      <w:r w:rsidR="009847F0">
        <w:rPr>
          <w:rFonts w:ascii="Times New Roman" w:hAnsi="Times New Roman"/>
        </w:rPr>
        <w:t>e</w:t>
      </w:r>
      <w:r w:rsidR="00243A26">
        <w:rPr>
          <w:rFonts w:ascii="Times New Roman" w:hAnsi="Times New Roman"/>
        </w:rPr>
        <w:t>u</w:t>
      </w:r>
      <w:r w:rsidR="00F30AE6" w:rsidRPr="00250204">
        <w:rPr>
          <w:rFonts w:ascii="Times New Roman" w:hAnsi="Times New Roman"/>
        </w:rPr>
        <w:t>ropsko</w:t>
      </w:r>
      <w:r w:rsidR="009847F0">
        <w:rPr>
          <w:rFonts w:ascii="Times New Roman" w:hAnsi="Times New Roman"/>
        </w:rPr>
        <w:t>j</w:t>
      </w:r>
      <w:r w:rsidR="00F30AE6" w:rsidRPr="00250204">
        <w:rPr>
          <w:rFonts w:ascii="Times New Roman" w:hAnsi="Times New Roman"/>
        </w:rPr>
        <w:t xml:space="preserve"> regi</w:t>
      </w:r>
      <w:r w:rsidR="009847F0">
        <w:rPr>
          <w:rFonts w:ascii="Times New Roman" w:hAnsi="Times New Roman"/>
        </w:rPr>
        <w:t>ji</w:t>
      </w:r>
      <w:r w:rsidR="00F30AE6" w:rsidRPr="00250204">
        <w:rPr>
          <w:rFonts w:ascii="Times New Roman" w:hAnsi="Times New Roman"/>
        </w:rPr>
        <w:t xml:space="preserve"> (14,8%)</w:t>
      </w:r>
    </w:p>
    <w:p w:rsidR="00A131AD" w:rsidRPr="00155F80" w:rsidRDefault="00A131AD" w:rsidP="000C0138">
      <w:pPr>
        <w:spacing w:line="276" w:lineRule="auto"/>
        <w:rPr>
          <w:rFonts w:ascii="Times New Roman" w:hAnsi="Times New Roman"/>
        </w:rPr>
      </w:pPr>
    </w:p>
    <w:p w:rsidR="00A131AD" w:rsidRPr="00EB7CC7" w:rsidRDefault="00A131AD" w:rsidP="00EB7CC7">
      <w:pPr>
        <w:pStyle w:val="refererere"/>
      </w:pPr>
      <w:r w:rsidRPr="00EB7CC7">
        <w:t>Grafikon 1: Starosna struktura stanovništva u Federaciji BiH sa 30.06.2015.godine</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6FE0721A" wp14:editId="1086302F">
            <wp:extent cx="5895340" cy="2695698"/>
            <wp:effectExtent l="0" t="0" r="10160" b="9525"/>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b/>
        </w:rPr>
      </w:pPr>
    </w:p>
    <w:p w:rsidR="00A131AD" w:rsidRPr="00155F80" w:rsidRDefault="00A131AD" w:rsidP="000C0138">
      <w:pPr>
        <w:pStyle w:val="Poglavlje2"/>
        <w:spacing w:line="276" w:lineRule="auto"/>
      </w:pPr>
      <w:bookmarkStart w:id="8" w:name="_Toc453328490"/>
      <w:bookmarkStart w:id="9" w:name="_Toc460929180"/>
      <w:r w:rsidRPr="00155F80">
        <w:t xml:space="preserve">1.1 Vitalni </w:t>
      </w:r>
      <w:r w:rsidR="00587CDA">
        <w:t>pokazatelji</w:t>
      </w:r>
      <w:bookmarkEnd w:id="8"/>
      <w:bookmarkEnd w:id="9"/>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U 2015.</w:t>
      </w:r>
      <w:r w:rsidR="009847F0">
        <w:rPr>
          <w:rFonts w:ascii="Times New Roman" w:hAnsi="Times New Roman"/>
        </w:rPr>
        <w:t xml:space="preserve"> </w:t>
      </w:r>
      <w:r w:rsidRPr="00155F80">
        <w:rPr>
          <w:rFonts w:ascii="Times New Roman" w:hAnsi="Times New Roman"/>
        </w:rPr>
        <w:t>godini u</w:t>
      </w:r>
      <w:r w:rsidR="00C96D1D" w:rsidRPr="00155F80">
        <w:rPr>
          <w:rFonts w:ascii="Times New Roman" w:hAnsi="Times New Roman"/>
        </w:rPr>
        <w:t xml:space="preserve"> Federaciji BiH rođeno je 19.358</w:t>
      </w:r>
      <w:r w:rsidRPr="00155F80">
        <w:rPr>
          <w:rFonts w:ascii="Times New Roman" w:hAnsi="Times New Roman"/>
        </w:rPr>
        <w:t xml:space="preserve"> žive djece</w:t>
      </w:r>
      <w:r w:rsidR="00C96D1D" w:rsidRPr="00155F80">
        <w:rPr>
          <w:rFonts w:ascii="Times New Roman" w:hAnsi="Times New Roman"/>
        </w:rPr>
        <w:t xml:space="preserve"> dok </w:t>
      </w:r>
      <w:r w:rsidR="009847F0">
        <w:rPr>
          <w:rFonts w:ascii="Times New Roman" w:hAnsi="Times New Roman"/>
        </w:rPr>
        <w:t>su</w:t>
      </w:r>
      <w:r w:rsidR="00C96D1D" w:rsidRPr="00155F80">
        <w:rPr>
          <w:rFonts w:ascii="Times New Roman" w:hAnsi="Times New Roman"/>
        </w:rPr>
        <w:t xml:space="preserve"> iste godine umrl</w:t>
      </w:r>
      <w:r w:rsidR="009847F0">
        <w:rPr>
          <w:rFonts w:ascii="Times New Roman" w:hAnsi="Times New Roman"/>
        </w:rPr>
        <w:t>e</w:t>
      </w:r>
      <w:r w:rsidR="00C96D1D" w:rsidRPr="00155F80">
        <w:rPr>
          <w:rFonts w:ascii="Times New Roman" w:hAnsi="Times New Roman"/>
        </w:rPr>
        <w:t xml:space="preserve"> 21.703</w:t>
      </w:r>
      <w:r w:rsidRPr="00155F80">
        <w:rPr>
          <w:rFonts w:ascii="Times New Roman" w:hAnsi="Times New Roman"/>
        </w:rPr>
        <w:t xml:space="preserve"> osobe. Stoga, prirodni </w:t>
      </w:r>
      <w:r w:rsidR="00512E30">
        <w:rPr>
          <w:rFonts w:ascii="Times New Roman" w:hAnsi="Times New Roman"/>
        </w:rPr>
        <w:t>priraštaj</w:t>
      </w:r>
      <w:r w:rsidRPr="00155F80">
        <w:rPr>
          <w:rFonts w:ascii="Times New Roman" w:hAnsi="Times New Roman"/>
        </w:rPr>
        <w:t xml:space="preserve"> je iz</w:t>
      </w:r>
      <w:r w:rsidR="00C96D1D" w:rsidRPr="00155F80">
        <w:rPr>
          <w:rFonts w:ascii="Times New Roman" w:hAnsi="Times New Roman"/>
        </w:rPr>
        <w:t>razito nepovoljan i iznosi -1</w:t>
      </w:r>
      <w:r w:rsidRPr="00155F80">
        <w:rPr>
          <w:rFonts w:ascii="Times New Roman" w:hAnsi="Times New Roman"/>
        </w:rPr>
        <w:t>%</w:t>
      </w:r>
      <w:r w:rsidRPr="00155F80">
        <w:rPr>
          <w:rFonts w:ascii="Times New Roman" w:hAnsi="Times New Roman"/>
          <w:sz w:val="16"/>
          <w:szCs w:val="16"/>
        </w:rPr>
        <w:t>0</w:t>
      </w:r>
      <w:r w:rsidRPr="00155F80">
        <w:rPr>
          <w:rFonts w:ascii="Times New Roman" w:hAnsi="Times New Roman"/>
        </w:rPr>
        <w:t xml:space="preserve">. Negativnu vrijednost prirodnog </w:t>
      </w:r>
      <w:r w:rsidR="00512E30">
        <w:rPr>
          <w:rFonts w:ascii="Times New Roman" w:hAnsi="Times New Roman"/>
        </w:rPr>
        <w:t>priraštaj</w:t>
      </w:r>
      <w:r w:rsidR="009847F0">
        <w:rPr>
          <w:rFonts w:ascii="Times New Roman" w:hAnsi="Times New Roman"/>
        </w:rPr>
        <w:t>a</w:t>
      </w:r>
      <w:r w:rsidRPr="00155F80">
        <w:rPr>
          <w:rFonts w:ascii="Times New Roman" w:hAnsi="Times New Roman"/>
        </w:rPr>
        <w:t xml:space="preserve"> u 2015. godini bilježe svi kantoni u Federaciji BiH osim Kantona Sarajevo (0,3%</w:t>
      </w:r>
      <w:r w:rsidR="002D67A3" w:rsidRPr="002D67A3">
        <w:rPr>
          <w:rFonts w:ascii="Times New Roman" w:hAnsi="Times New Roman"/>
          <w:sz w:val="16"/>
          <w:szCs w:val="16"/>
        </w:rPr>
        <w:t>0</w:t>
      </w:r>
      <w:r w:rsidRPr="00155F80">
        <w:rPr>
          <w:rFonts w:ascii="Times New Roman" w:hAnsi="Times New Roman"/>
        </w:rPr>
        <w:t>). Vrijednost stope naliteta od 8,3/1.000 stanovnika u 2015. godini bilježi blagi pad u odnosu na prošlu godinu i spada u kategoriju niskog nataliteta. Broj um</w:t>
      </w:r>
      <w:r w:rsidR="00C96D1D" w:rsidRPr="00155F80">
        <w:rPr>
          <w:rFonts w:ascii="Times New Roman" w:hAnsi="Times New Roman"/>
        </w:rPr>
        <w:t xml:space="preserve">rlih stanovnika </w:t>
      </w:r>
      <w:r w:rsidR="009847F0">
        <w:rPr>
          <w:rFonts w:ascii="Times New Roman" w:hAnsi="Times New Roman"/>
        </w:rPr>
        <w:t xml:space="preserve">povećan </w:t>
      </w:r>
      <w:r w:rsidR="00C96D1D" w:rsidRPr="00155F80">
        <w:rPr>
          <w:rFonts w:ascii="Times New Roman" w:hAnsi="Times New Roman"/>
        </w:rPr>
        <w:t>je za 7</w:t>
      </w:r>
      <w:r w:rsidRPr="00155F80">
        <w:rPr>
          <w:rFonts w:ascii="Times New Roman" w:hAnsi="Times New Roman"/>
        </w:rPr>
        <w:t>% u odnosu na prethodnu godinu, te je i vrijednost stope mortaliteta povećana i iznosi 9,2%. U</w:t>
      </w:r>
      <w:r w:rsidR="00C96D1D" w:rsidRPr="00155F80">
        <w:rPr>
          <w:rFonts w:ascii="Times New Roman" w:hAnsi="Times New Roman"/>
        </w:rPr>
        <w:t xml:space="preserve"> 2015.</w:t>
      </w:r>
      <w:r w:rsidR="00BE5655" w:rsidRPr="00155F80">
        <w:rPr>
          <w:rFonts w:ascii="Times New Roman" w:hAnsi="Times New Roman"/>
        </w:rPr>
        <w:t xml:space="preserve"> </w:t>
      </w:r>
      <w:r w:rsidR="00C96D1D" w:rsidRPr="00155F80">
        <w:rPr>
          <w:rFonts w:ascii="Times New Roman" w:hAnsi="Times New Roman"/>
        </w:rPr>
        <w:t xml:space="preserve">godini </w:t>
      </w:r>
      <w:r w:rsidR="00A80006">
        <w:rPr>
          <w:rFonts w:ascii="Times New Roman" w:hAnsi="Times New Roman"/>
        </w:rPr>
        <w:t>registrovano</w:t>
      </w:r>
      <w:r w:rsidR="009847F0">
        <w:rPr>
          <w:rFonts w:ascii="Times New Roman" w:hAnsi="Times New Roman"/>
        </w:rPr>
        <w:t xml:space="preserve"> </w:t>
      </w:r>
      <w:r w:rsidR="00C96D1D" w:rsidRPr="00155F80">
        <w:rPr>
          <w:rFonts w:ascii="Times New Roman" w:hAnsi="Times New Roman"/>
        </w:rPr>
        <w:t>je 154</w:t>
      </w:r>
      <w:r w:rsidRPr="00155F80">
        <w:rPr>
          <w:rFonts w:ascii="Times New Roman" w:hAnsi="Times New Roman"/>
        </w:rPr>
        <w:t xml:space="preserve"> umrle dojenčadi, što je, u odnosu na prethodnu godinu </w:t>
      </w:r>
      <w:r w:rsidR="000A3A46">
        <w:rPr>
          <w:rFonts w:ascii="Times New Roman" w:hAnsi="Times New Roman"/>
        </w:rPr>
        <w:t>uticalo</w:t>
      </w:r>
      <w:r w:rsidRPr="00155F80">
        <w:rPr>
          <w:rFonts w:ascii="Times New Roman" w:hAnsi="Times New Roman"/>
        </w:rPr>
        <w:t xml:space="preserve"> na povećanje dojenačke </w:t>
      </w:r>
      <w:r w:rsidR="003E65EE" w:rsidRPr="00155F80">
        <w:rPr>
          <w:rFonts w:ascii="Times New Roman" w:hAnsi="Times New Roman"/>
        </w:rPr>
        <w:t>smrtnosti na 7,9</w:t>
      </w:r>
      <w:r w:rsidRPr="00155F80">
        <w:rPr>
          <w:rFonts w:ascii="Times New Roman" w:hAnsi="Times New Roman"/>
        </w:rPr>
        <w:t>%</w:t>
      </w:r>
      <w:r w:rsidRPr="00155F80">
        <w:rPr>
          <w:rFonts w:ascii="Times New Roman" w:hAnsi="Times New Roman"/>
          <w:sz w:val="16"/>
          <w:szCs w:val="16"/>
        </w:rPr>
        <w:t>0</w:t>
      </w:r>
      <w:r w:rsidRPr="00155F80">
        <w:rPr>
          <w:rFonts w:ascii="Times New Roman" w:hAnsi="Times New Roman"/>
        </w:rPr>
        <w:t xml:space="preserve"> . Najnižu vrijednost dojenačke smrtnosti imao je Zapadnohercegovač</w:t>
      </w:r>
      <w:r w:rsidR="009847F0">
        <w:rPr>
          <w:rFonts w:ascii="Times New Roman" w:hAnsi="Times New Roman"/>
        </w:rPr>
        <w:t>k</w:t>
      </w:r>
      <w:r w:rsidRPr="00155F80">
        <w:rPr>
          <w:rFonts w:ascii="Times New Roman" w:hAnsi="Times New Roman"/>
        </w:rPr>
        <w:t>i kanton (1,4%</w:t>
      </w:r>
      <w:r w:rsidRPr="00155F80">
        <w:rPr>
          <w:rFonts w:ascii="Times New Roman" w:hAnsi="Times New Roman"/>
          <w:sz w:val="16"/>
          <w:szCs w:val="16"/>
        </w:rPr>
        <w:t>0</w:t>
      </w:r>
      <w:r w:rsidRPr="00155F80">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A131AD" w:rsidP="000C0138">
      <w:pPr>
        <w:spacing w:after="160" w:line="276" w:lineRule="auto"/>
        <w:jc w:val="left"/>
        <w:rPr>
          <w:rFonts w:ascii="Times New Roman" w:hAnsi="Times New Roman"/>
        </w:rPr>
      </w:pPr>
      <w:r w:rsidRPr="00155F80">
        <w:rPr>
          <w:rFonts w:ascii="Times New Roman" w:hAnsi="Times New Roman"/>
        </w:rPr>
        <w:br w:type="page"/>
      </w:r>
    </w:p>
    <w:p w:rsidR="00A131AD" w:rsidRPr="00155F80" w:rsidRDefault="00A131AD" w:rsidP="00EB7CC7">
      <w:pPr>
        <w:pStyle w:val="refererere"/>
        <w:rPr>
          <w:noProof/>
          <w:color w:val="7030A0"/>
          <w:lang w:val="bs-Latn-BA" w:eastAsia="bs-Latn-BA"/>
        </w:rPr>
      </w:pPr>
      <w:r w:rsidRPr="00155F80">
        <w:t xml:space="preserve">Grafikon 2: Vitalni </w:t>
      </w:r>
      <w:r w:rsidR="00587CDA">
        <w:t>pokazatelji</w:t>
      </w:r>
      <w:r w:rsidRPr="00155F80">
        <w:t xml:space="preserve"> u Federaciji BiH, za </w:t>
      </w:r>
      <w:r w:rsidR="00F70FD4">
        <w:t>period</w:t>
      </w:r>
      <w:r w:rsidRPr="00155F80">
        <w:t xml:space="preserve"> 2010.-2015.godina</w:t>
      </w:r>
    </w:p>
    <w:p w:rsidR="0048739F" w:rsidRPr="00155F80" w:rsidRDefault="0048739F"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590A6ECF" wp14:editId="0049DB09">
            <wp:extent cx="5760720" cy="21551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155190"/>
                    </a:xfrm>
                    <a:prstGeom prst="rect">
                      <a:avLst/>
                    </a:prstGeom>
                  </pic:spPr>
                </pic:pic>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Najvišu stopu nataliteta i ove godine ima Kanton Sarajevo (10,4%</w:t>
      </w:r>
      <w:r w:rsidRPr="00155F80">
        <w:rPr>
          <w:rFonts w:ascii="Times New Roman" w:hAnsi="Times New Roman"/>
          <w:sz w:val="16"/>
          <w:szCs w:val="16"/>
        </w:rPr>
        <w:t>0</w:t>
      </w:r>
      <w:r w:rsidRPr="00155F80">
        <w:rPr>
          <w:rFonts w:ascii="Times New Roman" w:hAnsi="Times New Roman"/>
        </w:rPr>
        <w:t>), a mortaliteta Posavski kanton (12,1%</w:t>
      </w:r>
      <w:r w:rsidRPr="00155F80">
        <w:rPr>
          <w:rFonts w:ascii="Times New Roman" w:hAnsi="Times New Roman"/>
          <w:sz w:val="16"/>
          <w:szCs w:val="16"/>
        </w:rPr>
        <w:t>0</w:t>
      </w:r>
      <w:r w:rsidRPr="00155F80">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Grafikon 3: Prirodno kretanje stanovništva, po kantonima u Federaciji BiH, 2015.godina</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2C64A7F6" wp14:editId="2C8C4AFB">
            <wp:extent cx="5799221" cy="2305050"/>
            <wp:effectExtent l="0" t="0" r="11430" b="0"/>
            <wp:docPr id="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rPr>
      </w:pPr>
    </w:p>
    <w:p w:rsidR="00A131AD" w:rsidRPr="00155F80" w:rsidRDefault="00A131AD" w:rsidP="000C0138">
      <w:pPr>
        <w:pStyle w:val="Poglavlje2"/>
        <w:numPr>
          <w:ilvl w:val="1"/>
          <w:numId w:val="3"/>
        </w:numPr>
        <w:spacing w:line="276" w:lineRule="auto"/>
      </w:pPr>
      <w:bookmarkStart w:id="10" w:name="_Toc453328491"/>
      <w:bookmarkStart w:id="11" w:name="_Toc460929181"/>
      <w:r w:rsidRPr="00155F80">
        <w:t>Očekivana dužina života</w:t>
      </w:r>
      <w:bookmarkEnd w:id="10"/>
      <w:bookmarkEnd w:id="11"/>
    </w:p>
    <w:p w:rsidR="00CE6ED4" w:rsidRPr="00155F80" w:rsidRDefault="00CE6ED4" w:rsidP="000C0138">
      <w:pPr>
        <w:pStyle w:val="Poglavlje2"/>
        <w:spacing w:line="276" w:lineRule="auto"/>
        <w:ind w:left="720"/>
      </w:pPr>
    </w:p>
    <w:p w:rsidR="00A131AD" w:rsidRPr="00155F80" w:rsidRDefault="00A131AD" w:rsidP="000C0138">
      <w:pPr>
        <w:spacing w:line="276" w:lineRule="auto"/>
        <w:rPr>
          <w:rFonts w:ascii="Times New Roman" w:hAnsi="Times New Roman"/>
          <w:color w:val="FF0000"/>
        </w:rPr>
      </w:pPr>
      <w:r w:rsidRPr="00155F80">
        <w:rPr>
          <w:rFonts w:ascii="Times New Roman" w:hAnsi="Times New Roman"/>
        </w:rPr>
        <w:t xml:space="preserve">Svjetska zdravstvena organizacija (SZO) </w:t>
      </w:r>
      <w:r w:rsidR="00685B54" w:rsidRPr="00155F80">
        <w:rPr>
          <w:rFonts w:ascii="Times New Roman" w:hAnsi="Times New Roman"/>
        </w:rPr>
        <w:t xml:space="preserve">je objavila </w:t>
      </w:r>
      <w:r w:rsidR="00F02826">
        <w:rPr>
          <w:rFonts w:ascii="Times New Roman" w:hAnsi="Times New Roman"/>
        </w:rPr>
        <w:t>da se prosječni životni vijek od 1980. godine</w:t>
      </w:r>
      <w:r w:rsidRPr="00155F80">
        <w:rPr>
          <w:rFonts w:ascii="Times New Roman" w:hAnsi="Times New Roman"/>
        </w:rPr>
        <w:t xml:space="preserve"> na globalno</w:t>
      </w:r>
      <w:r w:rsidR="009847F0">
        <w:rPr>
          <w:rFonts w:ascii="Times New Roman" w:hAnsi="Times New Roman"/>
        </w:rPr>
        <w:t>j</w:t>
      </w:r>
      <w:r w:rsidRPr="00155F80">
        <w:rPr>
          <w:rFonts w:ascii="Times New Roman" w:hAnsi="Times New Roman"/>
        </w:rPr>
        <w:t xml:space="preserve"> </w:t>
      </w:r>
      <w:r w:rsidR="002B489B">
        <w:rPr>
          <w:rFonts w:ascii="Times New Roman" w:hAnsi="Times New Roman"/>
        </w:rPr>
        <w:t>nivou</w:t>
      </w:r>
      <w:r w:rsidRPr="00155F80">
        <w:rPr>
          <w:rFonts w:ascii="Times New Roman" w:hAnsi="Times New Roman"/>
        </w:rPr>
        <w:t xml:space="preserve">, produžio za pet godina. Međutim, naglašeno je da je napredak nejednak jer i dalje ljudi siromašnih zemalja umiru mlađi od onih u bogatim. Najdugovječnije žene su </w:t>
      </w:r>
      <w:r w:rsidR="00685B54" w:rsidRPr="00155F80">
        <w:rPr>
          <w:rFonts w:ascii="Times New Roman" w:hAnsi="Times New Roman"/>
        </w:rPr>
        <w:t>u Japanu (</w:t>
      </w:r>
      <w:r w:rsidRPr="00155F80">
        <w:rPr>
          <w:rFonts w:ascii="Times New Roman" w:hAnsi="Times New Roman"/>
        </w:rPr>
        <w:t>86,8 godina</w:t>
      </w:r>
      <w:r w:rsidR="00685B54" w:rsidRPr="00155F80">
        <w:rPr>
          <w:rFonts w:ascii="Times New Roman" w:hAnsi="Times New Roman"/>
        </w:rPr>
        <w:t>)</w:t>
      </w:r>
      <w:r w:rsidRPr="00155F80">
        <w:rPr>
          <w:rFonts w:ascii="Times New Roman" w:hAnsi="Times New Roman"/>
        </w:rPr>
        <w:t xml:space="preserve">, a muškarci u Švicarskoj </w:t>
      </w:r>
      <w:r w:rsidR="00685B54" w:rsidRPr="00155F80">
        <w:rPr>
          <w:rFonts w:ascii="Times New Roman" w:hAnsi="Times New Roman"/>
        </w:rPr>
        <w:t>(</w:t>
      </w:r>
      <w:r w:rsidRPr="00155F80">
        <w:rPr>
          <w:rFonts w:ascii="Times New Roman" w:hAnsi="Times New Roman"/>
        </w:rPr>
        <w:t>81,3 godine</w:t>
      </w:r>
      <w:r w:rsidR="00685B54" w:rsidRPr="00155F80">
        <w:rPr>
          <w:rFonts w:ascii="Times New Roman" w:hAnsi="Times New Roman"/>
        </w:rPr>
        <w:t>)</w:t>
      </w:r>
      <w:r w:rsidRPr="00155F80">
        <w:rPr>
          <w:rFonts w:ascii="Times New Roman" w:hAnsi="Times New Roman"/>
        </w:rPr>
        <w:t>. Prosječna starost umrlih osoba je 72,3 godine, za žene 75 a muškarce 69,6 godina.</w:t>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rPr>
      </w:pPr>
      <w:r w:rsidRPr="00155F80">
        <w:rPr>
          <w:rFonts w:ascii="Times New Roman" w:hAnsi="Times New Roman"/>
        </w:rPr>
        <w:t>Prema procjeni SZO, očekivana dužina života za stanovnike Bosne i Hercegovine je 76,66 godina, za žene je 79,01</w:t>
      </w:r>
      <w:r w:rsidR="00685B54" w:rsidRPr="00155F80">
        <w:rPr>
          <w:rFonts w:ascii="Times New Roman" w:hAnsi="Times New Roman"/>
        </w:rPr>
        <w:t xml:space="preserve"> godina</w:t>
      </w:r>
      <w:r w:rsidRPr="00155F80">
        <w:rPr>
          <w:rFonts w:ascii="Times New Roman" w:hAnsi="Times New Roman"/>
        </w:rPr>
        <w:t xml:space="preserve">, a za muškarce 74,23 godine, što je slično prosjeku zemalja </w:t>
      </w:r>
      <w:r w:rsidR="009847F0">
        <w:rPr>
          <w:rFonts w:ascii="Times New Roman" w:hAnsi="Times New Roman"/>
        </w:rPr>
        <w:t>e</w:t>
      </w:r>
      <w:r w:rsidR="005901AB">
        <w:rPr>
          <w:rFonts w:ascii="Times New Roman" w:hAnsi="Times New Roman"/>
        </w:rPr>
        <w:t>u</w:t>
      </w:r>
      <w:r w:rsidRPr="00155F80">
        <w:rPr>
          <w:rFonts w:ascii="Times New Roman" w:hAnsi="Times New Roman"/>
        </w:rPr>
        <w:t>ropsk</w:t>
      </w:r>
      <w:r w:rsidR="009847F0">
        <w:rPr>
          <w:rFonts w:ascii="Times New Roman" w:hAnsi="Times New Roman"/>
        </w:rPr>
        <w:t>e</w:t>
      </w:r>
      <w:r w:rsidRPr="00155F80">
        <w:rPr>
          <w:rFonts w:ascii="Times New Roman" w:hAnsi="Times New Roman"/>
        </w:rPr>
        <w:t xml:space="preserve"> regi</w:t>
      </w:r>
      <w:r w:rsidR="009847F0">
        <w:rPr>
          <w:rFonts w:ascii="Times New Roman" w:hAnsi="Times New Roman"/>
        </w:rPr>
        <w:t>je</w:t>
      </w:r>
      <w:r w:rsidRPr="00155F80">
        <w:rPr>
          <w:rFonts w:ascii="Times New Roman" w:hAnsi="Times New Roman"/>
        </w:rPr>
        <w:t xml:space="preserve"> (77,29 godina) i prosjeku zemalja koje su postale članice EU od </w:t>
      </w:r>
      <w:r w:rsidR="009847F0">
        <w:rPr>
          <w:rFonts w:ascii="Times New Roman" w:hAnsi="Times New Roman"/>
        </w:rPr>
        <w:t>svibnja</w:t>
      </w:r>
      <w:r w:rsidRPr="00155F80">
        <w:rPr>
          <w:rFonts w:ascii="Times New Roman" w:hAnsi="Times New Roman"/>
        </w:rPr>
        <w:t xml:space="preserve"> 2004. godine (76,26 godina).</w:t>
      </w:r>
      <w:r w:rsidR="006A4FB7" w:rsidRPr="00155F80">
        <w:rPr>
          <w:rFonts w:ascii="Times New Roman" w:hAnsi="Times New Roman"/>
        </w:rPr>
        <w:t xml:space="preserve"> </w:t>
      </w:r>
      <w:r w:rsidR="006A4FB7" w:rsidRPr="00F83CAD">
        <w:rPr>
          <w:rFonts w:ascii="Times New Roman" w:hAnsi="Times New Roman"/>
        </w:rPr>
        <w:t>(2)</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p>
    <w:p w:rsidR="00A131AD" w:rsidRPr="00155F80" w:rsidRDefault="00A131AD" w:rsidP="000C0138">
      <w:pPr>
        <w:pStyle w:val="Poglavlje1"/>
        <w:spacing w:line="276" w:lineRule="auto"/>
      </w:pPr>
      <w:bookmarkStart w:id="12" w:name="_Toc460929182"/>
      <w:r w:rsidRPr="00155F80">
        <w:t xml:space="preserve">SOCIOEKONOMSKI </w:t>
      </w:r>
      <w:r w:rsidR="00587CDA">
        <w:t>POKAZATELJI</w:t>
      </w:r>
      <w:bookmarkEnd w:id="12"/>
    </w:p>
    <w:p w:rsidR="00A131AD" w:rsidRPr="00155F80" w:rsidRDefault="00A131AD" w:rsidP="000C0138">
      <w:pPr>
        <w:pStyle w:val="ListParagraph"/>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rPr>
      </w:pPr>
      <w:r w:rsidRPr="00155F80">
        <w:rPr>
          <w:rFonts w:ascii="Times New Roman" w:hAnsi="Times New Roman"/>
        </w:rPr>
        <w:t>U 2015.</w:t>
      </w:r>
      <w:r w:rsidR="00685B54" w:rsidRPr="00155F80">
        <w:rPr>
          <w:rFonts w:ascii="Times New Roman" w:hAnsi="Times New Roman"/>
        </w:rPr>
        <w:t xml:space="preserve"> </w:t>
      </w:r>
      <w:r w:rsidRPr="00155F80">
        <w:rPr>
          <w:rFonts w:ascii="Times New Roman" w:hAnsi="Times New Roman"/>
        </w:rPr>
        <w:t xml:space="preserve">godini, u službama za </w:t>
      </w:r>
      <w:r w:rsidR="009847F0">
        <w:rPr>
          <w:rFonts w:ascii="Times New Roman" w:hAnsi="Times New Roman"/>
        </w:rPr>
        <w:t>u</w:t>
      </w:r>
      <w:r w:rsidRPr="00155F80">
        <w:rPr>
          <w:rFonts w:ascii="Times New Roman" w:hAnsi="Times New Roman"/>
        </w:rPr>
        <w:t xml:space="preserve">pošljavanje, evidentirano je ukupno 389.865 </w:t>
      </w:r>
      <w:r w:rsidR="00F311A8">
        <w:rPr>
          <w:rFonts w:ascii="Times New Roman" w:hAnsi="Times New Roman"/>
        </w:rPr>
        <w:t>osoba</w:t>
      </w:r>
      <w:r w:rsidRPr="00155F80">
        <w:rPr>
          <w:rFonts w:ascii="Times New Roman" w:hAnsi="Times New Roman"/>
        </w:rPr>
        <w:t xml:space="preserve"> koja traže </w:t>
      </w:r>
      <w:r w:rsidR="00F311A8">
        <w:rPr>
          <w:rFonts w:ascii="Times New Roman" w:hAnsi="Times New Roman"/>
        </w:rPr>
        <w:t>posao</w:t>
      </w:r>
      <w:r w:rsidRPr="00155F80">
        <w:rPr>
          <w:rFonts w:ascii="Times New Roman" w:hAnsi="Times New Roman"/>
        </w:rPr>
        <w:t xml:space="preserve">. Broj nezaposlenih </w:t>
      </w:r>
      <w:r w:rsidR="00F311A8">
        <w:rPr>
          <w:rFonts w:ascii="Times New Roman" w:hAnsi="Times New Roman"/>
        </w:rPr>
        <w:t>osoba</w:t>
      </w:r>
      <w:r w:rsidRPr="00155F80">
        <w:rPr>
          <w:rFonts w:ascii="Times New Roman" w:hAnsi="Times New Roman"/>
        </w:rPr>
        <w:t xml:space="preserve"> do sad je imao tendenciju rasta, prvi put zabilježeno je smanjene za 0,4% u odnosu na prethodnu godinu. Veći udio među nezaposlenim </w:t>
      </w:r>
      <w:r w:rsidR="00EC6842">
        <w:rPr>
          <w:rFonts w:ascii="Times New Roman" w:hAnsi="Times New Roman"/>
        </w:rPr>
        <w:t>zauzimaju žene (52,7%), pri čemu je najviše nezaposlenih</w:t>
      </w:r>
      <w:r w:rsidRPr="00155F80">
        <w:rPr>
          <w:rFonts w:ascii="Times New Roman" w:hAnsi="Times New Roman"/>
        </w:rPr>
        <w:t xml:space="preserve"> </w:t>
      </w:r>
      <w:r w:rsidR="00A80006">
        <w:rPr>
          <w:rFonts w:ascii="Times New Roman" w:hAnsi="Times New Roman"/>
        </w:rPr>
        <w:t>registrovano</w:t>
      </w:r>
      <w:r w:rsidR="00F311A8">
        <w:rPr>
          <w:rFonts w:ascii="Times New Roman" w:hAnsi="Times New Roman"/>
        </w:rPr>
        <w:t xml:space="preserve"> </w:t>
      </w:r>
      <w:r w:rsidRPr="00155F80">
        <w:rPr>
          <w:rFonts w:ascii="Times New Roman" w:hAnsi="Times New Roman"/>
        </w:rPr>
        <w:t xml:space="preserve">u Tuzlanskom i Sarajevskom kantonu.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Federalni zavod za </w:t>
      </w:r>
      <w:r w:rsidR="00F311A8">
        <w:rPr>
          <w:rFonts w:ascii="Times New Roman" w:hAnsi="Times New Roman"/>
        </w:rPr>
        <w:t>u</w:t>
      </w:r>
      <w:r w:rsidRPr="00155F80">
        <w:rPr>
          <w:rFonts w:ascii="Times New Roman" w:hAnsi="Times New Roman"/>
        </w:rPr>
        <w:t>pošljavanje u 2015. godini za</w:t>
      </w:r>
      <w:r w:rsidR="00F311A8">
        <w:rPr>
          <w:rFonts w:ascii="Times New Roman" w:hAnsi="Times New Roman"/>
        </w:rPr>
        <w:t>b</w:t>
      </w:r>
      <w:r w:rsidRPr="00155F80">
        <w:rPr>
          <w:rFonts w:ascii="Times New Roman" w:hAnsi="Times New Roman"/>
        </w:rPr>
        <w:t xml:space="preserve">ilježio je porast broja </w:t>
      </w:r>
      <w:r w:rsidR="00950A64">
        <w:rPr>
          <w:rFonts w:ascii="Times New Roman" w:hAnsi="Times New Roman"/>
        </w:rPr>
        <w:t>zaposlen</w:t>
      </w:r>
      <w:r w:rsidRPr="00155F80">
        <w:rPr>
          <w:rFonts w:ascii="Times New Roman" w:hAnsi="Times New Roman"/>
        </w:rPr>
        <w:t>ih za 1,47% u odnosu na 2014. godinu.</w:t>
      </w:r>
      <w:r w:rsidR="002F0665">
        <w:rPr>
          <w:rFonts w:ascii="Times New Roman" w:hAnsi="Times New Roman"/>
        </w:rPr>
        <w:t xml:space="preserve"> </w:t>
      </w:r>
      <w:r w:rsidR="002F0665" w:rsidRPr="00F83CAD">
        <w:rPr>
          <w:rFonts w:ascii="Times New Roman" w:hAnsi="Times New Roman"/>
        </w:rPr>
        <w:t>(3)</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Grafikon 4: Broj zaposlenih i nezaposlenih osoba po kantonima Federacije BiH, 2015. godina</w:t>
      </w:r>
      <w:r w:rsidRPr="00155F80">
        <w:rPr>
          <w:noProof/>
          <w:lang w:eastAsia="en-GB"/>
        </w:rPr>
        <w:drawing>
          <wp:anchor distT="0" distB="0" distL="114300" distR="114300" simplePos="0" relativeHeight="251649536" behindDoc="0" locked="0" layoutInCell="1" allowOverlap="1" wp14:anchorId="1D255368" wp14:editId="3BFD768D">
            <wp:simplePos x="0" y="0"/>
            <wp:positionH relativeFrom="column">
              <wp:posOffset>26035</wp:posOffset>
            </wp:positionH>
            <wp:positionV relativeFrom="paragraph">
              <wp:posOffset>228600</wp:posOffset>
            </wp:positionV>
            <wp:extent cx="5857875" cy="2814320"/>
            <wp:effectExtent l="0" t="0" r="9525" b="5080"/>
            <wp:wrapTopAndBottom/>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F6067A" w:rsidRDefault="00F6067A" w:rsidP="000C0138">
      <w:pPr>
        <w:spacing w:line="276" w:lineRule="auto"/>
        <w:rPr>
          <w:rFonts w:ascii="Times New Roman" w:hAnsi="Times New Roman"/>
        </w:rPr>
      </w:pPr>
    </w:p>
    <w:p w:rsidR="00F6067A" w:rsidRPr="00155F80" w:rsidRDefault="00F6067A" w:rsidP="000C0138">
      <w:pPr>
        <w:spacing w:line="276" w:lineRule="auto"/>
        <w:rPr>
          <w:rFonts w:ascii="Times New Roman" w:hAnsi="Times New Roman"/>
        </w:rPr>
      </w:pPr>
      <w:r>
        <w:rPr>
          <w:rFonts w:ascii="Times New Roman" w:hAnsi="Times New Roman"/>
        </w:rPr>
        <w:t>S</w:t>
      </w:r>
      <w:r w:rsidRPr="00155F80">
        <w:rPr>
          <w:rFonts w:ascii="Times New Roman" w:hAnsi="Times New Roman"/>
        </w:rPr>
        <w:t>topa nezaposlenosti u Federaciji BiH, na osnovu Ankete o radnoj snazi</w:t>
      </w:r>
      <w:r>
        <w:rPr>
          <w:rFonts w:ascii="Times New Roman" w:hAnsi="Times New Roman"/>
        </w:rPr>
        <w:t>,</w:t>
      </w:r>
      <w:r w:rsidRPr="00155F80">
        <w:rPr>
          <w:rFonts w:ascii="Times New Roman" w:hAnsi="Times New Roman"/>
        </w:rPr>
        <w:t xml:space="preserve"> iznosi 29,1% (za muš</w:t>
      </w:r>
      <w:r>
        <w:rPr>
          <w:rFonts w:ascii="Times New Roman" w:hAnsi="Times New Roman"/>
        </w:rPr>
        <w:t xml:space="preserve">karce 25,7%, za žene 32,4%). </w:t>
      </w:r>
      <w:r w:rsidR="002F0665" w:rsidRPr="00F83CAD">
        <w:rPr>
          <w:rFonts w:ascii="Times New Roman" w:hAnsi="Times New Roman"/>
        </w:rPr>
        <w:t>(4</w:t>
      </w:r>
      <w:r w:rsidRPr="00F83CAD">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F6067A" w:rsidP="000C0138">
      <w:pPr>
        <w:spacing w:line="276" w:lineRule="auto"/>
        <w:rPr>
          <w:rFonts w:ascii="Times New Roman" w:hAnsi="Times New Roman"/>
        </w:rPr>
      </w:pPr>
      <w:r>
        <w:rPr>
          <w:rFonts w:ascii="Times New Roman" w:hAnsi="Times New Roman"/>
        </w:rPr>
        <w:t>Ra</w:t>
      </w:r>
      <w:r w:rsidR="00A131AD" w:rsidRPr="00155F80">
        <w:rPr>
          <w:rFonts w:ascii="Times New Roman" w:hAnsi="Times New Roman"/>
        </w:rPr>
        <w:t xml:space="preserve">st broja zaposlenih nije praćen rastom prosječne neto </w:t>
      </w:r>
      <w:r w:rsidR="00F70FD4">
        <w:rPr>
          <w:rFonts w:ascii="Times New Roman" w:hAnsi="Times New Roman"/>
        </w:rPr>
        <w:t>plate</w:t>
      </w:r>
      <w:r w:rsidR="00A131AD" w:rsidRPr="00155F80">
        <w:rPr>
          <w:rFonts w:ascii="Times New Roman" w:hAnsi="Times New Roman"/>
        </w:rPr>
        <w:t xml:space="preserve"> u Federaciji BiH. Prosječna neto </w:t>
      </w:r>
      <w:r w:rsidR="00F70FD4">
        <w:rPr>
          <w:rFonts w:ascii="Times New Roman" w:hAnsi="Times New Roman"/>
        </w:rPr>
        <w:t>plata</w:t>
      </w:r>
      <w:r w:rsidR="00A131AD" w:rsidRPr="00155F80">
        <w:rPr>
          <w:rFonts w:ascii="Times New Roman" w:hAnsi="Times New Roman"/>
        </w:rPr>
        <w:t xml:space="preserve"> u </w:t>
      </w:r>
      <w:r w:rsidR="00EC6842">
        <w:rPr>
          <w:rFonts w:ascii="Times New Roman" w:hAnsi="Times New Roman"/>
        </w:rPr>
        <w:t>2015. godini je</w:t>
      </w:r>
      <w:r w:rsidR="00A131AD" w:rsidRPr="00155F80">
        <w:rPr>
          <w:rFonts w:ascii="Times New Roman" w:hAnsi="Times New Roman"/>
        </w:rPr>
        <w:t xml:space="preserve"> iznosila je 830 KM i manja je za 3</w:t>
      </w:r>
      <w:r w:rsidR="00685B54" w:rsidRPr="00155F80">
        <w:rPr>
          <w:rFonts w:ascii="Times New Roman" w:hAnsi="Times New Roman"/>
        </w:rPr>
        <w:t xml:space="preserve"> KM u odnosu na prethodnu godinu</w:t>
      </w:r>
      <w:r w:rsidR="00A131AD"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 xml:space="preserve">Grafikon 5: Prosječna neto </w:t>
      </w:r>
      <w:r w:rsidR="00F70FD4">
        <w:t>plata</w:t>
      </w:r>
      <w:r w:rsidRPr="00155F80">
        <w:t xml:space="preserve"> u Federaciji BiH u 2015.godini, po kantonima u KM</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05B9DACA" wp14:editId="460B2983">
            <wp:extent cx="5857875" cy="2333625"/>
            <wp:effectExtent l="0" t="0" r="9525" b="9525"/>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131AD" w:rsidRPr="00155F80" w:rsidRDefault="00A131AD" w:rsidP="000C0138">
      <w:pPr>
        <w:pStyle w:val="Poglavlje2"/>
        <w:spacing w:line="276" w:lineRule="auto"/>
      </w:pPr>
      <w:bookmarkStart w:id="13" w:name="_Toc422749721"/>
      <w:bookmarkStart w:id="14" w:name="_Toc460929183"/>
      <w:r w:rsidRPr="00155F80">
        <w:t>2.1 Siromaštvo</w:t>
      </w:r>
      <w:bookmarkEnd w:id="13"/>
      <w:r w:rsidRPr="00155F80">
        <w:t xml:space="preserve"> i socijalna iskl</w:t>
      </w:r>
      <w:r w:rsidR="000A3A46">
        <w:t>j</w:t>
      </w:r>
      <w:r w:rsidRPr="00155F80">
        <w:t>učenost</w:t>
      </w:r>
      <w:bookmarkEnd w:id="14"/>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r w:rsidRPr="00155F80">
        <w:rPr>
          <w:rFonts w:ascii="Times New Roman" w:hAnsi="Times New Roman"/>
          <w:lang w:val="bs-Latn-BA"/>
        </w:rPr>
        <w:t>Pojam siromaštva se uglavnom defini</w:t>
      </w:r>
      <w:r w:rsidR="00F311A8">
        <w:rPr>
          <w:rFonts w:ascii="Times New Roman" w:hAnsi="Times New Roman"/>
          <w:lang w:val="bs-Latn-BA"/>
        </w:rPr>
        <w:t>ra</w:t>
      </w:r>
      <w:r w:rsidRPr="00155F80">
        <w:rPr>
          <w:rFonts w:ascii="Times New Roman" w:hAnsi="Times New Roman"/>
          <w:lang w:val="bs-Latn-BA"/>
        </w:rPr>
        <w:t xml:space="preserve"> kao oskudica materijalnih ili novčanih sredstava. </w:t>
      </w:r>
      <w:r w:rsidRPr="00155F80">
        <w:rPr>
          <w:rFonts w:ascii="Times New Roman" w:eastAsia="Arial" w:hAnsi="Times New Roman"/>
          <w:color w:val="000000"/>
          <w:lang w:val="bs-Latn-BA" w:eastAsia="bs-Latn-BA"/>
        </w:rPr>
        <w:t>Siromaštvo se najčešće mjeri indikatorima koji su vezani za prihode, dok se višedimenzionalnost siromaštva p</w:t>
      </w:r>
      <w:r w:rsidR="00F311A8">
        <w:rPr>
          <w:rFonts w:ascii="Times New Roman" w:eastAsia="Arial" w:hAnsi="Times New Roman"/>
          <w:color w:val="000000"/>
          <w:lang w:val="bs-Latn-BA" w:eastAsia="bs-Latn-BA"/>
        </w:rPr>
        <w:t>r</w:t>
      </w:r>
      <w:r w:rsidRPr="00155F80">
        <w:rPr>
          <w:rFonts w:ascii="Times New Roman" w:eastAsia="Arial" w:hAnsi="Times New Roman"/>
          <w:color w:val="000000"/>
          <w:lang w:val="bs-Latn-BA" w:eastAsia="bs-Latn-BA"/>
        </w:rPr>
        <w:t xml:space="preserve">omatra kroz dugotrajni ili stalni nedostatak resursa, </w:t>
      </w:r>
      <w:r w:rsidR="00450B4A" w:rsidRPr="00155F80">
        <w:rPr>
          <w:rFonts w:ascii="Times New Roman" w:eastAsia="Arial" w:hAnsi="Times New Roman"/>
          <w:color w:val="000000"/>
          <w:lang w:val="bs-Latn-BA" w:eastAsia="bs-Latn-BA"/>
        </w:rPr>
        <w:t xml:space="preserve">sposobnosti, mogućnosti izbora i sigurnosnih </w:t>
      </w:r>
      <w:r w:rsidR="00F70FD4">
        <w:rPr>
          <w:rFonts w:ascii="Times New Roman" w:eastAsia="Arial" w:hAnsi="Times New Roman"/>
          <w:color w:val="000000"/>
          <w:lang w:val="bs-Latn-BA" w:eastAsia="bs-Latn-BA"/>
        </w:rPr>
        <w:t>uslov</w:t>
      </w:r>
      <w:r w:rsidR="00F311A8">
        <w:rPr>
          <w:rFonts w:ascii="Times New Roman" w:eastAsia="Arial" w:hAnsi="Times New Roman"/>
          <w:color w:val="000000"/>
          <w:lang w:val="bs-Latn-BA" w:eastAsia="bs-Latn-BA"/>
        </w:rPr>
        <w:t>a</w:t>
      </w:r>
      <w:r w:rsidRPr="00155F80">
        <w:rPr>
          <w:rFonts w:ascii="Times New Roman" w:eastAsia="Arial" w:hAnsi="Times New Roman"/>
          <w:color w:val="000000"/>
          <w:lang w:val="bs-Latn-BA" w:eastAsia="bs-Latn-BA"/>
        </w:rPr>
        <w:t xml:space="preserve"> koji su potrebni za uživanje primjerenog životnog standarda i realizaciju </w:t>
      </w:r>
      <w:r w:rsidR="00CB080B">
        <w:rPr>
          <w:rFonts w:ascii="Times New Roman" w:eastAsia="Arial" w:hAnsi="Times New Roman"/>
          <w:color w:val="000000"/>
          <w:lang w:val="bs-Latn-BA" w:eastAsia="bs-Latn-BA"/>
        </w:rPr>
        <w:t>ekonomski</w:t>
      </w:r>
      <w:r w:rsidR="00F311A8">
        <w:rPr>
          <w:rFonts w:ascii="Times New Roman" w:eastAsia="Arial" w:hAnsi="Times New Roman"/>
          <w:color w:val="000000"/>
          <w:lang w:val="bs-Latn-BA" w:eastAsia="bs-Latn-BA"/>
        </w:rPr>
        <w:t>h</w:t>
      </w:r>
      <w:r w:rsidRPr="00155F80">
        <w:rPr>
          <w:rFonts w:ascii="Times New Roman" w:eastAsia="Arial" w:hAnsi="Times New Roman"/>
          <w:color w:val="000000"/>
          <w:lang w:val="bs-Latn-BA" w:eastAsia="bs-Latn-BA"/>
        </w:rPr>
        <w:t xml:space="preserve">, političkih, kulturnih i socijalnih prava. </w:t>
      </w:r>
    </w:p>
    <w:p w:rsidR="00A131AD" w:rsidRPr="00155F80" w:rsidRDefault="00A131AD" w:rsidP="000C0138">
      <w:pPr>
        <w:spacing w:after="243" w:line="276" w:lineRule="auto"/>
        <w:ind w:left="-15" w:right="49" w:firstLine="4"/>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 xml:space="preserve">Dva su uobičajena </w:t>
      </w:r>
      <w:r w:rsidR="00F311A8">
        <w:rPr>
          <w:rFonts w:ascii="Times New Roman" w:eastAsia="Arial" w:hAnsi="Times New Roman"/>
          <w:color w:val="000000"/>
          <w:lang w:val="bs-Latn-BA" w:eastAsia="bs-Latn-BA"/>
        </w:rPr>
        <w:t>znanstvena</w:t>
      </w:r>
      <w:r w:rsidRPr="00155F80">
        <w:rPr>
          <w:rFonts w:ascii="Times New Roman" w:eastAsia="Arial" w:hAnsi="Times New Roman"/>
          <w:color w:val="000000"/>
          <w:lang w:val="bs-Latn-BA" w:eastAsia="bs-Latn-BA"/>
        </w:rPr>
        <w:t xml:space="preserve"> pristupa mjerenju siromaštva: apsolutno i relativno siromaštvo. </w:t>
      </w:r>
    </w:p>
    <w:p w:rsidR="00A131AD" w:rsidRPr="00155F80" w:rsidRDefault="00A131AD" w:rsidP="000C0138">
      <w:pPr>
        <w:spacing w:after="243" w:line="276" w:lineRule="auto"/>
        <w:ind w:left="-15" w:right="49" w:firstLine="4"/>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 xml:space="preserve">Apsolutna linija siromaštva ne mjeri siromaštvo u odnosu na druge </w:t>
      </w:r>
      <w:r w:rsidR="00B43765">
        <w:rPr>
          <w:rFonts w:ascii="Times New Roman" w:eastAsia="Arial" w:hAnsi="Times New Roman"/>
          <w:color w:val="000000"/>
          <w:lang w:val="bs-Latn-BA" w:eastAsia="bs-Latn-BA"/>
        </w:rPr>
        <w:t>razine</w:t>
      </w:r>
      <w:r w:rsidRPr="00155F80">
        <w:rPr>
          <w:rFonts w:ascii="Times New Roman" w:eastAsia="Arial" w:hAnsi="Times New Roman"/>
          <w:color w:val="000000"/>
          <w:lang w:val="bs-Latn-BA" w:eastAsia="bs-Latn-BA"/>
        </w:rPr>
        <w:t xml:space="preserve"> blagostanja već nastoji da definira vrijednost potrošnje koja je potrebna bilo kojoj osobi bez obzira na vrijeme i mjesto. Najčešće korištena apsolutna linija siromaštva je ona koja se </w:t>
      </w:r>
      <w:r w:rsidR="00B43765">
        <w:rPr>
          <w:rFonts w:ascii="Times New Roman" w:eastAsia="Arial" w:hAnsi="Times New Roman"/>
          <w:color w:val="000000"/>
          <w:lang w:val="bs-Latn-BA" w:eastAsia="bs-Latn-BA"/>
        </w:rPr>
        <w:t>temelji</w:t>
      </w:r>
      <w:r w:rsidRPr="00155F80">
        <w:rPr>
          <w:rFonts w:ascii="Times New Roman" w:eastAsia="Arial" w:hAnsi="Times New Roman"/>
          <w:color w:val="000000"/>
          <w:lang w:val="bs-Latn-BA" w:eastAsia="bs-Latn-BA"/>
        </w:rPr>
        <w:t xml:space="preserve"> na potrošnji hrane. </w:t>
      </w:r>
    </w:p>
    <w:p w:rsidR="00C77EBB" w:rsidRDefault="00A131AD" w:rsidP="00C77EBB">
      <w:pPr>
        <w:spacing w:line="276" w:lineRule="auto"/>
        <w:ind w:left="-15" w:right="49"/>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Relativno siromaštvo poredi standard jedne kategorije stanovništva sa drugom u istom društvu. U izračunu apsolutnog siromaštva utvrđuje se prag odnosno generalna i ekstremna linija siromaštva. Razlike između ove dvije linije siromaštva su u tome što ekstremna linija p</w:t>
      </w:r>
      <w:r w:rsidR="00BB0F79">
        <w:rPr>
          <w:rFonts w:ascii="Times New Roman" w:eastAsia="Arial" w:hAnsi="Times New Roman"/>
          <w:color w:val="000000"/>
          <w:lang w:val="bs-Latn-BA" w:eastAsia="bs-Latn-BA"/>
        </w:rPr>
        <w:t>r</w:t>
      </w:r>
      <w:r w:rsidRPr="00155F80">
        <w:rPr>
          <w:rFonts w:ascii="Times New Roman" w:eastAsia="Arial" w:hAnsi="Times New Roman"/>
          <w:color w:val="000000"/>
          <w:lang w:val="bs-Latn-BA" w:eastAsia="bs-Latn-BA"/>
        </w:rPr>
        <w:t xml:space="preserve">omatra samo prehrambene potrebe pojedinca, koje se </w:t>
      </w:r>
      <w:r w:rsidR="00BB0F79">
        <w:rPr>
          <w:rFonts w:ascii="Times New Roman" w:eastAsia="Arial" w:hAnsi="Times New Roman"/>
          <w:color w:val="000000"/>
          <w:lang w:val="bs-Latn-BA" w:eastAsia="bs-Latn-BA"/>
        </w:rPr>
        <w:t>temelje</w:t>
      </w:r>
      <w:r w:rsidRPr="00155F80">
        <w:rPr>
          <w:rFonts w:ascii="Times New Roman" w:eastAsia="Arial" w:hAnsi="Times New Roman"/>
          <w:color w:val="000000"/>
          <w:lang w:val="bs-Latn-BA" w:eastAsia="bs-Latn-BA"/>
        </w:rPr>
        <w:t xml:space="preserve"> na minimumu kalorijskih potreba pojedinca. </w:t>
      </w:r>
    </w:p>
    <w:p w:rsidR="00C77EBB" w:rsidRDefault="00C77EBB" w:rsidP="00C77EBB">
      <w:pPr>
        <w:spacing w:line="276" w:lineRule="auto"/>
        <w:ind w:left="-15" w:right="49"/>
        <w:rPr>
          <w:rFonts w:ascii="Times New Roman" w:eastAsia="Arial" w:hAnsi="Times New Roman"/>
          <w:color w:val="000000"/>
          <w:lang w:val="bs-Latn-BA" w:eastAsia="bs-Latn-BA"/>
        </w:rPr>
      </w:pPr>
    </w:p>
    <w:p w:rsidR="00A131AD" w:rsidRPr="00155F80" w:rsidRDefault="00A131AD" w:rsidP="00C77EBB">
      <w:pPr>
        <w:spacing w:after="192" w:line="276" w:lineRule="auto"/>
        <w:ind w:left="-15" w:right="49"/>
        <w:rPr>
          <w:rFonts w:ascii="Times New Roman" w:eastAsiaTheme="minorHAnsi" w:hAnsi="Times New Roman"/>
          <w:lang w:val="bs-Latn-BA"/>
        </w:rPr>
      </w:pPr>
      <w:r w:rsidRPr="00155F80">
        <w:rPr>
          <w:rFonts w:ascii="Times New Roman" w:eastAsia="Arial" w:hAnsi="Times New Roman"/>
          <w:color w:val="000000"/>
          <w:lang w:val="bs-Latn-BA" w:eastAsia="bs-Latn-BA"/>
        </w:rPr>
        <w:t>Socijalna isključenost je mnogo širi pojam od siromaštva. To</w:t>
      </w:r>
      <w:r w:rsidRPr="00155F80">
        <w:rPr>
          <w:rFonts w:ascii="Times New Roman" w:eastAsia="Arial" w:hAnsi="Times New Roman"/>
          <w:b/>
          <w:color w:val="000000"/>
          <w:lang w:val="bs-Latn-BA" w:eastAsia="bs-Latn-BA"/>
        </w:rPr>
        <w:t xml:space="preserve"> </w:t>
      </w:r>
      <w:r w:rsidRPr="00155F80">
        <w:rPr>
          <w:rFonts w:ascii="Times New Roman" w:eastAsia="Arial" w:hAnsi="Times New Roman"/>
          <w:color w:val="000000"/>
          <w:lang w:val="bs-Latn-BA" w:eastAsia="bs-Latn-BA"/>
        </w:rPr>
        <w:t>je proces kojim se određeni pojedinci ili grupe potiskuju na rub društva, spr</w:t>
      </w:r>
      <w:r w:rsidR="00BB0F79">
        <w:rPr>
          <w:rFonts w:ascii="Times New Roman" w:eastAsia="Arial" w:hAnsi="Times New Roman"/>
          <w:color w:val="000000"/>
          <w:lang w:val="bs-Latn-BA" w:eastAsia="bs-Latn-BA"/>
        </w:rPr>
        <w:t>j</w:t>
      </w:r>
      <w:r w:rsidRPr="00155F80">
        <w:rPr>
          <w:rFonts w:ascii="Times New Roman" w:eastAsia="Arial" w:hAnsi="Times New Roman"/>
          <w:color w:val="000000"/>
          <w:lang w:val="bs-Latn-BA" w:eastAsia="bs-Latn-BA"/>
        </w:rPr>
        <w:t>ečava ih se u</w:t>
      </w:r>
      <w:r w:rsidRPr="00155F80">
        <w:rPr>
          <w:rFonts w:ascii="Times New Roman" w:eastAsia="Arial" w:hAnsi="Times New Roman"/>
          <w:color w:val="000000"/>
          <w:vertAlign w:val="superscript"/>
          <w:lang w:val="bs-Latn-BA" w:eastAsia="bs-Latn-BA"/>
        </w:rPr>
        <w:t xml:space="preserve"> </w:t>
      </w:r>
      <w:r w:rsidRPr="00155F80">
        <w:rPr>
          <w:rFonts w:ascii="Times New Roman" w:eastAsia="Arial" w:hAnsi="Times New Roman"/>
          <w:color w:val="000000"/>
          <w:lang w:val="bs-Latn-BA" w:eastAsia="bs-Latn-BA"/>
        </w:rPr>
        <w:t>njihovim nastojanjima da žive pristojnim životom uz puno sudjelovanje u društvu zbog njihovog etničkog po</w:t>
      </w:r>
      <w:r w:rsidR="00BB0F79">
        <w:rPr>
          <w:rFonts w:ascii="Times New Roman" w:eastAsia="Arial" w:hAnsi="Times New Roman"/>
          <w:color w:val="000000"/>
          <w:lang w:val="bs-Latn-BA" w:eastAsia="bs-Latn-BA"/>
        </w:rPr>
        <w:t>d</w:t>
      </w:r>
      <w:r w:rsidRPr="00155F80">
        <w:rPr>
          <w:rFonts w:ascii="Times New Roman" w:eastAsia="Arial" w:hAnsi="Times New Roman"/>
          <w:color w:val="000000"/>
          <w:lang w:val="bs-Latn-BA" w:eastAsia="bs-Latn-BA"/>
        </w:rPr>
        <w:t>rije</w:t>
      </w:r>
      <w:r w:rsidR="00BB0F79">
        <w:rPr>
          <w:rFonts w:ascii="Times New Roman" w:eastAsia="Arial" w:hAnsi="Times New Roman"/>
          <w:color w:val="000000"/>
          <w:lang w:val="bs-Latn-BA" w:eastAsia="bs-Latn-BA"/>
        </w:rPr>
        <w:t>t</w:t>
      </w:r>
      <w:r w:rsidRPr="00155F80">
        <w:rPr>
          <w:rFonts w:ascii="Times New Roman" w:eastAsia="Arial" w:hAnsi="Times New Roman"/>
          <w:color w:val="000000"/>
          <w:lang w:val="bs-Latn-BA" w:eastAsia="bs-Latn-BA"/>
        </w:rPr>
        <w:t>la, vjerske pripadnosti, staleža u društvu, dobnih ili spolnih razlika, invalidnosti, finan</w:t>
      </w:r>
      <w:r w:rsidR="00BB0F79">
        <w:rPr>
          <w:rFonts w:ascii="Times New Roman" w:eastAsia="Arial" w:hAnsi="Times New Roman"/>
          <w:color w:val="000000"/>
          <w:lang w:val="bs-Latn-BA" w:eastAsia="bs-Latn-BA"/>
        </w:rPr>
        <w:t>c</w:t>
      </w:r>
      <w:r w:rsidRPr="00155F80">
        <w:rPr>
          <w:rFonts w:ascii="Times New Roman" w:eastAsia="Arial" w:hAnsi="Times New Roman"/>
          <w:color w:val="000000"/>
          <w:lang w:val="bs-Latn-BA" w:eastAsia="bs-Latn-BA"/>
        </w:rPr>
        <w:t xml:space="preserve">ijskih problema, nedostatka formalnog </w:t>
      </w:r>
      <w:r w:rsidR="00BB0F79">
        <w:rPr>
          <w:rFonts w:ascii="Times New Roman" w:eastAsia="Arial" w:hAnsi="Times New Roman"/>
          <w:color w:val="000000"/>
          <w:lang w:val="bs-Latn-BA" w:eastAsia="bs-Latn-BA"/>
        </w:rPr>
        <w:t>posla</w:t>
      </w:r>
      <w:r w:rsidRPr="00155F80">
        <w:rPr>
          <w:rFonts w:ascii="Times New Roman" w:eastAsia="Arial" w:hAnsi="Times New Roman"/>
          <w:color w:val="000000"/>
          <w:lang w:val="bs-Latn-BA" w:eastAsia="bs-Latn-BA"/>
        </w:rPr>
        <w:t xml:space="preserve"> i obrazovanja, zaraženosti HIV virusom, migraci</w:t>
      </w:r>
      <w:r w:rsidR="00BB0F79">
        <w:rPr>
          <w:rFonts w:ascii="Times New Roman" w:eastAsia="Arial" w:hAnsi="Times New Roman"/>
          <w:color w:val="000000"/>
          <w:lang w:val="bs-Latn-BA" w:eastAsia="bs-Latn-BA"/>
        </w:rPr>
        <w:t xml:space="preserve">jskog </w:t>
      </w:r>
      <w:r w:rsidRPr="00155F80">
        <w:rPr>
          <w:rFonts w:ascii="Times New Roman" w:eastAsia="Arial" w:hAnsi="Times New Roman"/>
          <w:color w:val="000000"/>
          <w:lang w:val="bs-Latn-BA" w:eastAsia="bs-Latn-BA"/>
        </w:rPr>
        <w:t xml:space="preserve">statusa i mjesta prebivališta. </w:t>
      </w:r>
      <w:r w:rsidRPr="00AD6501">
        <w:rPr>
          <w:rFonts w:ascii="Times New Roman" w:hAnsi="Times New Roman"/>
        </w:rPr>
        <w:t>Socijalna isključenost (prema EU2020) se prati putem tri indikatora: stopa rizika od siromaštva, materijalna</w:t>
      </w:r>
      <w:r w:rsidRPr="00155F80">
        <w:rPr>
          <w:rFonts w:ascii="Times New Roman" w:hAnsi="Times New Roman"/>
        </w:rPr>
        <w:t xml:space="preserve"> uskraćenost i </w:t>
      </w:r>
      <w:r w:rsidR="000A3A46">
        <w:rPr>
          <w:rFonts w:ascii="Times New Roman" w:hAnsi="Times New Roman"/>
        </w:rPr>
        <w:t>domaćinstva</w:t>
      </w:r>
      <w:r w:rsidRPr="00155F80">
        <w:rPr>
          <w:rFonts w:ascii="Times New Roman" w:hAnsi="Times New Roman"/>
        </w:rPr>
        <w:t xml:space="preserve"> sa niskim intenzitetom rada.</w:t>
      </w:r>
    </w:p>
    <w:p w:rsidR="00A131AD" w:rsidRPr="00155F80" w:rsidRDefault="00A131AD" w:rsidP="000C0138">
      <w:pPr>
        <w:spacing w:line="276" w:lineRule="auto"/>
        <w:rPr>
          <w:rFonts w:ascii="Times New Roman" w:hAnsi="Times New Roman"/>
          <w:lang w:val="bs-Latn-BA"/>
        </w:rPr>
      </w:pPr>
      <w:r w:rsidRPr="00155F80">
        <w:rPr>
          <w:rFonts w:ascii="Times New Roman" w:eastAsiaTheme="minorHAnsi" w:hAnsi="Times New Roman"/>
          <w:lang w:val="bs-Latn-BA"/>
        </w:rPr>
        <w:t xml:space="preserve">Siromaštvo u BiH se prati pomoću Ankete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xml:space="preserve"> (AP</w:t>
      </w:r>
      <w:r w:rsidR="00BB0F79">
        <w:rPr>
          <w:rFonts w:ascii="Times New Roman" w:eastAsiaTheme="minorHAnsi" w:hAnsi="Times New Roman"/>
          <w:lang w:val="bs-Latn-BA"/>
        </w:rPr>
        <w:t>K</w:t>
      </w:r>
      <w:r w:rsidRPr="00155F80">
        <w:rPr>
          <w:rFonts w:ascii="Times New Roman" w:eastAsiaTheme="minorHAnsi" w:hAnsi="Times New Roman"/>
          <w:lang w:val="bs-Latn-BA"/>
        </w:rPr>
        <w:t xml:space="preserve">) koju Agencija za statistiku BiH izrađuje na trogodišnjoj osnovi. Anketa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prvi put u Bosni i Hercegovini, provedena je 2004. godine, zatim 2007. i  2011. godine.</w:t>
      </w:r>
      <w:r w:rsidRPr="00155F80">
        <w:rPr>
          <w:rFonts w:ascii="Times New Roman" w:hAnsi="Times New Roman"/>
        </w:rPr>
        <w:t xml:space="preserve"> </w:t>
      </w:r>
      <w:r w:rsidRPr="00155F80">
        <w:rPr>
          <w:rFonts w:ascii="Times New Roman" w:eastAsiaTheme="minorHAnsi" w:hAnsi="Times New Roman"/>
          <w:lang w:val="bs-Latn-BA"/>
        </w:rPr>
        <w:t xml:space="preserve">Ciljevi Ankete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xml:space="preserve"> su dobi</w:t>
      </w:r>
      <w:r w:rsidR="00BB0F79">
        <w:rPr>
          <w:rFonts w:ascii="Times New Roman" w:eastAsiaTheme="minorHAnsi" w:hAnsi="Times New Roman"/>
          <w:lang w:val="bs-Latn-BA"/>
        </w:rPr>
        <w:t>v</w:t>
      </w:r>
      <w:r w:rsidRPr="00155F80">
        <w:rPr>
          <w:rFonts w:ascii="Times New Roman" w:eastAsiaTheme="minorHAnsi" w:hAnsi="Times New Roman"/>
          <w:lang w:val="bs-Latn-BA"/>
        </w:rPr>
        <w:t xml:space="preserve">anje podataka o veličini i strukturi potrošnje </w:t>
      </w:r>
      <w:r w:rsidR="006C228E">
        <w:rPr>
          <w:rFonts w:ascii="Times New Roman" w:eastAsiaTheme="minorHAnsi" w:hAnsi="Times New Roman"/>
          <w:lang w:val="bs-Latn-BA"/>
        </w:rPr>
        <w:t>kućanstava</w:t>
      </w:r>
      <w:r w:rsidRPr="00155F80">
        <w:rPr>
          <w:rFonts w:ascii="Times New Roman" w:eastAsiaTheme="minorHAnsi" w:hAnsi="Times New Roman"/>
          <w:lang w:val="bs-Latn-BA"/>
        </w:rPr>
        <w:t xml:space="preserve"> u BiH, osnovnim demografskim i socioekonomskim karakteristikama njihovih članova, </w:t>
      </w:r>
      <w:r w:rsidR="00F70FD4">
        <w:rPr>
          <w:rFonts w:ascii="Times New Roman" w:eastAsiaTheme="minorHAnsi" w:hAnsi="Times New Roman"/>
          <w:lang w:val="bs-Latn-BA"/>
        </w:rPr>
        <w:t>uslovi</w:t>
      </w:r>
      <w:r w:rsidR="006C228E">
        <w:rPr>
          <w:rFonts w:ascii="Times New Roman" w:eastAsiaTheme="minorHAnsi" w:hAnsi="Times New Roman"/>
          <w:lang w:val="bs-Latn-BA"/>
        </w:rPr>
        <w:t>ma</w:t>
      </w:r>
      <w:r w:rsidRPr="00155F80">
        <w:rPr>
          <w:rFonts w:ascii="Times New Roman" w:eastAsiaTheme="minorHAnsi" w:hAnsi="Times New Roman"/>
          <w:lang w:val="bs-Latn-BA"/>
        </w:rPr>
        <w:t xml:space="preserve"> stanovanja, izvorima i veličini prihoda, investicijama, socijalnoj uključenosti, zdravlju i slično</w:t>
      </w:r>
      <w:r w:rsidR="00450B4A" w:rsidRPr="00155F80">
        <w:rPr>
          <w:rFonts w:ascii="Times New Roman" w:eastAsiaTheme="minorHAnsi" w:hAnsi="Times New Roman"/>
          <w:lang w:val="bs-Latn-BA"/>
        </w:rPr>
        <w:t xml:space="preserve">. </w:t>
      </w:r>
    </w:p>
    <w:p w:rsidR="00A131AD" w:rsidRPr="00155F80" w:rsidRDefault="00A131AD" w:rsidP="00250204">
      <w:pPr>
        <w:pStyle w:val="TEKST"/>
        <w:rPr>
          <w:i/>
        </w:rPr>
      </w:pPr>
      <w:r w:rsidRPr="00155F80">
        <w:t xml:space="preserve">Prema posljednjim </w:t>
      </w:r>
      <w:r w:rsidR="002B489B">
        <w:t>podaci</w:t>
      </w:r>
      <w:r w:rsidRPr="00155F80">
        <w:t xml:space="preserve">ma Ankete o potrošnji </w:t>
      </w:r>
      <w:r w:rsidR="006C228E">
        <w:t>kućanstava</w:t>
      </w:r>
      <w:r w:rsidRPr="00155F80">
        <w:t xml:space="preserve"> iz 2011. godine relativna linija siromaštva (standardna linija siromaštva) za BiH iznosi 416 KM za jednočlano odraslo </w:t>
      </w:r>
      <w:r w:rsidR="000A3A46">
        <w:t>domaćinstvo</w:t>
      </w:r>
      <w:r w:rsidRPr="00155F80">
        <w:t>. Prema ovom</w:t>
      </w:r>
      <w:r w:rsidR="006C228E">
        <w:t>e</w:t>
      </w:r>
      <w:r w:rsidRPr="00155F80">
        <w:t xml:space="preserve">, u 2011. godini u Federaciji BiH je 16% </w:t>
      </w:r>
      <w:r w:rsidR="006C228E">
        <w:t>kućanstava</w:t>
      </w:r>
      <w:r w:rsidRPr="00155F80">
        <w:t xml:space="preserve"> ili svako šesto </w:t>
      </w:r>
      <w:r w:rsidR="000A3A46">
        <w:t>domaćinstvo</w:t>
      </w:r>
      <w:r w:rsidRPr="00155F80">
        <w:t xml:space="preserve"> bilo relativno siromašno. Prema tipu naselja, u 2011. godini na teritorij</w:t>
      </w:r>
      <w:r w:rsidR="006C228E">
        <w:t>u</w:t>
      </w:r>
      <w:r w:rsidRPr="00155F80">
        <w:t xml:space="preserve"> Federacije BiH relativno siromaštvo bilo </w:t>
      </w:r>
      <w:r w:rsidR="006C228E">
        <w:t>je</w:t>
      </w:r>
      <w:r w:rsidRPr="00155F80">
        <w:t xml:space="preserve"> izraženije u naseljima tipa „ostalo“ i iznosilo je 21,9%.</w:t>
      </w:r>
      <w:r w:rsidR="00450B4A" w:rsidRPr="00155F80">
        <w:t xml:space="preserve"> </w:t>
      </w:r>
      <w:r w:rsidR="002F0665" w:rsidRPr="00F83CAD">
        <w:t>(5</w:t>
      </w:r>
      <w:r w:rsidR="00450B4A" w:rsidRPr="00F83CAD">
        <w:t>)</w:t>
      </w:r>
    </w:p>
    <w:p w:rsidR="00A131AD" w:rsidRPr="00155F80" w:rsidRDefault="00A131AD" w:rsidP="00250204">
      <w:pPr>
        <w:pStyle w:val="TEKST"/>
        <w:rPr>
          <w:i/>
        </w:rPr>
      </w:pPr>
      <w:r w:rsidRPr="00155F80">
        <w:t>Relativno siromaštvo je najviše koncentri</w:t>
      </w:r>
      <w:r w:rsidR="006C228E">
        <w:t>r</w:t>
      </w:r>
      <w:r w:rsidRPr="00155F80">
        <w:t xml:space="preserve">ano unutar jednočlanih i </w:t>
      </w:r>
      <w:r w:rsidR="006C228E">
        <w:t>kućanstava</w:t>
      </w:r>
      <w:r w:rsidRPr="00155F80">
        <w:t xml:space="preserve"> koja imaju 5 ili više članova, </w:t>
      </w:r>
      <w:r w:rsidR="00B95F35">
        <w:t>posebno kod</w:t>
      </w:r>
      <w:r w:rsidRPr="00155F80">
        <w:t xml:space="preserve"> </w:t>
      </w:r>
      <w:r w:rsidR="006C228E">
        <w:t>kućanstava</w:t>
      </w:r>
      <w:r w:rsidRPr="00155F80">
        <w:t xml:space="preserve"> gdje je os</w:t>
      </w:r>
      <w:r w:rsidR="00B95F35">
        <w:t>oba stara 65 godina i više</w:t>
      </w:r>
      <w:r w:rsidRPr="00155F80">
        <w:t>. Također, ni</w:t>
      </w:r>
      <w:r w:rsidR="006C228E">
        <w:t>ska</w:t>
      </w:r>
      <w:r w:rsidRPr="00155F80">
        <w:t xml:space="preserve"> </w:t>
      </w:r>
      <w:r w:rsidR="002B489B">
        <w:t>nivo</w:t>
      </w:r>
      <w:r w:rsidRPr="00155F80">
        <w:t xml:space="preserve"> obrazovanja je povezan</w:t>
      </w:r>
      <w:r w:rsidR="006C228E">
        <w:t>a</w:t>
      </w:r>
      <w:r w:rsidRPr="00155F80">
        <w:t xml:space="preserve"> s rizikom od siromaštva, pa je od ukupnog broja </w:t>
      </w:r>
      <w:r w:rsidR="006C228E">
        <w:t>kućanstava</w:t>
      </w:r>
      <w:r w:rsidRPr="00155F80">
        <w:t xml:space="preserve"> čiji </w:t>
      </w:r>
      <w:r w:rsidR="0027028E">
        <w:t>nosilac</w:t>
      </w:r>
      <w:r w:rsidRPr="00155F80">
        <w:t xml:space="preserve"> nema nikakvu školsku spremu 39,8% siromašno.</w:t>
      </w:r>
    </w:p>
    <w:p w:rsidR="00A131AD" w:rsidRPr="00155F80" w:rsidRDefault="00A131AD" w:rsidP="00250204">
      <w:pPr>
        <w:pStyle w:val="TEKST"/>
        <w:rPr>
          <w:i/>
        </w:rPr>
      </w:pPr>
      <w:r w:rsidRPr="00DB3434">
        <w:t xml:space="preserve">U Federaciji BiH nastavlja se trend smanjenja broja </w:t>
      </w:r>
      <w:r w:rsidRPr="00055C26">
        <w:t>raseljenih</w:t>
      </w:r>
      <w:r w:rsidRPr="00DB3434">
        <w:rPr>
          <w:b/>
        </w:rPr>
        <w:t xml:space="preserve"> </w:t>
      </w:r>
      <w:r w:rsidRPr="00DB3434">
        <w:t xml:space="preserve">osoba. Federalno ministarstvo raseljenih osoba i izbjeglica evidentiralo je u </w:t>
      </w:r>
      <w:r w:rsidRPr="00F83CAD">
        <w:t xml:space="preserve">2014. godini 38.820 raseljenih osoba ili 13.421 </w:t>
      </w:r>
      <w:r w:rsidR="003F79E2">
        <w:t>obitelj</w:t>
      </w:r>
      <w:r w:rsidRPr="00F83CAD">
        <w:t xml:space="preserve">, za 0,9% manje nego 2013. godine.  </w:t>
      </w:r>
      <w:r w:rsidR="00055C26">
        <w:t>Do</w:t>
      </w:r>
      <w:r w:rsidR="00055C26" w:rsidRPr="00B95F35">
        <w:t xml:space="preserve"> trenutka </w:t>
      </w:r>
      <w:r w:rsidR="00E87324">
        <w:t>završetka</w:t>
      </w:r>
      <w:r w:rsidR="00055C26">
        <w:t xml:space="preserve"> izvješ</w:t>
      </w:r>
      <w:r w:rsidR="003F79E2">
        <w:t>ć</w:t>
      </w:r>
      <w:r w:rsidR="00055C26">
        <w:t>a</w:t>
      </w:r>
      <w:r w:rsidR="00DB3434" w:rsidRPr="00F83CAD">
        <w:t xml:space="preserve"> nisu objavljeni </w:t>
      </w:r>
      <w:r w:rsidR="002B489B">
        <w:t>podaci</w:t>
      </w:r>
      <w:r w:rsidR="00DB3434" w:rsidRPr="00F83CAD">
        <w:t xml:space="preserve"> za 2015. godinu.</w:t>
      </w:r>
    </w:p>
    <w:p w:rsidR="00A131AD" w:rsidRPr="00155F80" w:rsidRDefault="00A131AD" w:rsidP="00250204">
      <w:pPr>
        <w:pStyle w:val="TEKST"/>
        <w:rPr>
          <w:i/>
        </w:rPr>
      </w:pPr>
      <w:r w:rsidRPr="00155F80">
        <w:t>U</w:t>
      </w:r>
      <w:r w:rsidR="003F79E2">
        <w:t>dio</w:t>
      </w:r>
      <w:r w:rsidRPr="00E87324">
        <w:rPr>
          <w:color w:val="00B0F0"/>
        </w:rPr>
        <w:t xml:space="preserve"> </w:t>
      </w:r>
      <w:r w:rsidR="003F79E2">
        <w:t>umirovljenika</w:t>
      </w:r>
      <w:r w:rsidRPr="00155F80">
        <w:rPr>
          <w:b/>
        </w:rPr>
        <w:t xml:space="preserve"> </w:t>
      </w:r>
      <w:r w:rsidRPr="00155F80">
        <w:t>u ukupnom broju stanovnika pokazuje trend po</w:t>
      </w:r>
      <w:r w:rsidR="003F79E2">
        <w:t>većanja</w:t>
      </w:r>
      <w:r w:rsidRPr="00155F80">
        <w:t xml:space="preserve"> posljednjih godina. Prema </w:t>
      </w:r>
      <w:r w:rsidR="002B489B">
        <w:t>podaci</w:t>
      </w:r>
      <w:r w:rsidRPr="00155F80">
        <w:t xml:space="preserve">ma Federalnog zavoda za </w:t>
      </w:r>
      <w:r w:rsidR="003F79E2">
        <w:t>mirovinsko</w:t>
      </w:r>
      <w:r w:rsidRPr="00155F80">
        <w:t xml:space="preserve"> i invalidsko osiguranje u 2015. godini je bilo 402.044 </w:t>
      </w:r>
      <w:r w:rsidR="003F79E2">
        <w:t>umirovljenika</w:t>
      </w:r>
      <w:r w:rsidRPr="00155F80">
        <w:t xml:space="preserve">, tj. 17,2% u ukupnom stanovništvu. Prosječna </w:t>
      </w:r>
      <w:r w:rsidR="003F79E2">
        <w:t>mirovina</w:t>
      </w:r>
      <w:r w:rsidRPr="00155F80">
        <w:t xml:space="preserve"> iznosila </w:t>
      </w:r>
      <w:r w:rsidR="003F79E2">
        <w:t xml:space="preserve">je </w:t>
      </w:r>
      <w:r w:rsidRPr="00155F80">
        <w:t>366,06</w:t>
      </w:r>
      <w:r w:rsidR="003F79E2">
        <w:t xml:space="preserve"> </w:t>
      </w:r>
      <w:r w:rsidRPr="00155F80">
        <w:t xml:space="preserve">KM. U strukturi, najveći broj čine starosne </w:t>
      </w:r>
      <w:r w:rsidR="003F79E2">
        <w:t>mirovine</w:t>
      </w:r>
      <w:r w:rsidRPr="00155F80">
        <w:t xml:space="preserve"> (206.404 odnosno 51,3%), poslije kojih </w:t>
      </w:r>
      <w:r w:rsidR="00EE5188">
        <w:t>važan</w:t>
      </w:r>
      <w:r w:rsidRPr="00155F80">
        <w:t xml:space="preserve"> </w:t>
      </w:r>
      <w:r w:rsidR="003F79E2">
        <w:t>udio</w:t>
      </w:r>
      <w:r w:rsidRPr="00155F80">
        <w:t xml:space="preserve"> imaju korisnici invalidskih </w:t>
      </w:r>
      <w:r w:rsidR="003F79E2">
        <w:t>mirovina</w:t>
      </w:r>
      <w:r w:rsidRPr="00155F80">
        <w:t xml:space="preserve">: 76.738 ili 19,1%. Prema uzroku invalidnosti i spolu, najviše korisnika invalidske </w:t>
      </w:r>
      <w:r w:rsidR="003F79E2">
        <w:t>mirovine</w:t>
      </w:r>
      <w:r w:rsidRPr="00155F80">
        <w:t xml:space="preserve"> je zbog bolesti, njih 71.672, više muškaraca (47.041) nego žena (24.631). Invalidske </w:t>
      </w:r>
      <w:r w:rsidR="003F79E2">
        <w:t>mirovine</w:t>
      </w:r>
      <w:r w:rsidRPr="00155F80">
        <w:t xml:space="preserve"> kojima su uzrok </w:t>
      </w:r>
      <w:r w:rsidR="00D21A46">
        <w:t>povrede</w:t>
      </w:r>
      <w:r w:rsidRPr="00155F80">
        <w:t xml:space="preserve"> na radu u 2015. godini je imalo 1.586 korisnika, više muškaraca (1.526) nego žena (60). Registr</w:t>
      </w:r>
      <w:r w:rsidR="003F79E2">
        <w:t>irana su</w:t>
      </w:r>
      <w:r w:rsidRPr="00155F80">
        <w:t xml:space="preserve"> 33 korisnik</w:t>
      </w:r>
      <w:r w:rsidR="003F79E2">
        <w:t>a</w:t>
      </w:r>
      <w:r w:rsidRPr="00155F80">
        <w:t xml:space="preserve"> invalidske </w:t>
      </w:r>
      <w:r w:rsidR="003F79E2">
        <w:t>mirovine</w:t>
      </w:r>
      <w:r w:rsidRPr="00155F80">
        <w:t xml:space="preserve"> zbog profesionalne boles</w:t>
      </w:r>
      <w:r w:rsidR="003F79E2">
        <w:t>t</w:t>
      </w:r>
      <w:r w:rsidRPr="00155F80">
        <w:t>i, od čega 21 muškaraca i 12 žena.</w:t>
      </w:r>
    </w:p>
    <w:p w:rsidR="00A131AD" w:rsidRPr="00155F80" w:rsidRDefault="00A131AD" w:rsidP="00250204">
      <w:pPr>
        <w:pStyle w:val="TEKST"/>
        <w:rPr>
          <w:i/>
        </w:rPr>
      </w:pPr>
      <w:r w:rsidRPr="00155F80">
        <w:t>Zbog kontinuiranog po</w:t>
      </w:r>
      <w:r w:rsidR="00B04616">
        <w:t>većanja</w:t>
      </w:r>
      <w:r w:rsidRPr="00155F80">
        <w:t xml:space="preserve"> broja </w:t>
      </w:r>
      <w:r w:rsidR="00B04616">
        <w:t>umirovljenika</w:t>
      </w:r>
      <w:r w:rsidRPr="00155F80">
        <w:t xml:space="preserve">, odnos </w:t>
      </w:r>
      <w:r w:rsidR="00B04616">
        <w:t>umirovljenika</w:t>
      </w:r>
      <w:r w:rsidRPr="00155F80">
        <w:t xml:space="preserve"> i </w:t>
      </w:r>
      <w:r w:rsidR="00950A64">
        <w:t>zaposlen</w:t>
      </w:r>
      <w:r w:rsidRPr="00155F80">
        <w:t xml:space="preserve">ih stanovnika je nepovoljan, iznosi blizu 1:1, što predstavlja opterećenje za zdravstveni </w:t>
      </w:r>
      <w:r w:rsidR="00512E30">
        <w:t>sistem</w:t>
      </w:r>
      <w:r w:rsidRPr="00155F80">
        <w:t>.</w:t>
      </w:r>
    </w:p>
    <w:p w:rsidR="00A131AD" w:rsidRPr="00155F80" w:rsidRDefault="00A131AD" w:rsidP="00250204">
      <w:pPr>
        <w:pStyle w:val="TEKST"/>
        <w:rPr>
          <w:i/>
        </w:rPr>
      </w:pPr>
      <w:r w:rsidRPr="00155F80">
        <w:t xml:space="preserve">Prema </w:t>
      </w:r>
      <w:r w:rsidR="002B489B">
        <w:t>podaci</w:t>
      </w:r>
      <w:r w:rsidRPr="00155F80">
        <w:t>ma Federalnog ministarstva za pitanja boraca i invalida odbrambeno oslobodilačkog rata, ukupan broj korisnika braniteljskih invalidnina u 2015. godini je 91.348.</w:t>
      </w:r>
    </w:p>
    <w:p w:rsidR="00A131AD" w:rsidRPr="00155F80" w:rsidRDefault="00A131AD" w:rsidP="00250204">
      <w:pPr>
        <w:pStyle w:val="TEKST"/>
        <w:rPr>
          <w:i/>
        </w:rPr>
      </w:pPr>
      <w:r w:rsidRPr="00155F80">
        <w:t xml:space="preserve">Prema </w:t>
      </w:r>
      <w:r w:rsidR="002B489B">
        <w:t>podaci</w:t>
      </w:r>
      <w:r w:rsidRPr="00155F80">
        <w:t>ma Federalnog ministarstva rada i socijalne politike, pravo po osnovu zaštite civilnih žrtava rata, u 2015. godini je koristilo 10.016 osoba, od čega ih je 4.014 os</w:t>
      </w:r>
      <w:r w:rsidR="00D21A46">
        <w:t>materija</w:t>
      </w:r>
      <w:r w:rsidRPr="00155F80">
        <w:t xml:space="preserve">ilo pravo na </w:t>
      </w:r>
      <w:r w:rsidR="00B04616">
        <w:t>osobnu</w:t>
      </w:r>
      <w:r w:rsidRPr="00155F80">
        <w:t xml:space="preserve"> invalidninu i 846 prava na mjesečno </w:t>
      </w:r>
      <w:r w:rsidR="00B04616">
        <w:t>osobno</w:t>
      </w:r>
      <w:r w:rsidRPr="00155F80">
        <w:t xml:space="preserve"> primanje. Od ukupnog broja civilnih žrtava rata njih 5.156 su </w:t>
      </w:r>
      <w:r w:rsidR="00F0369C">
        <w:t>porodici</w:t>
      </w:r>
      <w:r w:rsidRPr="00155F80">
        <w:t xml:space="preserve"> poginulih civilnih žrtava rata.</w:t>
      </w:r>
    </w:p>
    <w:p w:rsidR="00A131AD" w:rsidRPr="00155F80" w:rsidRDefault="00A131AD" w:rsidP="000C0138">
      <w:pPr>
        <w:pStyle w:val="Heading3"/>
        <w:spacing w:line="276" w:lineRule="auto"/>
        <w:rPr>
          <w:rFonts w:ascii="Times New Roman" w:hAnsi="Times New Roman" w:cs="Times New Roman"/>
          <w:sz w:val="22"/>
          <w:szCs w:val="22"/>
        </w:rPr>
      </w:pPr>
      <w:bookmarkStart w:id="15" w:name="_Toc422749722"/>
    </w:p>
    <w:p w:rsidR="00A131AD" w:rsidRPr="00155F80" w:rsidRDefault="00AE2EDA" w:rsidP="0082015E">
      <w:pPr>
        <w:pStyle w:val="Poglavlje2"/>
      </w:pPr>
      <w:bookmarkStart w:id="16" w:name="_Toc460929184"/>
      <w:r>
        <w:t xml:space="preserve">2.2 </w:t>
      </w:r>
      <w:r w:rsidR="00A131AD" w:rsidRPr="00155F80">
        <w:t xml:space="preserve">Stopa </w:t>
      </w:r>
      <w:r w:rsidR="00B04616">
        <w:t>u</w:t>
      </w:r>
      <w:r w:rsidR="00A131AD" w:rsidRPr="00155F80">
        <w:t>zdržavanog stanovništva (Dependency ratio)</w:t>
      </w:r>
      <w:bookmarkEnd w:id="15"/>
      <w:bookmarkEnd w:id="16"/>
      <w:r w:rsidR="00A131AD" w:rsidRPr="00155F80">
        <w:t xml:space="preserve"> </w:t>
      </w:r>
    </w:p>
    <w:p w:rsidR="00A131AD" w:rsidRPr="0082015E" w:rsidRDefault="00A131AD" w:rsidP="00250204">
      <w:pPr>
        <w:pStyle w:val="TEKST"/>
        <w:rPr>
          <w:i/>
        </w:rPr>
      </w:pPr>
      <w:r w:rsidRPr="0082015E">
        <w:t>Visok u</w:t>
      </w:r>
      <w:r w:rsidR="00B04616">
        <w:t>dio</w:t>
      </w:r>
      <w:r w:rsidRPr="0082015E">
        <w:t xml:space="preserve"> </w:t>
      </w:r>
      <w:r w:rsidR="00B04616">
        <w:t>u</w:t>
      </w:r>
      <w:r w:rsidRPr="0082015E">
        <w:t xml:space="preserve">zdržavanog stanovništva predstavlja </w:t>
      </w:r>
      <w:r w:rsidR="00B04616">
        <w:t>važan</w:t>
      </w:r>
      <w:r w:rsidRPr="0082015E">
        <w:t xml:space="preserve"> problem za finan</w:t>
      </w:r>
      <w:r w:rsidR="00B04616">
        <w:t>c</w:t>
      </w:r>
      <w:r w:rsidRPr="0082015E">
        <w:t xml:space="preserve">iranje </w:t>
      </w:r>
      <w:r w:rsidR="00B04616">
        <w:t>mirovinskih</w:t>
      </w:r>
      <w:r w:rsidRPr="0082015E">
        <w:t xml:space="preserve"> fondova, te socijalne i zdravstvene zaštite.</w:t>
      </w:r>
    </w:p>
    <w:p w:rsidR="00A131AD" w:rsidRPr="0082015E" w:rsidRDefault="00A131AD" w:rsidP="00250204">
      <w:pPr>
        <w:pStyle w:val="TEKST"/>
        <w:rPr>
          <w:i/>
        </w:rPr>
      </w:pPr>
      <w:r w:rsidRPr="0082015E">
        <w:t>Pod „</w:t>
      </w:r>
      <w:r w:rsidR="00B04616">
        <w:t>u</w:t>
      </w:r>
      <w:r w:rsidRPr="0082015E">
        <w:t xml:space="preserve">zdržavanim stanovništvom“ se podrazumijevaju djeca mlađa od 15 godina i stanovnici stariji od 65 godina, koje </w:t>
      </w:r>
      <w:r w:rsidR="00B04616">
        <w:t>u</w:t>
      </w:r>
      <w:r w:rsidRPr="0082015E">
        <w:t xml:space="preserve">zdržava radnoaktivni dio stanovništva. Stopa </w:t>
      </w:r>
      <w:r w:rsidR="00B04616">
        <w:t>u</w:t>
      </w:r>
      <w:r w:rsidRPr="0082015E">
        <w:t>zdržavanog stanovništva održava visok</w:t>
      </w:r>
      <w:r w:rsidR="00B04616">
        <w:t>u</w:t>
      </w:r>
      <w:r w:rsidRPr="0082015E">
        <w:t xml:space="preserve"> </w:t>
      </w:r>
      <w:r w:rsidR="002B489B">
        <w:t>nivo</w:t>
      </w:r>
      <w:r w:rsidRPr="0082015E">
        <w:t xml:space="preserve"> posljednjih godina, u 2015. godini je iznosila 44,8%, što znači da je velik u</w:t>
      </w:r>
      <w:r w:rsidR="00B04616">
        <w:t>dio</w:t>
      </w:r>
      <w:r w:rsidRPr="0082015E">
        <w:t xml:space="preserve"> sta</w:t>
      </w:r>
      <w:r w:rsidR="004E6840" w:rsidRPr="0082015E">
        <w:t>novnika koji nisu radno aktivni</w:t>
      </w:r>
      <w:r w:rsidRPr="0082015E">
        <w:t xml:space="preserve">. </w:t>
      </w:r>
    </w:p>
    <w:p w:rsidR="00450B4A" w:rsidRPr="00155F80" w:rsidRDefault="00450B4A" w:rsidP="00250204">
      <w:pPr>
        <w:pStyle w:val="TEKST"/>
      </w:pPr>
    </w:p>
    <w:p w:rsidR="00A131AD" w:rsidRPr="00155F80" w:rsidRDefault="00AE2EDA" w:rsidP="0082015E">
      <w:pPr>
        <w:pStyle w:val="Poglavlje2"/>
      </w:pPr>
      <w:bookmarkStart w:id="17" w:name="_Toc422749723"/>
      <w:bookmarkStart w:id="18" w:name="_Toc460929185"/>
      <w:r>
        <w:t>2.3</w:t>
      </w:r>
      <w:r w:rsidR="00A131AD" w:rsidRPr="00155F80">
        <w:t xml:space="preserve"> Pismenost odraslih</w:t>
      </w:r>
      <w:bookmarkEnd w:id="17"/>
      <w:bookmarkEnd w:id="18"/>
    </w:p>
    <w:p w:rsidR="00A131AD" w:rsidRDefault="00A131AD" w:rsidP="00250204">
      <w:pPr>
        <w:pStyle w:val="TEKST"/>
      </w:pPr>
      <w:r w:rsidRPr="0082015E">
        <w:t>Viš</w:t>
      </w:r>
      <w:r w:rsidR="00B04616">
        <w:t>a</w:t>
      </w:r>
      <w:r w:rsidRPr="0082015E">
        <w:t xml:space="preserve"> </w:t>
      </w:r>
      <w:r w:rsidR="002B489B">
        <w:t>nivo</w:t>
      </w:r>
      <w:r w:rsidRPr="0082015E">
        <w:t xml:space="preserve"> edukacije stanovništva je pred</w:t>
      </w:r>
      <w:r w:rsidR="00F70FD4">
        <w:t>uslov</w:t>
      </w:r>
      <w:r w:rsidRPr="0082015E">
        <w:t xml:space="preserve"> boljeg zdravlja, za što je pred</w:t>
      </w:r>
      <w:r w:rsidR="00F70FD4">
        <w:t>uslov</w:t>
      </w:r>
      <w:r w:rsidRPr="0082015E">
        <w:t xml:space="preserve"> pismenost. </w:t>
      </w:r>
      <w:r w:rsidR="00F30AE6">
        <w:t>K</w:t>
      </w:r>
      <w:r w:rsidRPr="0082015E">
        <w:t xml:space="preserve">ao </w:t>
      </w:r>
      <w:r w:rsidR="00D21A46">
        <w:t>znak</w:t>
      </w:r>
      <w:r w:rsidRPr="0082015E">
        <w:t xml:space="preserve"> pismenosti odraslog stanovništva može poslužiti stopa pismenosti žena i muškaraca u dobi od 15-24 godine, koja je prema </w:t>
      </w:r>
      <w:r w:rsidR="002B489B">
        <w:t>podaci</w:t>
      </w:r>
      <w:r w:rsidRPr="0082015E">
        <w:t xml:space="preserve">ma MICS4 istraživanja preko 99%, za žene iznosi 99,2%, a za muškarce 100%. </w:t>
      </w:r>
      <w:r w:rsidR="002F0665" w:rsidRPr="0082015E">
        <w:t>(6</w:t>
      </w:r>
      <w:r w:rsidR="00450B4A" w:rsidRPr="0082015E">
        <w:t>)</w:t>
      </w:r>
    </w:p>
    <w:p w:rsidR="00F30AE6" w:rsidRPr="00250204" w:rsidRDefault="00F30AE6" w:rsidP="00250204">
      <w:pPr>
        <w:pStyle w:val="TEKST"/>
      </w:pPr>
      <w:r w:rsidRPr="00250204">
        <w:t xml:space="preserve">Stopa pismenosti za starije od 15 godina za </w:t>
      </w:r>
      <w:r w:rsidR="00B04616">
        <w:t xml:space="preserve">europsku </w:t>
      </w:r>
      <w:r w:rsidRPr="00250204">
        <w:t>regi</w:t>
      </w:r>
      <w:r w:rsidR="00B04616">
        <w:t>ju</w:t>
      </w:r>
      <w:r w:rsidRPr="00250204">
        <w:t xml:space="preserve"> iznosi 98,5%.</w:t>
      </w:r>
    </w:p>
    <w:p w:rsidR="00F30AE6" w:rsidRDefault="00F30AE6" w:rsidP="00250204">
      <w:pPr>
        <w:pStyle w:val="TEKST"/>
      </w:pPr>
    </w:p>
    <w:p w:rsidR="00F30AE6" w:rsidRPr="0082015E" w:rsidRDefault="00F30AE6" w:rsidP="00250204">
      <w:pPr>
        <w:pStyle w:val="TEKST"/>
      </w:pPr>
    </w:p>
    <w:p w:rsidR="00993848" w:rsidRPr="00155F80" w:rsidRDefault="00993848" w:rsidP="00250204">
      <w:pPr>
        <w:pStyle w:val="TEKST"/>
      </w:pPr>
    </w:p>
    <w:p w:rsidR="001911A6" w:rsidRDefault="001911A6"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Pr="00155F80" w:rsidRDefault="00372B78" w:rsidP="000C0138">
      <w:pPr>
        <w:spacing w:after="160" w:line="276" w:lineRule="auto"/>
        <w:rPr>
          <w:rFonts w:ascii="Times New Roman" w:eastAsiaTheme="minorHAnsi" w:hAnsi="Times New Roman"/>
          <w:lang w:val="bs-Latn-BA"/>
        </w:rPr>
      </w:pPr>
    </w:p>
    <w:p w:rsidR="00AE2EDA" w:rsidRDefault="00587CDA" w:rsidP="000C0138">
      <w:pPr>
        <w:pStyle w:val="Poglavlje1"/>
        <w:spacing w:line="276" w:lineRule="auto"/>
        <w:rPr>
          <w:rFonts w:eastAsiaTheme="minorHAnsi"/>
        </w:rPr>
      </w:pPr>
      <w:bookmarkStart w:id="19" w:name="_Toc460929186"/>
      <w:r>
        <w:rPr>
          <w:rFonts w:eastAsiaTheme="minorHAnsi"/>
        </w:rPr>
        <w:t>POKAZATELJI</w:t>
      </w:r>
      <w:r w:rsidR="00A131AD" w:rsidRPr="00155F80">
        <w:rPr>
          <w:rFonts w:eastAsiaTheme="minorHAnsi"/>
        </w:rPr>
        <w:t xml:space="preserve"> ZDRAVLJA STANOVNIŠTVA</w:t>
      </w:r>
      <w:bookmarkEnd w:id="19"/>
    </w:p>
    <w:p w:rsidR="00B4366E" w:rsidRPr="00AE2EDA" w:rsidRDefault="00B4366E" w:rsidP="00B4366E">
      <w:pPr>
        <w:pStyle w:val="Poglavlje1"/>
        <w:numPr>
          <w:ilvl w:val="0"/>
          <w:numId w:val="0"/>
        </w:numPr>
        <w:spacing w:line="276" w:lineRule="auto"/>
        <w:ind w:left="720"/>
        <w:rPr>
          <w:rFonts w:eastAsiaTheme="minorHAnsi"/>
        </w:rPr>
      </w:pPr>
    </w:p>
    <w:p w:rsidR="00A131AD" w:rsidRPr="00155F80" w:rsidRDefault="00512E30" w:rsidP="000C0138">
      <w:pPr>
        <w:spacing w:after="160" w:line="276" w:lineRule="auto"/>
        <w:rPr>
          <w:rFonts w:ascii="Times New Roman" w:eastAsiaTheme="minorHAnsi" w:hAnsi="Times New Roman"/>
          <w:lang w:val="bs-Latn-BA"/>
        </w:rPr>
      </w:pPr>
      <w:r>
        <w:rPr>
          <w:rFonts w:ascii="Times New Roman" w:eastAsiaTheme="minorHAnsi" w:hAnsi="Times New Roman"/>
          <w:lang w:val="bs-Latn-BA"/>
        </w:rPr>
        <w:t>Obolijevanje</w:t>
      </w:r>
      <w:r w:rsidR="00A131AD" w:rsidRPr="00155F80">
        <w:rPr>
          <w:rFonts w:ascii="Times New Roman" w:eastAsiaTheme="minorHAnsi" w:hAnsi="Times New Roman"/>
          <w:lang w:val="bs-Latn-BA"/>
        </w:rPr>
        <w:t xml:space="preserve"> stanovništva Federacije BiH u ovom izvješ</w:t>
      </w:r>
      <w:r w:rsidR="00B04616">
        <w:rPr>
          <w:rFonts w:ascii="Times New Roman" w:eastAsiaTheme="minorHAnsi" w:hAnsi="Times New Roman"/>
          <w:lang w:val="bs-Latn-BA"/>
        </w:rPr>
        <w:t>ću</w:t>
      </w:r>
      <w:r w:rsidR="00A131AD" w:rsidRPr="00155F80">
        <w:rPr>
          <w:rFonts w:ascii="Times New Roman" w:eastAsiaTheme="minorHAnsi" w:hAnsi="Times New Roman"/>
          <w:lang w:val="bs-Latn-BA"/>
        </w:rPr>
        <w:t xml:space="preserve"> je prikazan za </w:t>
      </w:r>
      <w:r w:rsidR="00F70FD4">
        <w:rPr>
          <w:rFonts w:ascii="Times New Roman" w:eastAsiaTheme="minorHAnsi" w:hAnsi="Times New Roman"/>
          <w:lang w:val="bs-Latn-BA"/>
        </w:rPr>
        <w:t>period</w:t>
      </w:r>
      <w:r w:rsidR="00B04616">
        <w:rPr>
          <w:rFonts w:ascii="Times New Roman" w:eastAsiaTheme="minorHAnsi" w:hAnsi="Times New Roman"/>
          <w:lang w:val="bs-Latn-BA"/>
        </w:rPr>
        <w:t xml:space="preserve"> </w:t>
      </w:r>
      <w:r w:rsidR="00A131AD" w:rsidRPr="00155F80">
        <w:rPr>
          <w:rFonts w:ascii="Times New Roman" w:eastAsiaTheme="minorHAnsi" w:hAnsi="Times New Roman"/>
          <w:lang w:val="bs-Latn-BA"/>
        </w:rPr>
        <w:t>od 2010</w:t>
      </w:r>
      <w:r w:rsidR="00B04616">
        <w:rPr>
          <w:rFonts w:ascii="Times New Roman" w:eastAsiaTheme="minorHAnsi" w:hAnsi="Times New Roman"/>
          <w:lang w:val="bs-Latn-BA"/>
        </w:rPr>
        <w:t xml:space="preserve">. do </w:t>
      </w:r>
      <w:r w:rsidR="00A131AD" w:rsidRPr="00155F80">
        <w:rPr>
          <w:rFonts w:ascii="Times New Roman" w:eastAsiaTheme="minorHAnsi" w:hAnsi="Times New Roman"/>
          <w:lang w:val="bs-Latn-BA"/>
        </w:rPr>
        <w:t xml:space="preserve">2015. godine, za što su korišteni </w:t>
      </w:r>
      <w:r w:rsidR="002B489B">
        <w:rPr>
          <w:rFonts w:ascii="Times New Roman" w:eastAsiaTheme="minorHAnsi" w:hAnsi="Times New Roman"/>
          <w:lang w:val="bs-Latn-BA"/>
        </w:rPr>
        <w:t>podaci</w:t>
      </w:r>
      <w:r w:rsidR="00A131AD" w:rsidRPr="00155F80">
        <w:rPr>
          <w:rFonts w:ascii="Times New Roman" w:eastAsiaTheme="minorHAnsi" w:hAnsi="Times New Roman"/>
          <w:lang w:val="bs-Latn-BA"/>
        </w:rPr>
        <w:t xml:space="preserve"> iz ambulantno-polikliničke djelatnosti primarne zdravstvene zaštite, </w:t>
      </w:r>
      <w:r w:rsidR="00587CDA">
        <w:rPr>
          <w:rFonts w:ascii="Times New Roman" w:eastAsiaTheme="minorHAnsi" w:hAnsi="Times New Roman"/>
          <w:lang w:val="bs-Latn-BA"/>
        </w:rPr>
        <w:t>pokazatelji</w:t>
      </w:r>
      <w:r w:rsidR="00A131AD" w:rsidRPr="00155F80">
        <w:rPr>
          <w:rFonts w:ascii="Times New Roman" w:eastAsiaTheme="minorHAnsi" w:hAnsi="Times New Roman"/>
          <w:lang w:val="bs-Latn-BA"/>
        </w:rPr>
        <w:t xml:space="preserve"> bolničkog morbiditeta, kao i rezultati populaci</w:t>
      </w:r>
      <w:r w:rsidR="00B04616">
        <w:rPr>
          <w:rFonts w:ascii="Times New Roman" w:eastAsiaTheme="minorHAnsi" w:hAnsi="Times New Roman"/>
          <w:lang w:val="bs-Latn-BA"/>
        </w:rPr>
        <w:t xml:space="preserve">jskih </w:t>
      </w:r>
      <w:r w:rsidR="00A131AD" w:rsidRPr="00155F80">
        <w:rPr>
          <w:rFonts w:ascii="Times New Roman" w:eastAsiaTheme="minorHAnsi" w:hAnsi="Times New Roman"/>
          <w:lang w:val="bs-Latn-BA"/>
        </w:rPr>
        <w:t>istraživanja.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Važno je napomenuti da se mnogi </w:t>
      </w:r>
      <w:r w:rsidR="00D21A46">
        <w:rPr>
          <w:rFonts w:ascii="Times New Roman" w:eastAsiaTheme="minorHAnsi" w:hAnsi="Times New Roman"/>
          <w:lang w:val="bs-Latn-BA"/>
        </w:rPr>
        <w:t>faktori</w:t>
      </w:r>
      <w:r w:rsidRPr="00155F80">
        <w:rPr>
          <w:rFonts w:ascii="Times New Roman" w:eastAsiaTheme="minorHAnsi" w:hAnsi="Times New Roman"/>
          <w:lang w:val="bs-Latn-BA"/>
        </w:rPr>
        <w:t xml:space="preserve"> rizika po zdravlje stanovništva nalaze izvan zdravstvenog </w:t>
      </w:r>
      <w:r w:rsidR="00512E30">
        <w:rPr>
          <w:rFonts w:ascii="Times New Roman" w:eastAsiaTheme="minorHAnsi" w:hAnsi="Times New Roman"/>
          <w:lang w:val="bs-Latn-BA"/>
        </w:rPr>
        <w:t>sistem</w:t>
      </w:r>
      <w:r w:rsidR="00511DCD">
        <w:rPr>
          <w:rFonts w:ascii="Times New Roman" w:eastAsiaTheme="minorHAnsi" w:hAnsi="Times New Roman"/>
          <w:lang w:val="bs-Latn-BA"/>
        </w:rPr>
        <w:t>a</w:t>
      </w:r>
      <w:r w:rsidRPr="00155F80">
        <w:rPr>
          <w:rFonts w:ascii="Times New Roman" w:eastAsiaTheme="minorHAnsi" w:hAnsi="Times New Roman"/>
          <w:lang w:val="bs-Latn-BA"/>
        </w:rPr>
        <w:t>, što je prikazano i slikom koja slijedi.</w:t>
      </w:r>
    </w:p>
    <w:p w:rsidR="00A131AD" w:rsidRPr="00155F80" w:rsidRDefault="00A131AD" w:rsidP="00EB7CC7">
      <w:pPr>
        <w:pStyle w:val="refererere"/>
        <w:rPr>
          <w:rFonts w:eastAsiaTheme="minorHAnsi"/>
          <w:lang w:val="bs-Latn-BA"/>
        </w:rPr>
      </w:pPr>
      <w:r w:rsidRPr="00155F80">
        <w:rPr>
          <w:rFonts w:eastAsiaTheme="minorHAnsi"/>
          <w:lang w:val="bs-Latn-BA"/>
        </w:rPr>
        <w:t xml:space="preserve">Slika1: </w:t>
      </w:r>
      <w:r w:rsidR="00D21A46">
        <w:rPr>
          <w:rFonts w:eastAsiaTheme="minorHAnsi"/>
          <w:lang w:val="bs-Latn-BA"/>
        </w:rPr>
        <w:t>Faktori</w:t>
      </w:r>
      <w:r w:rsidRPr="00155F80">
        <w:rPr>
          <w:rFonts w:eastAsiaTheme="minorHAnsi"/>
          <w:lang w:val="bs-Latn-BA"/>
        </w:rPr>
        <w:t xml:space="preserve"> rizika po zdravlje stanovništva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noProof/>
          <w:lang w:eastAsia="en-GB"/>
        </w:rPr>
        <w:drawing>
          <wp:inline distT="0" distB="0" distL="0" distR="0" wp14:anchorId="35444DEC" wp14:editId="186E2D94">
            <wp:extent cx="5760720" cy="3601151"/>
            <wp:effectExtent l="0" t="0" r="0" b="0"/>
            <wp:docPr id="2" name="Picture 2" descr="C:\Users\Korisnik\Desktop\bos-generalno socioekonom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bos-generalno socioekonomsk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601151"/>
                    </a:xfrm>
                    <a:prstGeom prst="rect">
                      <a:avLst/>
                    </a:prstGeom>
                    <a:noFill/>
                    <a:ln>
                      <a:noFill/>
                    </a:ln>
                  </pic:spPr>
                </pic:pic>
              </a:graphicData>
            </a:graphic>
          </wp:inline>
        </w:drawing>
      </w:r>
    </w:p>
    <w:p w:rsidR="00A131AD" w:rsidRDefault="001911A6" w:rsidP="000C0138">
      <w:pPr>
        <w:pStyle w:val="Poglavlje2"/>
        <w:spacing w:line="276" w:lineRule="auto"/>
      </w:pPr>
      <w:bookmarkStart w:id="20" w:name="_Toc460929187"/>
      <w:r w:rsidRPr="00155F80">
        <w:t xml:space="preserve">3.1 </w:t>
      </w:r>
      <w:r w:rsidR="00AD6501">
        <w:t>Mortalitet (u</w:t>
      </w:r>
      <w:r w:rsidR="00A131AD" w:rsidRPr="00155F80">
        <w:t>miranje</w:t>
      </w:r>
      <w:r w:rsidR="00AD6501">
        <w:t>)</w:t>
      </w:r>
      <w:bookmarkEnd w:id="20"/>
      <w:r w:rsidR="00A131AD" w:rsidRPr="00155F80">
        <w:t xml:space="preserve"> </w:t>
      </w:r>
    </w:p>
    <w:p w:rsidR="00AE2EDA" w:rsidRPr="00155F80" w:rsidRDefault="00AE2EDA" w:rsidP="000C0138">
      <w:pPr>
        <w:pStyle w:val="Poglavlje2"/>
        <w:spacing w:line="276" w:lineRule="auto"/>
      </w:pPr>
    </w:p>
    <w:p w:rsidR="00A131AD" w:rsidRPr="00155F80" w:rsidRDefault="001911A6" w:rsidP="000C0138">
      <w:pPr>
        <w:pStyle w:val="Poglavlje3"/>
        <w:spacing w:line="276" w:lineRule="auto"/>
        <w:rPr>
          <w:i w:val="0"/>
        </w:rPr>
      </w:pPr>
      <w:bookmarkStart w:id="21" w:name="_Toc460929188"/>
      <w:r w:rsidRPr="00155F80">
        <w:rPr>
          <w:i w:val="0"/>
        </w:rPr>
        <w:t xml:space="preserve">3.1.1 </w:t>
      </w:r>
      <w:r w:rsidR="00CB080B">
        <w:rPr>
          <w:i w:val="0"/>
        </w:rPr>
        <w:t>Opšti</w:t>
      </w:r>
      <w:r w:rsidR="00A131AD" w:rsidRPr="00155F80">
        <w:rPr>
          <w:i w:val="0"/>
        </w:rPr>
        <w:t xml:space="preserve"> mortalitet</w:t>
      </w:r>
      <w:bookmarkEnd w:id="21"/>
      <w:r w:rsidR="00A131AD" w:rsidRPr="00155F80">
        <w:rPr>
          <w:i w:val="0"/>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2F0665" w:rsidRPr="00155F80" w:rsidRDefault="002F0665"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Op</w:t>
      </w:r>
      <w:r w:rsidR="00511DCD">
        <w:rPr>
          <w:rFonts w:ascii="Times New Roman" w:hAnsi="Times New Roman" w:cs="Times New Roman"/>
          <w:sz w:val="22"/>
          <w:szCs w:val="22"/>
        </w:rPr>
        <w:t>ć</w:t>
      </w:r>
      <w:r w:rsidRPr="00155F80">
        <w:rPr>
          <w:rFonts w:ascii="Times New Roman" w:hAnsi="Times New Roman" w:cs="Times New Roman"/>
          <w:sz w:val="22"/>
          <w:szCs w:val="22"/>
        </w:rPr>
        <w:t xml:space="preserve">a smrtnost stanovništva je </w:t>
      </w:r>
      <w:r w:rsidR="00511DCD">
        <w:rPr>
          <w:rFonts w:ascii="Times New Roman" w:hAnsi="Times New Roman" w:cs="Times New Roman"/>
          <w:sz w:val="22"/>
          <w:szCs w:val="22"/>
        </w:rPr>
        <w:t>važan</w:t>
      </w:r>
      <w:r w:rsidRPr="00155F80">
        <w:rPr>
          <w:rFonts w:ascii="Times New Roman" w:hAnsi="Times New Roman" w:cs="Times New Roman"/>
          <w:sz w:val="22"/>
          <w:szCs w:val="22"/>
        </w:rPr>
        <w:t xml:space="preserve">, ali ne i precizan zdravstveni </w:t>
      </w:r>
      <w:r w:rsidR="00511DCD">
        <w:rPr>
          <w:rFonts w:ascii="Times New Roman" w:hAnsi="Times New Roman" w:cs="Times New Roman"/>
          <w:sz w:val="22"/>
          <w:szCs w:val="22"/>
        </w:rPr>
        <w:t>indikator</w:t>
      </w:r>
      <w:r w:rsidRPr="00155F80">
        <w:rPr>
          <w:rFonts w:ascii="Times New Roman" w:hAnsi="Times New Roman" w:cs="Times New Roman"/>
          <w:sz w:val="22"/>
          <w:szCs w:val="22"/>
        </w:rPr>
        <w:t xml:space="preserve"> i njena vrijednost je odraz izraženog procesa starenja populacije i shodno tome, dominantne patologije vezane za starenje. </w:t>
      </w:r>
    </w:p>
    <w:p w:rsidR="002F0665" w:rsidRPr="00155F80" w:rsidRDefault="002F0665" w:rsidP="000C0138">
      <w:pPr>
        <w:pStyle w:val="Default"/>
        <w:spacing w:line="276" w:lineRule="auto"/>
        <w:jc w:val="both"/>
        <w:rPr>
          <w:rFonts w:ascii="Times New Roman" w:hAnsi="Times New Roman" w:cs="Times New Roman"/>
          <w:sz w:val="22"/>
          <w:szCs w:val="22"/>
        </w:rPr>
      </w:pPr>
    </w:p>
    <w:p w:rsidR="00A131AD" w:rsidRPr="00155F80" w:rsidRDefault="002F0665"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Prema </w:t>
      </w:r>
      <w:r w:rsidR="002B489B">
        <w:rPr>
          <w:rFonts w:ascii="Times New Roman" w:hAnsi="Times New Roman" w:cs="Times New Roman"/>
          <w:sz w:val="22"/>
          <w:szCs w:val="22"/>
        </w:rPr>
        <w:t>podaci</w:t>
      </w:r>
      <w:r>
        <w:rPr>
          <w:rFonts w:ascii="Times New Roman" w:hAnsi="Times New Roman" w:cs="Times New Roman"/>
          <w:sz w:val="22"/>
          <w:szCs w:val="22"/>
        </w:rPr>
        <w:t>ma Federalnog zavoda za statistiku, u</w:t>
      </w:r>
      <w:r w:rsidR="00A131AD" w:rsidRPr="00155F80">
        <w:rPr>
          <w:rFonts w:ascii="Times New Roman" w:hAnsi="Times New Roman" w:cs="Times New Roman"/>
          <w:sz w:val="22"/>
          <w:szCs w:val="22"/>
        </w:rPr>
        <w:t xml:space="preserve"> Federaciji BiH je 2015. godine </w:t>
      </w:r>
      <w:r>
        <w:rPr>
          <w:rFonts w:ascii="Times New Roman" w:hAnsi="Times New Roman" w:cs="Times New Roman"/>
          <w:sz w:val="22"/>
          <w:szCs w:val="22"/>
        </w:rPr>
        <w:t xml:space="preserve">umrlo </w:t>
      </w:r>
      <w:r w:rsidR="00AE2EDA" w:rsidRPr="00AE2EDA">
        <w:rPr>
          <w:rFonts w:ascii="Times New Roman" w:hAnsi="Times New Roman" w:cs="Times New Roman"/>
          <w:sz w:val="22"/>
          <w:szCs w:val="22"/>
        </w:rPr>
        <w:t xml:space="preserve">21.474 </w:t>
      </w:r>
      <w:r>
        <w:rPr>
          <w:rFonts w:ascii="Times New Roman" w:hAnsi="Times New Roman" w:cs="Times New Roman"/>
          <w:sz w:val="22"/>
          <w:szCs w:val="22"/>
        </w:rPr>
        <w:t xml:space="preserve">stanovnika, pa je </w:t>
      </w:r>
      <w:r w:rsidR="00A131AD" w:rsidRPr="00155F80">
        <w:rPr>
          <w:rFonts w:ascii="Times New Roman" w:hAnsi="Times New Roman" w:cs="Times New Roman"/>
          <w:sz w:val="22"/>
          <w:szCs w:val="22"/>
        </w:rPr>
        <w:t xml:space="preserve">stopa </w:t>
      </w:r>
      <w:r w:rsidR="00CB080B">
        <w:rPr>
          <w:rFonts w:ascii="Times New Roman" w:hAnsi="Times New Roman" w:cs="Times New Roman"/>
          <w:sz w:val="22"/>
          <w:szCs w:val="22"/>
        </w:rPr>
        <w:t>opšteg</w:t>
      </w:r>
      <w:r w:rsidR="00A131AD" w:rsidRPr="00155F80">
        <w:rPr>
          <w:rFonts w:ascii="Times New Roman" w:hAnsi="Times New Roman" w:cs="Times New Roman"/>
          <w:sz w:val="22"/>
          <w:szCs w:val="22"/>
        </w:rPr>
        <w:t xml:space="preserve"> mortali</w:t>
      </w:r>
      <w:r>
        <w:rPr>
          <w:rFonts w:ascii="Times New Roman" w:hAnsi="Times New Roman" w:cs="Times New Roman"/>
          <w:sz w:val="22"/>
          <w:szCs w:val="22"/>
        </w:rPr>
        <w:t>t</w:t>
      </w:r>
      <w:r w:rsidR="00A131AD" w:rsidRPr="00155F80">
        <w:rPr>
          <w:rFonts w:ascii="Times New Roman" w:hAnsi="Times New Roman" w:cs="Times New Roman"/>
          <w:sz w:val="22"/>
          <w:szCs w:val="22"/>
        </w:rPr>
        <w:t xml:space="preserve">eta </w:t>
      </w:r>
      <w:r w:rsidR="008206E3" w:rsidRPr="00155F80">
        <w:rPr>
          <w:rFonts w:ascii="Times New Roman" w:hAnsi="Times New Roman" w:cs="Times New Roman"/>
          <w:sz w:val="22"/>
          <w:szCs w:val="22"/>
        </w:rPr>
        <w:t xml:space="preserve">iznosila 929,7 </w:t>
      </w:r>
      <w:r w:rsidR="00A131AD" w:rsidRPr="00155F80">
        <w:rPr>
          <w:rFonts w:ascii="Times New Roman" w:hAnsi="Times New Roman" w:cs="Times New Roman"/>
          <w:sz w:val="22"/>
          <w:szCs w:val="22"/>
        </w:rPr>
        <w:t xml:space="preserve">na 100.000 stanovnika što je blagi rast u </w:t>
      </w:r>
      <w:r w:rsidR="00511DCD">
        <w:rPr>
          <w:rFonts w:ascii="Times New Roman" w:hAnsi="Times New Roman" w:cs="Times New Roman"/>
          <w:sz w:val="22"/>
          <w:szCs w:val="22"/>
        </w:rPr>
        <w:t xml:space="preserve">usporedbi </w:t>
      </w:r>
      <w:r w:rsidR="00A131AD" w:rsidRPr="00155F80">
        <w:rPr>
          <w:rFonts w:ascii="Times New Roman" w:hAnsi="Times New Roman" w:cs="Times New Roman"/>
          <w:sz w:val="22"/>
          <w:szCs w:val="22"/>
        </w:rPr>
        <w:t>sa 2010. godinom kad</w:t>
      </w:r>
      <w:r w:rsidR="00511DCD">
        <w:rPr>
          <w:rFonts w:ascii="Times New Roman" w:hAnsi="Times New Roman" w:cs="Times New Roman"/>
          <w:sz w:val="22"/>
          <w:szCs w:val="22"/>
        </w:rPr>
        <w:t>a</w:t>
      </w:r>
      <w:r w:rsidR="00A131AD" w:rsidRPr="00155F80">
        <w:rPr>
          <w:rFonts w:ascii="Times New Roman" w:hAnsi="Times New Roman" w:cs="Times New Roman"/>
          <w:sz w:val="22"/>
          <w:szCs w:val="22"/>
        </w:rPr>
        <w:t xml:space="preserve"> je stopa </w:t>
      </w:r>
      <w:r w:rsidR="00CB080B">
        <w:rPr>
          <w:rFonts w:ascii="Times New Roman" w:hAnsi="Times New Roman" w:cs="Times New Roman"/>
          <w:sz w:val="22"/>
          <w:szCs w:val="22"/>
        </w:rPr>
        <w:t>opšteg</w:t>
      </w:r>
      <w:r w:rsidR="00A131AD" w:rsidRPr="00155F80">
        <w:rPr>
          <w:rFonts w:ascii="Times New Roman" w:hAnsi="Times New Roman" w:cs="Times New Roman"/>
          <w:sz w:val="22"/>
          <w:szCs w:val="22"/>
        </w:rPr>
        <w:t xml:space="preserve"> mortalieta na 100.000 stanovnika iznosila 876,2.</w:t>
      </w:r>
    </w:p>
    <w:p w:rsidR="00262AD1" w:rsidRDefault="00262AD1" w:rsidP="000C0138">
      <w:pPr>
        <w:pStyle w:val="Default"/>
        <w:spacing w:line="276" w:lineRule="auto"/>
        <w:jc w:val="both"/>
        <w:rPr>
          <w:rFonts w:ascii="Times New Roman" w:hAnsi="Times New Roman" w:cs="Times New Roman"/>
          <w:sz w:val="22"/>
          <w:szCs w:val="22"/>
        </w:rPr>
      </w:pPr>
    </w:p>
    <w:p w:rsidR="00A131AD" w:rsidRDefault="000A3A46"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Standardizovana</w:t>
      </w:r>
      <w:r w:rsidR="00A131AD" w:rsidRPr="00155F80">
        <w:rPr>
          <w:rFonts w:ascii="Times New Roman" w:hAnsi="Times New Roman" w:cs="Times New Roman"/>
          <w:sz w:val="22"/>
          <w:szCs w:val="22"/>
        </w:rPr>
        <w:t xml:space="preserve"> stopa smrtnosti za sve uzroke i sve dobi za Federaciju BiH </w:t>
      </w:r>
      <w:r w:rsidR="004E6840">
        <w:rPr>
          <w:rFonts w:ascii="Times New Roman" w:hAnsi="Times New Roman" w:cs="Times New Roman"/>
          <w:sz w:val="22"/>
          <w:szCs w:val="22"/>
        </w:rPr>
        <w:t>u p</w:t>
      </w:r>
      <w:r w:rsidR="00511DCD">
        <w:rPr>
          <w:rFonts w:ascii="Times New Roman" w:hAnsi="Times New Roman" w:cs="Times New Roman"/>
          <w:sz w:val="22"/>
          <w:szCs w:val="22"/>
        </w:rPr>
        <w:t>r</w:t>
      </w:r>
      <w:r w:rsidR="004E6840">
        <w:rPr>
          <w:rFonts w:ascii="Times New Roman" w:hAnsi="Times New Roman" w:cs="Times New Roman"/>
          <w:sz w:val="22"/>
          <w:szCs w:val="22"/>
        </w:rPr>
        <w:t xml:space="preserve">omatranom </w:t>
      </w:r>
      <w:r w:rsidR="00F70FD4">
        <w:rPr>
          <w:rFonts w:ascii="Times New Roman" w:hAnsi="Times New Roman" w:cs="Times New Roman"/>
          <w:sz w:val="22"/>
          <w:szCs w:val="22"/>
        </w:rPr>
        <w:t>periodu</w:t>
      </w:r>
      <w:r w:rsidR="004E6840">
        <w:rPr>
          <w:rFonts w:ascii="Times New Roman" w:hAnsi="Times New Roman" w:cs="Times New Roman"/>
          <w:sz w:val="22"/>
          <w:szCs w:val="22"/>
        </w:rPr>
        <w:t xml:space="preserve"> </w:t>
      </w:r>
      <w:r w:rsidR="00A131AD" w:rsidRPr="00155F80">
        <w:rPr>
          <w:rFonts w:ascii="Times New Roman" w:hAnsi="Times New Roman" w:cs="Times New Roman"/>
          <w:sz w:val="22"/>
          <w:szCs w:val="22"/>
        </w:rPr>
        <w:t xml:space="preserve">pokazuje kontinuiranu vrijednost, s </w:t>
      </w:r>
      <w:r w:rsidR="00262AD1">
        <w:rPr>
          <w:rFonts w:ascii="Times New Roman" w:hAnsi="Times New Roman" w:cs="Times New Roman"/>
          <w:sz w:val="22"/>
          <w:szCs w:val="22"/>
        </w:rPr>
        <w:t>po</w:t>
      </w:r>
      <w:r w:rsidR="00511DCD">
        <w:rPr>
          <w:rFonts w:ascii="Times New Roman" w:hAnsi="Times New Roman" w:cs="Times New Roman"/>
          <w:sz w:val="22"/>
          <w:szCs w:val="22"/>
        </w:rPr>
        <w:t>rastom</w:t>
      </w:r>
      <w:r w:rsidR="00A131AD" w:rsidRPr="00155F80">
        <w:rPr>
          <w:rFonts w:ascii="Times New Roman" w:hAnsi="Times New Roman" w:cs="Times New Roman"/>
          <w:sz w:val="22"/>
          <w:szCs w:val="22"/>
        </w:rPr>
        <w:t xml:space="preserve"> u 2015. godini.</w:t>
      </w:r>
    </w:p>
    <w:p w:rsidR="00B74B6A" w:rsidRPr="00155F80" w:rsidRDefault="00B74B6A" w:rsidP="000C0138">
      <w:pPr>
        <w:pStyle w:val="Default"/>
        <w:spacing w:line="276" w:lineRule="auto"/>
        <w:jc w:val="both"/>
        <w:rPr>
          <w:rFonts w:ascii="Times New Roman" w:hAnsi="Times New Roman" w:cs="Times New Roman"/>
          <w:sz w:val="22"/>
          <w:szCs w:val="22"/>
        </w:rPr>
      </w:pPr>
    </w:p>
    <w:p w:rsidR="00A131AD" w:rsidRPr="00155F80" w:rsidRDefault="00A131AD" w:rsidP="000C0138">
      <w:pPr>
        <w:spacing w:line="276" w:lineRule="auto"/>
        <w:rPr>
          <w:rFonts w:ascii="Times New Roman" w:hAnsi="Times New Roman"/>
          <w:color w:val="000000"/>
          <w:lang w:eastAsia="bs-Latn-BA"/>
        </w:rPr>
      </w:pPr>
    </w:p>
    <w:p w:rsidR="009A5B2B" w:rsidRPr="00155F80" w:rsidRDefault="009A5B2B" w:rsidP="000C0138">
      <w:pPr>
        <w:spacing w:after="160" w:line="276" w:lineRule="auto"/>
        <w:jc w:val="left"/>
        <w:rPr>
          <w:rFonts w:ascii="Times New Roman" w:eastAsiaTheme="minorHAnsi" w:hAnsi="Times New Roman"/>
          <w:iCs/>
          <w:color w:val="000000"/>
          <w:lang w:val="bs-Latn-BA"/>
        </w:rPr>
      </w:pPr>
      <w:r w:rsidRPr="00155F80">
        <w:rPr>
          <w:rFonts w:ascii="Times New Roman" w:hAnsi="Times New Roman"/>
          <w:iCs/>
        </w:rPr>
        <w:br w:type="page"/>
      </w:r>
    </w:p>
    <w:p w:rsidR="00A131AD" w:rsidRPr="00155F80" w:rsidRDefault="00A131AD" w:rsidP="00EB7CC7">
      <w:pPr>
        <w:pStyle w:val="refererere"/>
      </w:pPr>
      <w:r w:rsidRPr="00155F80">
        <w:t>Grafikon 6: Op</w:t>
      </w:r>
      <w:r w:rsidR="00511DCD">
        <w:t>ć</w:t>
      </w:r>
      <w:r w:rsidRPr="00155F80">
        <w:t xml:space="preserve">a i </w:t>
      </w:r>
      <w:r w:rsidR="000A3A46">
        <w:t>standardizovana</w:t>
      </w:r>
      <w:r w:rsidRPr="00155F80">
        <w:t xml:space="preserve"> stopa mortaliteta (SDR) u Federaciji BiH, za </w:t>
      </w:r>
      <w:r w:rsidR="00F70FD4">
        <w:t>period</w:t>
      </w:r>
      <w:r w:rsidR="00511DCD">
        <w:t xml:space="preserve"> 2010</w:t>
      </w:r>
      <w:r w:rsidRPr="00155F80">
        <w:rPr>
          <w:rFonts w:ascii="Cambria Math" w:hAnsi="Cambria Math" w:cs="Cambria Math"/>
        </w:rPr>
        <w:t>‐</w:t>
      </w:r>
      <w:r w:rsidRPr="00155F80">
        <w:t xml:space="preserve">2015.godina, stopa na 100.000 stanovnika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55D74E3F" wp14:editId="3FE1ABAA">
            <wp:extent cx="5630779" cy="2101850"/>
            <wp:effectExtent l="0" t="0" r="8255"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31AD" w:rsidRPr="00155F80" w:rsidRDefault="000A3A46" w:rsidP="00C77EBB">
      <w:pPr>
        <w:pStyle w:val="Default"/>
        <w:spacing w:before="240" w:line="276" w:lineRule="auto"/>
        <w:jc w:val="both"/>
        <w:rPr>
          <w:rFonts w:ascii="Times New Roman" w:hAnsi="Times New Roman" w:cs="Times New Roman"/>
          <w:iCs/>
          <w:sz w:val="22"/>
          <w:szCs w:val="22"/>
        </w:rPr>
      </w:pPr>
      <w:r>
        <w:rPr>
          <w:rFonts w:ascii="Times New Roman" w:hAnsi="Times New Roman" w:cs="Times New Roman"/>
          <w:iCs/>
          <w:sz w:val="22"/>
          <w:szCs w:val="22"/>
        </w:rPr>
        <w:t>Standardizovana</w:t>
      </w:r>
      <w:r w:rsidR="008206E3" w:rsidRPr="00155F80">
        <w:rPr>
          <w:rFonts w:ascii="Times New Roman" w:hAnsi="Times New Roman" w:cs="Times New Roman"/>
          <w:iCs/>
          <w:sz w:val="22"/>
          <w:szCs w:val="22"/>
        </w:rPr>
        <w:t xml:space="preserve"> stopa</w:t>
      </w:r>
      <w:r w:rsidR="00A131AD" w:rsidRPr="00155F80">
        <w:rPr>
          <w:rFonts w:ascii="Times New Roman" w:hAnsi="Times New Roman" w:cs="Times New Roman"/>
          <w:iCs/>
          <w:sz w:val="22"/>
          <w:szCs w:val="22"/>
        </w:rPr>
        <w:t xml:space="preserve"> mortaliteta za sve uzroke i sve </w:t>
      </w:r>
      <w:r w:rsidR="00A80006">
        <w:rPr>
          <w:rFonts w:ascii="Times New Roman" w:hAnsi="Times New Roman" w:cs="Times New Roman"/>
          <w:iCs/>
          <w:sz w:val="22"/>
          <w:szCs w:val="22"/>
        </w:rPr>
        <w:t>starosne</w:t>
      </w:r>
      <w:r w:rsidR="00A131AD" w:rsidRPr="00155F80">
        <w:rPr>
          <w:rFonts w:ascii="Times New Roman" w:hAnsi="Times New Roman" w:cs="Times New Roman"/>
          <w:iCs/>
          <w:sz w:val="22"/>
          <w:szCs w:val="22"/>
        </w:rPr>
        <w:t xml:space="preserve"> grupe na 100.000 stanovnika za 2015. godinu za F BiH bila je 762,2 i nešto je lošija u </w:t>
      </w:r>
      <w:r w:rsidR="00511DCD">
        <w:rPr>
          <w:rFonts w:ascii="Times New Roman" w:hAnsi="Times New Roman" w:cs="Times New Roman"/>
          <w:iCs/>
          <w:sz w:val="22"/>
          <w:szCs w:val="22"/>
        </w:rPr>
        <w:t>usporedbi</w:t>
      </w:r>
      <w:r w:rsidR="00A131AD" w:rsidRPr="00155F80">
        <w:rPr>
          <w:rFonts w:ascii="Times New Roman" w:hAnsi="Times New Roman" w:cs="Times New Roman"/>
          <w:iCs/>
          <w:sz w:val="22"/>
          <w:szCs w:val="22"/>
        </w:rPr>
        <w:t xml:space="preserve"> sa EU i Hrvatskom, dok je </w:t>
      </w:r>
      <w:r w:rsidR="00F0369C">
        <w:rPr>
          <w:rFonts w:ascii="Times New Roman" w:hAnsi="Times New Roman" w:cs="Times New Roman"/>
          <w:iCs/>
          <w:sz w:val="22"/>
          <w:szCs w:val="22"/>
        </w:rPr>
        <w:t>istovremeno</w:t>
      </w:r>
      <w:r w:rsidR="00A131AD" w:rsidRPr="00155F80">
        <w:rPr>
          <w:rFonts w:ascii="Times New Roman" w:hAnsi="Times New Roman" w:cs="Times New Roman"/>
          <w:iCs/>
          <w:sz w:val="22"/>
          <w:szCs w:val="22"/>
        </w:rPr>
        <w:t xml:space="preserve"> bolja ako poredimo </w:t>
      </w:r>
      <w:r w:rsidR="005F7D3A" w:rsidRPr="00155F80">
        <w:rPr>
          <w:rFonts w:ascii="Times New Roman" w:hAnsi="Times New Roman" w:cs="Times New Roman"/>
          <w:iCs/>
          <w:sz w:val="22"/>
          <w:szCs w:val="22"/>
        </w:rPr>
        <w:t>sa Mađarskom, Rumunijom i Bugarskom</w:t>
      </w:r>
      <w:r w:rsidR="00A131AD" w:rsidRPr="00155F80">
        <w:rPr>
          <w:rFonts w:ascii="Times New Roman" w:hAnsi="Times New Roman" w:cs="Times New Roman"/>
          <w:iCs/>
          <w:sz w:val="22"/>
          <w:szCs w:val="22"/>
        </w:rPr>
        <w:t>.</w:t>
      </w:r>
    </w:p>
    <w:p w:rsidR="00A131AD" w:rsidRPr="00155F80" w:rsidRDefault="00A131AD" w:rsidP="000C0138">
      <w:pPr>
        <w:pStyle w:val="Default"/>
        <w:spacing w:line="276" w:lineRule="auto"/>
        <w:jc w:val="both"/>
        <w:rPr>
          <w:rFonts w:ascii="Times New Roman" w:hAnsi="Times New Roman" w:cs="Times New Roman"/>
          <w:iCs/>
          <w:sz w:val="22"/>
          <w:szCs w:val="22"/>
        </w:rPr>
      </w:pPr>
    </w:p>
    <w:p w:rsidR="00A131AD" w:rsidRPr="00155F80" w:rsidRDefault="00A131AD" w:rsidP="00EB7CC7">
      <w:pPr>
        <w:pStyle w:val="refererere"/>
      </w:pPr>
      <w:r w:rsidRPr="00155F80">
        <w:t>Grafikon 7: SDR mortaliteta za sve uzroke i sve dobi na 100.000 stanovnika* za 2015. godinu</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F837E5C" wp14:editId="029374F4">
            <wp:extent cx="5648325" cy="1838325"/>
            <wp:effectExtent l="0" t="0" r="9525" b="9525"/>
            <wp:docPr id="5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131AD" w:rsidRPr="00155F80" w:rsidRDefault="00A131AD" w:rsidP="000C0138">
      <w:pPr>
        <w:pStyle w:val="Default"/>
        <w:spacing w:line="276" w:lineRule="auto"/>
        <w:jc w:val="both"/>
        <w:rPr>
          <w:rFonts w:ascii="Times New Roman" w:hAnsi="Times New Roman" w:cs="Times New Roman"/>
          <w:iCs/>
          <w:sz w:val="22"/>
          <w:szCs w:val="22"/>
        </w:rPr>
      </w:pPr>
      <w:r w:rsidRPr="00155F80">
        <w:rPr>
          <w:rFonts w:ascii="Times New Roman" w:hAnsi="Times New Roman" w:cs="Times New Roman"/>
          <w:iCs/>
          <w:sz w:val="22"/>
          <w:szCs w:val="22"/>
        </w:rPr>
        <w:t>*za FBiH se odnosi na procijenjeno stanovništvo</w:t>
      </w:r>
    </w:p>
    <w:p w:rsidR="00A131AD" w:rsidRPr="00155F80" w:rsidRDefault="00A131AD" w:rsidP="000C0138">
      <w:pPr>
        <w:pStyle w:val="Default"/>
        <w:spacing w:line="276" w:lineRule="auto"/>
        <w:jc w:val="both"/>
        <w:rPr>
          <w:rFonts w:ascii="Times New Roman" w:hAnsi="Times New Roman" w:cs="Times New Roman"/>
          <w:iCs/>
          <w:sz w:val="22"/>
          <w:szCs w:val="22"/>
        </w:rPr>
      </w:pPr>
    </w:p>
    <w:p w:rsidR="009A5B2B" w:rsidRDefault="000A3A46" w:rsidP="00C77EBB">
      <w:pPr>
        <w:pStyle w:val="Default"/>
        <w:spacing w:line="276" w:lineRule="auto"/>
        <w:jc w:val="both"/>
        <w:rPr>
          <w:rFonts w:ascii="Times New Roman" w:hAnsi="Times New Roman" w:cs="Times New Roman"/>
          <w:iCs/>
          <w:sz w:val="22"/>
          <w:szCs w:val="22"/>
        </w:rPr>
      </w:pPr>
      <w:r>
        <w:rPr>
          <w:rFonts w:ascii="Times New Roman" w:hAnsi="Times New Roman" w:cs="Times New Roman"/>
          <w:iCs/>
          <w:sz w:val="22"/>
          <w:szCs w:val="22"/>
        </w:rPr>
        <w:t>Standardizovana</w:t>
      </w:r>
      <w:r w:rsidR="008206E3" w:rsidRPr="00155F80">
        <w:rPr>
          <w:rFonts w:ascii="Times New Roman" w:hAnsi="Times New Roman" w:cs="Times New Roman"/>
          <w:iCs/>
          <w:sz w:val="22"/>
          <w:szCs w:val="22"/>
        </w:rPr>
        <w:t xml:space="preserve"> stopa</w:t>
      </w:r>
      <w:r w:rsidR="00A131AD" w:rsidRPr="00155F80">
        <w:rPr>
          <w:rFonts w:ascii="Times New Roman" w:hAnsi="Times New Roman" w:cs="Times New Roman"/>
          <w:iCs/>
          <w:sz w:val="22"/>
          <w:szCs w:val="22"/>
        </w:rPr>
        <w:t xml:space="preserve"> mortaliteta za sve uzroke i sve </w:t>
      </w:r>
      <w:r w:rsidR="00A80006">
        <w:rPr>
          <w:rFonts w:ascii="Times New Roman" w:hAnsi="Times New Roman" w:cs="Times New Roman"/>
          <w:iCs/>
          <w:sz w:val="22"/>
          <w:szCs w:val="22"/>
        </w:rPr>
        <w:t>starosne</w:t>
      </w:r>
      <w:r w:rsidR="00A131AD" w:rsidRPr="00155F80">
        <w:rPr>
          <w:rFonts w:ascii="Times New Roman" w:hAnsi="Times New Roman" w:cs="Times New Roman"/>
          <w:iCs/>
          <w:sz w:val="22"/>
          <w:szCs w:val="22"/>
        </w:rPr>
        <w:t xml:space="preserve"> grupe na 100.000 stanovnika za 201</w:t>
      </w:r>
      <w:r w:rsidR="00511DCD">
        <w:rPr>
          <w:rFonts w:ascii="Times New Roman" w:hAnsi="Times New Roman" w:cs="Times New Roman"/>
          <w:iCs/>
          <w:sz w:val="22"/>
          <w:szCs w:val="22"/>
        </w:rPr>
        <w:t>5. godinu za F</w:t>
      </w:r>
      <w:r w:rsidR="00A131AD" w:rsidRPr="00155F80">
        <w:rPr>
          <w:rFonts w:ascii="Times New Roman" w:hAnsi="Times New Roman" w:cs="Times New Roman"/>
          <w:iCs/>
          <w:sz w:val="22"/>
          <w:szCs w:val="22"/>
        </w:rPr>
        <w:t xml:space="preserve">BiH bila je 762,2 i bilježi trend laganog rasta u prethodnih šest godina, i niža je u </w:t>
      </w:r>
      <w:r w:rsidR="00511DCD">
        <w:rPr>
          <w:rFonts w:ascii="Times New Roman" w:hAnsi="Times New Roman" w:cs="Times New Roman"/>
          <w:iCs/>
          <w:sz w:val="22"/>
          <w:szCs w:val="22"/>
        </w:rPr>
        <w:t>usporedbi</w:t>
      </w:r>
      <w:r w:rsidR="00A131AD" w:rsidRPr="00155F80">
        <w:rPr>
          <w:rFonts w:ascii="Times New Roman" w:hAnsi="Times New Roman" w:cs="Times New Roman"/>
          <w:iCs/>
          <w:sz w:val="22"/>
          <w:szCs w:val="22"/>
        </w:rPr>
        <w:t xml:space="preserve"> sa </w:t>
      </w:r>
      <w:r w:rsidR="008206E3" w:rsidRPr="00155F80">
        <w:rPr>
          <w:rFonts w:ascii="Times New Roman" w:hAnsi="Times New Roman" w:cs="Times New Roman"/>
          <w:iCs/>
          <w:sz w:val="22"/>
          <w:szCs w:val="22"/>
        </w:rPr>
        <w:t>prosjekom zemalja</w:t>
      </w:r>
      <w:r w:rsidR="00A131AD" w:rsidRPr="00155F80">
        <w:rPr>
          <w:rFonts w:ascii="Times New Roman" w:hAnsi="Times New Roman" w:cs="Times New Roman"/>
          <w:iCs/>
          <w:sz w:val="22"/>
          <w:szCs w:val="22"/>
        </w:rPr>
        <w:t xml:space="preserve"> </w:t>
      </w:r>
      <w:r w:rsidR="00511DCD">
        <w:rPr>
          <w:rFonts w:ascii="Times New Roman" w:hAnsi="Times New Roman" w:cs="Times New Roman"/>
          <w:iCs/>
          <w:sz w:val="22"/>
          <w:szCs w:val="22"/>
        </w:rPr>
        <w:t>eu</w:t>
      </w:r>
      <w:r w:rsidR="00A131AD" w:rsidRPr="00155F80">
        <w:rPr>
          <w:rFonts w:ascii="Times New Roman" w:hAnsi="Times New Roman" w:cs="Times New Roman"/>
          <w:iCs/>
          <w:sz w:val="22"/>
          <w:szCs w:val="22"/>
        </w:rPr>
        <w:t>ropsk</w:t>
      </w:r>
      <w:r w:rsidR="00511DCD">
        <w:rPr>
          <w:rFonts w:ascii="Times New Roman" w:hAnsi="Times New Roman" w:cs="Times New Roman"/>
          <w:iCs/>
          <w:sz w:val="22"/>
          <w:szCs w:val="22"/>
        </w:rPr>
        <w:t>e</w:t>
      </w:r>
      <w:r w:rsidR="00A131AD" w:rsidRPr="00155F80">
        <w:rPr>
          <w:rFonts w:ascii="Times New Roman" w:hAnsi="Times New Roman" w:cs="Times New Roman"/>
          <w:iCs/>
          <w:sz w:val="22"/>
          <w:szCs w:val="22"/>
        </w:rPr>
        <w:t xml:space="preserve"> </w:t>
      </w:r>
      <w:r w:rsidR="00511DCD">
        <w:rPr>
          <w:rFonts w:ascii="Times New Roman" w:hAnsi="Times New Roman" w:cs="Times New Roman"/>
          <w:iCs/>
          <w:sz w:val="22"/>
          <w:szCs w:val="22"/>
        </w:rPr>
        <w:t>regije</w:t>
      </w:r>
      <w:r w:rsidR="00BA61D1">
        <w:rPr>
          <w:rFonts w:ascii="Times New Roman" w:hAnsi="Times New Roman" w:cs="Times New Roman"/>
          <w:iCs/>
          <w:sz w:val="22"/>
          <w:szCs w:val="22"/>
        </w:rPr>
        <w:t xml:space="preserve"> i zemljama članica</w:t>
      </w:r>
      <w:r w:rsidR="008206E3" w:rsidRPr="00155F80">
        <w:rPr>
          <w:rFonts w:ascii="Times New Roman" w:hAnsi="Times New Roman" w:cs="Times New Roman"/>
          <w:iCs/>
          <w:sz w:val="22"/>
          <w:szCs w:val="22"/>
        </w:rPr>
        <w:t xml:space="preserve"> EU od 2004. godine.</w:t>
      </w:r>
      <w:r w:rsidR="00A131AD" w:rsidRPr="00155F80">
        <w:rPr>
          <w:rFonts w:ascii="Times New Roman" w:hAnsi="Times New Roman" w:cs="Times New Roman"/>
          <w:iCs/>
          <w:sz w:val="22"/>
          <w:szCs w:val="22"/>
        </w:rPr>
        <w:t xml:space="preserve"> </w:t>
      </w:r>
    </w:p>
    <w:p w:rsidR="00C77EBB" w:rsidRPr="00155F80" w:rsidRDefault="00C77EBB" w:rsidP="00C77EBB">
      <w:pPr>
        <w:pStyle w:val="Default"/>
        <w:spacing w:line="276" w:lineRule="auto"/>
        <w:jc w:val="both"/>
        <w:rPr>
          <w:rFonts w:ascii="Times New Roman" w:hAnsi="Times New Roman"/>
          <w:iCs/>
        </w:rPr>
      </w:pPr>
    </w:p>
    <w:p w:rsidR="000E7362" w:rsidRPr="00155F80" w:rsidRDefault="00A131AD" w:rsidP="00EB7CC7">
      <w:pPr>
        <w:pStyle w:val="refererere"/>
        <w:rPr>
          <w:lang w:eastAsia="bs-Latn-BA"/>
        </w:rPr>
      </w:pPr>
      <w:r w:rsidRPr="00155F80">
        <w:rPr>
          <w:iCs/>
        </w:rPr>
        <w:t xml:space="preserve">Grafikon 8: </w:t>
      </w:r>
      <w:r w:rsidR="00A704EE" w:rsidRPr="00155F80">
        <w:rPr>
          <w:iCs/>
        </w:rPr>
        <w:t>SDR,</w:t>
      </w:r>
      <w:r w:rsidRPr="00155F80">
        <w:rPr>
          <w:lang w:eastAsia="bs-Latn-BA"/>
        </w:rPr>
        <w:t xml:space="preserve"> svi uzroci i sv</w:t>
      </w:r>
      <w:r w:rsidR="00511DCD">
        <w:rPr>
          <w:lang w:eastAsia="bs-Latn-BA"/>
        </w:rPr>
        <w:t>e</w:t>
      </w:r>
      <w:r w:rsidRPr="00155F80">
        <w:rPr>
          <w:lang w:eastAsia="bs-Latn-BA"/>
        </w:rPr>
        <w:t xml:space="preserve"> </w:t>
      </w:r>
      <w:r w:rsidR="00511DCD">
        <w:rPr>
          <w:lang w:eastAsia="bs-Latn-BA"/>
        </w:rPr>
        <w:t>dobi</w:t>
      </w:r>
      <w:r w:rsidR="00EB1E56" w:rsidRPr="00155F80">
        <w:rPr>
          <w:lang w:eastAsia="bs-Latn-BA"/>
        </w:rPr>
        <w:t>,</w:t>
      </w:r>
      <w:r w:rsidRPr="00155F80">
        <w:rPr>
          <w:lang w:eastAsia="bs-Latn-BA"/>
        </w:rPr>
        <w:t xml:space="preserve"> </w:t>
      </w:r>
      <w:r w:rsidR="00EB1E56" w:rsidRPr="00155F80">
        <w:rPr>
          <w:lang w:eastAsia="bs-Latn-BA"/>
        </w:rPr>
        <w:t>stopa</w:t>
      </w:r>
      <w:r w:rsidRPr="00155F80">
        <w:rPr>
          <w:lang w:eastAsia="bs-Latn-BA"/>
        </w:rPr>
        <w:t xml:space="preserve"> na 100.000 stanovnika, </w:t>
      </w:r>
      <w:r w:rsidRPr="00155F80">
        <w:rPr>
          <w:iCs/>
        </w:rPr>
        <w:t>2010</w:t>
      </w:r>
      <w:r w:rsidRPr="00155F80">
        <w:rPr>
          <w:rFonts w:ascii="Cambria Math" w:hAnsi="Cambria Math" w:cs="Cambria Math"/>
        </w:rPr>
        <w:t>‐</w:t>
      </w:r>
      <w:r w:rsidRPr="00155F80">
        <w:rPr>
          <w:iCs/>
        </w:rPr>
        <w:t>2015. godina</w:t>
      </w:r>
      <w:r w:rsidRPr="00155F80">
        <w:rPr>
          <w:lang w:eastAsia="bs-Latn-BA"/>
        </w:rPr>
        <w:t>.</w:t>
      </w:r>
    </w:p>
    <w:p w:rsidR="00A704EE" w:rsidRPr="00155F80" w:rsidRDefault="000E7362" w:rsidP="000C0138">
      <w:pPr>
        <w:spacing w:line="276" w:lineRule="auto"/>
        <w:rPr>
          <w:rFonts w:ascii="Times New Roman" w:hAnsi="Times New Roman"/>
          <w:color w:val="000000"/>
          <w:lang w:eastAsia="bs-Latn-BA"/>
        </w:rPr>
      </w:pPr>
      <w:r>
        <w:rPr>
          <w:noProof/>
          <w:lang w:eastAsia="en-GB"/>
        </w:rPr>
        <w:drawing>
          <wp:inline distT="0" distB="0" distL="0" distR="0" wp14:anchorId="6DFA6CD6" wp14:editId="3B2E306D">
            <wp:extent cx="5600700" cy="1952625"/>
            <wp:effectExtent l="0" t="0" r="0"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t xml:space="preserve">Prerana smrtnost/umiranje </w:t>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155F80" w:rsidRDefault="008206E3" w:rsidP="000C0138">
      <w:pPr>
        <w:autoSpaceDE w:val="0"/>
        <w:autoSpaceDN w:val="0"/>
        <w:adjustRightInd w:val="0"/>
        <w:spacing w:line="276" w:lineRule="auto"/>
        <w:rPr>
          <w:rFonts w:ascii="Times New Roman" w:hAnsi="Times New Roman"/>
        </w:rPr>
      </w:pPr>
      <w:r w:rsidRPr="00155F80">
        <w:rPr>
          <w:rFonts w:ascii="Times New Roman" w:hAnsi="Times New Roman"/>
        </w:rPr>
        <w:t>P</w:t>
      </w:r>
      <w:r w:rsidR="00A131AD" w:rsidRPr="00155F80">
        <w:rPr>
          <w:rFonts w:ascii="Times New Roman" w:hAnsi="Times New Roman"/>
        </w:rPr>
        <w:t>rodužetak životnog vijeka stanovnika razvijenih zemalja (s 50 godina početkom 20. vijeka na 70 godina krajem istoga)</w:t>
      </w:r>
      <w:r w:rsidRPr="00155F80">
        <w:rPr>
          <w:rFonts w:ascii="Times New Roman" w:hAnsi="Times New Roman"/>
        </w:rPr>
        <w:t>,</w:t>
      </w:r>
      <w:r w:rsidR="00A131AD" w:rsidRPr="00155F80">
        <w:rPr>
          <w:rFonts w:ascii="Times New Roman" w:hAnsi="Times New Roman"/>
        </w:rPr>
        <w:t xml:space="preserve"> može se dobrim dijelom pripisati mjerama javnog zdravstva. Spomenimo samo neke mjere poput osiguranja higijenski ispravne vode za piće, higijene stanovanja, </w:t>
      </w:r>
      <w:r w:rsidR="00512E30">
        <w:rPr>
          <w:rFonts w:ascii="Times New Roman" w:hAnsi="Times New Roman"/>
        </w:rPr>
        <w:t>sistem</w:t>
      </w:r>
      <w:r w:rsidR="00A131AD" w:rsidRPr="00155F80">
        <w:rPr>
          <w:rFonts w:ascii="Times New Roman" w:hAnsi="Times New Roman"/>
        </w:rPr>
        <w:t xml:space="preserve">a odvodnje otpadnih voda i prikupljanja otpada, </w:t>
      </w:r>
      <w:r w:rsidR="00512E30">
        <w:rPr>
          <w:rFonts w:ascii="Times New Roman" w:hAnsi="Times New Roman"/>
        </w:rPr>
        <w:t>sistem</w:t>
      </w:r>
      <w:r w:rsidR="00A131AD" w:rsidRPr="00155F80">
        <w:rPr>
          <w:rFonts w:ascii="Times New Roman" w:hAnsi="Times New Roman"/>
        </w:rPr>
        <w:t>n</w:t>
      </w:r>
      <w:r w:rsidR="00007DCC">
        <w:rPr>
          <w:rFonts w:ascii="Times New Roman" w:hAnsi="Times New Roman"/>
        </w:rPr>
        <w:t>og</w:t>
      </w:r>
      <w:r w:rsidR="00A131AD" w:rsidRPr="00155F80">
        <w:rPr>
          <w:rFonts w:ascii="Times New Roman" w:hAnsi="Times New Roman"/>
        </w:rPr>
        <w:t xml:space="preserve"> </w:t>
      </w:r>
      <w:r w:rsidR="00007DCC">
        <w:rPr>
          <w:rFonts w:ascii="Times New Roman" w:hAnsi="Times New Roman"/>
        </w:rPr>
        <w:t>cijepljenja</w:t>
      </w:r>
      <w:r w:rsidR="00A131AD" w:rsidRPr="00155F80">
        <w:rPr>
          <w:rFonts w:ascii="Times New Roman" w:hAnsi="Times New Roman"/>
        </w:rPr>
        <w:t xml:space="preserve"> protiv brojnih zaraznih bolesti, planiranja </w:t>
      </w:r>
      <w:r w:rsidR="00F0369C">
        <w:rPr>
          <w:rFonts w:ascii="Times New Roman" w:hAnsi="Times New Roman"/>
        </w:rPr>
        <w:t>porodici</w:t>
      </w:r>
      <w:r w:rsidR="00A131AD" w:rsidRPr="00155F80">
        <w:rPr>
          <w:rFonts w:ascii="Times New Roman" w:hAnsi="Times New Roman"/>
        </w:rPr>
        <w:t xml:space="preserve">, smanjenja </w:t>
      </w:r>
      <w:r w:rsidR="00FE3B0D">
        <w:rPr>
          <w:rFonts w:ascii="Times New Roman" w:hAnsi="Times New Roman"/>
        </w:rPr>
        <w:t>onečišćenja</w:t>
      </w:r>
      <w:r w:rsidR="00A131AD" w:rsidRPr="00155F80">
        <w:rPr>
          <w:rFonts w:ascii="Times New Roman" w:hAnsi="Times New Roman"/>
        </w:rPr>
        <w:t xml:space="preserve">a </w:t>
      </w:r>
      <w:r w:rsidR="00526FD0">
        <w:rPr>
          <w:rFonts w:ascii="Times New Roman" w:hAnsi="Times New Roman"/>
        </w:rPr>
        <w:t>okoline</w:t>
      </w:r>
      <w:r w:rsidR="00A131AD" w:rsidRPr="00155F80">
        <w:rPr>
          <w:rFonts w:ascii="Times New Roman" w:hAnsi="Times New Roman"/>
        </w:rPr>
        <w:t xml:space="preserve">, programa za prevenciju </w:t>
      </w:r>
      <w:r w:rsidR="00512E30">
        <w:rPr>
          <w:rFonts w:ascii="Times New Roman" w:hAnsi="Times New Roman"/>
        </w:rPr>
        <w:t>hronični</w:t>
      </w:r>
      <w:r w:rsidR="00A131AD" w:rsidRPr="00155F80">
        <w:rPr>
          <w:rFonts w:ascii="Times New Roman" w:hAnsi="Times New Roman"/>
        </w:rPr>
        <w:t>h bolesti i slično</w:t>
      </w:r>
      <w:r w:rsidR="00A131AD" w:rsidRPr="00F83CAD">
        <w:rPr>
          <w:rFonts w:ascii="Times New Roman" w:hAnsi="Times New Roman"/>
        </w:rPr>
        <w:t>.</w:t>
      </w:r>
      <w:r w:rsidR="003C79F2" w:rsidRPr="00F83CAD">
        <w:rPr>
          <w:rFonts w:ascii="Times New Roman" w:hAnsi="Times New Roman"/>
        </w:rPr>
        <w:t xml:space="preserve"> (7)</w:t>
      </w:r>
    </w:p>
    <w:p w:rsidR="003C79F2" w:rsidRDefault="003C79F2" w:rsidP="000C0138">
      <w:pPr>
        <w:autoSpaceDE w:val="0"/>
        <w:autoSpaceDN w:val="0"/>
        <w:adjustRightInd w:val="0"/>
        <w:spacing w:line="276" w:lineRule="auto"/>
        <w:rPr>
          <w:rFonts w:ascii="Times New Roman" w:hAnsi="Times New Roman"/>
          <w:bCs/>
          <w:color w:val="000000"/>
          <w:lang w:val="vi-VN"/>
        </w:rPr>
      </w:pPr>
    </w:p>
    <w:p w:rsidR="004E6840" w:rsidRPr="00155F80" w:rsidRDefault="004E6840" w:rsidP="004E6840">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Praćenje prerane smrtnosti (smrt prije 65 godina) pruža korisne informacije za razvoj zdravstvene politike, kao i programe i intervencije za prevenciju bolesti i nastanak invaliditeta. </w:t>
      </w:r>
    </w:p>
    <w:p w:rsidR="004E6840" w:rsidRDefault="004E6840" w:rsidP="004E6840">
      <w:pPr>
        <w:pStyle w:val="Default"/>
        <w:spacing w:line="276" w:lineRule="auto"/>
        <w:jc w:val="both"/>
        <w:rPr>
          <w:rFonts w:ascii="Times New Roman" w:hAnsi="Times New Roman" w:cs="Times New Roman"/>
          <w:sz w:val="22"/>
          <w:szCs w:val="22"/>
        </w:rPr>
      </w:pPr>
    </w:p>
    <w:p w:rsidR="004E6840" w:rsidRPr="00155F80" w:rsidRDefault="004E6840" w:rsidP="004E6840">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 odnosu na spol, rizik od prerane smrti je 50% veći za muškarce. Općenito, više od 70% smrti javlja se u </w:t>
      </w:r>
      <w:r w:rsidR="00A80006">
        <w:rPr>
          <w:rFonts w:ascii="Times New Roman" w:hAnsi="Times New Roman" w:cs="Times New Roman"/>
          <w:sz w:val="22"/>
          <w:szCs w:val="22"/>
        </w:rPr>
        <w:t>starosnoj</w:t>
      </w:r>
      <w:r w:rsidRPr="00155F80">
        <w:rPr>
          <w:rFonts w:ascii="Times New Roman" w:hAnsi="Times New Roman" w:cs="Times New Roman"/>
          <w:sz w:val="22"/>
          <w:szCs w:val="22"/>
        </w:rPr>
        <w:t xml:space="preserve"> grupi iznad 65 godina. </w:t>
      </w:r>
    </w:p>
    <w:p w:rsidR="008206E3" w:rsidRPr="00155F80" w:rsidRDefault="008206E3" w:rsidP="000C0138">
      <w:pPr>
        <w:pStyle w:val="Default"/>
        <w:spacing w:line="276" w:lineRule="auto"/>
        <w:jc w:val="both"/>
        <w:rPr>
          <w:rFonts w:ascii="Times New Roman" w:hAnsi="Times New Roman" w:cs="Times New Roman"/>
          <w:sz w:val="22"/>
          <w:szCs w:val="22"/>
        </w:rPr>
      </w:pPr>
    </w:p>
    <w:p w:rsidR="008206E3" w:rsidRPr="00155F80" w:rsidRDefault="008206E3" w:rsidP="000C0138">
      <w:pPr>
        <w:pStyle w:val="Default"/>
        <w:tabs>
          <w:tab w:val="left" w:pos="2268"/>
        </w:tabs>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Udio prerane smrtnosti u ukupnom mortalitetu u Federaciji BiH u 2015. godini iznosio </w:t>
      </w:r>
      <w:r w:rsidR="00007DCC">
        <w:rPr>
          <w:rFonts w:ascii="Times New Roman" w:hAnsi="Times New Roman" w:cs="Times New Roman"/>
          <w:sz w:val="22"/>
          <w:szCs w:val="22"/>
        </w:rPr>
        <w:t xml:space="preserve">je </w:t>
      </w:r>
      <w:r w:rsidRPr="00155F80">
        <w:rPr>
          <w:rFonts w:ascii="Times New Roman" w:hAnsi="Times New Roman" w:cs="Times New Roman"/>
          <w:sz w:val="22"/>
          <w:szCs w:val="22"/>
        </w:rPr>
        <w:t>23,0% i pokazuje trend opadanja od 2010. godine kada je bio</w:t>
      </w:r>
      <w:r w:rsidR="00035CB1">
        <w:rPr>
          <w:rFonts w:ascii="Times New Roman" w:hAnsi="Times New Roman" w:cs="Times New Roman"/>
          <w:sz w:val="22"/>
          <w:szCs w:val="22"/>
        </w:rPr>
        <w:t xml:space="preserve"> </w:t>
      </w:r>
      <w:r w:rsidRPr="00155F80">
        <w:rPr>
          <w:rFonts w:ascii="Times New Roman" w:hAnsi="Times New Roman" w:cs="Times New Roman"/>
          <w:sz w:val="22"/>
          <w:szCs w:val="22"/>
        </w:rPr>
        <w:t xml:space="preserve"> 26,0%. </w:t>
      </w:r>
    </w:p>
    <w:p w:rsidR="00A131AD" w:rsidRPr="00155F80" w:rsidRDefault="00A131AD" w:rsidP="000C0138">
      <w:pPr>
        <w:pStyle w:val="Default"/>
        <w:spacing w:line="276" w:lineRule="auto"/>
        <w:jc w:val="both"/>
        <w:rPr>
          <w:rFonts w:ascii="Times New Roman" w:hAnsi="Times New Roman" w:cs="Times New Roman"/>
          <w:b/>
          <w:bCs/>
          <w:sz w:val="22"/>
          <w:szCs w:val="22"/>
          <w:highlight w:val="yellow"/>
        </w:rPr>
      </w:pPr>
    </w:p>
    <w:p w:rsidR="00A131AD" w:rsidRPr="00155F80" w:rsidRDefault="00A131AD" w:rsidP="00EB7CC7">
      <w:pPr>
        <w:pStyle w:val="refererere"/>
        <w:rPr>
          <w:lang w:eastAsia="bs-Latn-BA"/>
        </w:rPr>
      </w:pPr>
      <w:r w:rsidRPr="00155F80">
        <w:rPr>
          <w:iCs/>
        </w:rPr>
        <w:t xml:space="preserve">Grafikon 9: </w:t>
      </w:r>
      <w:r w:rsidRPr="00155F80">
        <w:rPr>
          <w:lang w:eastAsia="bs-Latn-BA"/>
        </w:rPr>
        <w:t>U</w:t>
      </w:r>
      <w:r w:rsidR="00243A26">
        <w:rPr>
          <w:lang w:eastAsia="bs-Latn-BA"/>
        </w:rPr>
        <w:t>dio</w:t>
      </w:r>
      <w:r w:rsidRPr="00155F80">
        <w:rPr>
          <w:lang w:eastAsia="bs-Latn-BA"/>
        </w:rPr>
        <w:t xml:space="preserve"> </w:t>
      </w:r>
      <w:r w:rsidR="008206E3" w:rsidRPr="00155F80">
        <w:rPr>
          <w:lang w:eastAsia="bs-Latn-BA"/>
        </w:rPr>
        <w:t>smrtnosti stanovništa sta</w:t>
      </w:r>
      <w:r w:rsidRPr="00155F80">
        <w:rPr>
          <w:lang w:eastAsia="bs-Latn-BA"/>
        </w:rPr>
        <w:t>rosti od 0 - 64  godine u ukupnom moratlitetu u Federacij</w:t>
      </w:r>
      <w:r w:rsidR="00A342B4">
        <w:rPr>
          <w:lang w:eastAsia="bs-Latn-BA"/>
        </w:rPr>
        <w:t>i</w:t>
      </w:r>
      <w:r w:rsidRPr="00155F80">
        <w:rPr>
          <w:lang w:eastAsia="bs-Latn-BA"/>
        </w:rPr>
        <w:t xml:space="preserve"> BiH, za </w:t>
      </w:r>
      <w:r w:rsidR="00F70FD4">
        <w:rPr>
          <w:lang w:eastAsia="bs-Latn-BA"/>
        </w:rPr>
        <w:t>period</w:t>
      </w:r>
      <w:r w:rsidRPr="00155F80">
        <w:rPr>
          <w:lang w:eastAsia="bs-Latn-BA"/>
        </w:rPr>
        <w:t xml:space="preserve"> 2010-2015. godina</w:t>
      </w:r>
    </w:p>
    <w:p w:rsidR="00A131AD" w:rsidRPr="00155F80" w:rsidRDefault="00A131AD" w:rsidP="000C0138">
      <w:pPr>
        <w:pStyle w:val="Default"/>
        <w:spacing w:line="276" w:lineRule="auto"/>
        <w:jc w:val="both"/>
        <w:rPr>
          <w:rFonts w:ascii="Times New Roman" w:hAnsi="Times New Roman" w:cs="Times New Roman"/>
          <w:sz w:val="22"/>
          <w:szCs w:val="22"/>
          <w:highlight w:val="yellow"/>
        </w:rPr>
      </w:pPr>
      <w:r w:rsidRPr="00155F80">
        <w:rPr>
          <w:rFonts w:ascii="Times New Roman" w:hAnsi="Times New Roman" w:cs="Times New Roman"/>
          <w:noProof/>
          <w:sz w:val="22"/>
          <w:szCs w:val="22"/>
          <w:lang w:val="en-GB" w:eastAsia="en-GB"/>
        </w:rPr>
        <w:drawing>
          <wp:inline distT="0" distB="0" distL="0" distR="0" wp14:anchorId="7604988A" wp14:editId="295CE942">
            <wp:extent cx="5678905" cy="1935480"/>
            <wp:effectExtent l="0" t="0" r="17145" b="7620"/>
            <wp:docPr id="5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Preuranjena smrtnost od dijabetesa u europskoj regiji pokazala je smanjenje od 1995</w:t>
      </w:r>
      <w:r w:rsidR="00E67339" w:rsidRPr="00155F80">
        <w:rPr>
          <w:rFonts w:ascii="Times New Roman" w:hAnsi="Times New Roman" w:cs="Times New Roman"/>
          <w:sz w:val="22"/>
          <w:szCs w:val="22"/>
        </w:rPr>
        <w:t>.</w:t>
      </w:r>
      <w:r w:rsidRPr="00155F80">
        <w:rPr>
          <w:rFonts w:ascii="Times New Roman" w:hAnsi="Times New Roman" w:cs="Times New Roman"/>
          <w:sz w:val="22"/>
          <w:szCs w:val="22"/>
        </w:rPr>
        <w:t xml:space="preserve"> do 2010. godine za 25%, kada je dostigla stopu od 4 na 100.000 stanovnika. </w:t>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b/>
          <w:sz w:val="22"/>
          <w:szCs w:val="22"/>
        </w:rPr>
      </w:pPr>
      <w:r w:rsidRPr="00155F80">
        <w:rPr>
          <w:rFonts w:ascii="Times New Roman" w:hAnsi="Times New Roman" w:cs="Times New Roman"/>
          <w:b/>
          <w:sz w:val="22"/>
          <w:szCs w:val="22"/>
        </w:rPr>
        <w:t>Vodeći uzroci smrti</w:t>
      </w:r>
      <w:r w:rsidR="008206E3" w:rsidRPr="00155F80">
        <w:rPr>
          <w:rFonts w:ascii="Times New Roman" w:hAnsi="Times New Roman" w:cs="Times New Roman"/>
          <w:b/>
          <w:sz w:val="22"/>
          <w:szCs w:val="22"/>
        </w:rPr>
        <w:t xml:space="preserve"> </w:t>
      </w:r>
    </w:p>
    <w:p w:rsidR="00B3288D" w:rsidRPr="00155F80" w:rsidRDefault="00B3288D" w:rsidP="000C0138">
      <w:pPr>
        <w:pStyle w:val="Default"/>
        <w:spacing w:line="276" w:lineRule="auto"/>
        <w:jc w:val="both"/>
        <w:rPr>
          <w:rFonts w:ascii="Times New Roman" w:hAnsi="Times New Roman" w:cs="Times New Roman"/>
          <w:b/>
          <w:sz w:val="22"/>
          <w:szCs w:val="22"/>
          <w:u w:val="single"/>
        </w:rPr>
      </w:pPr>
    </w:p>
    <w:p w:rsidR="00243A26"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Vodeći uzroci smrti sta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novništva Federacije BiH 2015. godine su oboljenja cirkula</w:t>
      </w:r>
      <w:r w:rsidR="00A342B4">
        <w:rPr>
          <w:rFonts w:ascii="Times New Roman" w:hAnsi="Times New Roman" w:cs="Times New Roman"/>
          <w:sz w:val="22"/>
          <w:szCs w:val="22"/>
        </w:rPr>
        <w:t>cijskog</w:t>
      </w:r>
      <w:r w:rsidRPr="00155F80">
        <w:rPr>
          <w:rFonts w:ascii="Times New Roman" w:hAnsi="Times New Roman" w:cs="Times New Roman"/>
          <w:sz w:val="22"/>
          <w:szCs w:val="22"/>
        </w:rPr>
        <w:t xml:space="preserve"> </w:t>
      </w:r>
      <w:r w:rsidR="00512E30">
        <w:rPr>
          <w:rFonts w:ascii="Times New Roman" w:hAnsi="Times New Roman" w:cs="Times New Roman"/>
          <w:sz w:val="22"/>
          <w:szCs w:val="22"/>
        </w:rPr>
        <w:t>sistem</w:t>
      </w:r>
      <w:r w:rsidR="00A342B4">
        <w:rPr>
          <w:rFonts w:ascii="Times New Roman" w:hAnsi="Times New Roman" w:cs="Times New Roman"/>
          <w:sz w:val="22"/>
          <w:szCs w:val="22"/>
        </w:rPr>
        <w:t>a</w:t>
      </w:r>
      <w:r w:rsidRPr="00155F80">
        <w:rPr>
          <w:rFonts w:ascii="Times New Roman" w:hAnsi="Times New Roman" w:cs="Times New Roman"/>
          <w:sz w:val="22"/>
          <w:szCs w:val="22"/>
        </w:rPr>
        <w:t xml:space="preserve"> (I00-I99) s udjelom od 53,8% svih uzroka (stopa 500,0/100.000 stanovnika) i bilježi jednak procentualni udio kao i u 2010. godini 53,8</w:t>
      </w:r>
      <w:r w:rsidR="00C96D1D" w:rsidRPr="00155F80">
        <w:rPr>
          <w:rFonts w:ascii="Times New Roman" w:hAnsi="Times New Roman" w:cs="Times New Roman"/>
          <w:sz w:val="22"/>
          <w:szCs w:val="22"/>
        </w:rPr>
        <w:t>%</w:t>
      </w:r>
      <w:r w:rsidRPr="00155F80">
        <w:rPr>
          <w:rFonts w:ascii="Times New Roman" w:hAnsi="Times New Roman" w:cs="Times New Roman"/>
          <w:sz w:val="22"/>
          <w:szCs w:val="22"/>
        </w:rPr>
        <w:t xml:space="preserve"> (</w:t>
      </w:r>
      <w:r w:rsidR="00C96D1D" w:rsidRPr="00155F80">
        <w:rPr>
          <w:rFonts w:ascii="Times New Roman" w:hAnsi="Times New Roman" w:cs="Times New Roman"/>
          <w:sz w:val="22"/>
          <w:szCs w:val="22"/>
        </w:rPr>
        <w:t xml:space="preserve">stopa: </w:t>
      </w:r>
      <w:r w:rsidRPr="00155F80">
        <w:rPr>
          <w:rFonts w:ascii="Times New Roman" w:hAnsi="Times New Roman" w:cs="Times New Roman"/>
          <w:sz w:val="22"/>
          <w:szCs w:val="22"/>
        </w:rPr>
        <w:t xml:space="preserve">472,1/100.000), slijede maligne neoplazme (C00-C97) s 21,0% udjela (stopa 194,9/100.000 stanovnika) što je povećanje </w:t>
      </w:r>
      <w:r w:rsidR="00C96D1D" w:rsidRPr="00155F80">
        <w:rPr>
          <w:rFonts w:ascii="Times New Roman" w:hAnsi="Times New Roman" w:cs="Times New Roman"/>
          <w:sz w:val="22"/>
          <w:szCs w:val="22"/>
        </w:rPr>
        <w:t>u odnosu na 2010. godinu</w:t>
      </w:r>
      <w:r w:rsidRPr="00155F80">
        <w:rPr>
          <w:rFonts w:ascii="Times New Roman" w:hAnsi="Times New Roman" w:cs="Times New Roman"/>
          <w:sz w:val="22"/>
          <w:szCs w:val="22"/>
        </w:rPr>
        <w:t xml:space="preserve"> kad</w:t>
      </w:r>
      <w:r w:rsidR="00C96D1D" w:rsidRPr="00155F80">
        <w:rPr>
          <w:rFonts w:ascii="Times New Roman" w:hAnsi="Times New Roman" w:cs="Times New Roman"/>
          <w:sz w:val="22"/>
          <w:szCs w:val="22"/>
        </w:rPr>
        <w:t>a</w:t>
      </w:r>
      <w:r w:rsidRPr="00155F80">
        <w:rPr>
          <w:rFonts w:ascii="Times New Roman" w:hAnsi="Times New Roman" w:cs="Times New Roman"/>
          <w:sz w:val="22"/>
          <w:szCs w:val="22"/>
        </w:rPr>
        <w:t xml:space="preserve"> je udio bio 20,1% a stopa (176,4/100.000). Ove dvije grupe </w:t>
      </w:r>
      <w:r w:rsidR="00CF3D30">
        <w:rPr>
          <w:rFonts w:ascii="Times New Roman" w:hAnsi="Times New Roman" w:cs="Times New Roman"/>
          <w:sz w:val="22"/>
          <w:szCs w:val="22"/>
        </w:rPr>
        <w:t xml:space="preserve">oboljenja </w:t>
      </w:r>
      <w:r w:rsidRPr="00155F80">
        <w:rPr>
          <w:rFonts w:ascii="Times New Roman" w:hAnsi="Times New Roman" w:cs="Times New Roman"/>
          <w:sz w:val="22"/>
          <w:szCs w:val="22"/>
        </w:rPr>
        <w:t xml:space="preserve">čine oko tri četvrtine svih uzroka smrti.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Slijede endokrina i metabolička oboljenja s poremećajima u </w:t>
      </w:r>
      <w:r w:rsidR="00950A64">
        <w:rPr>
          <w:rFonts w:ascii="Times New Roman" w:hAnsi="Times New Roman" w:cs="Times New Roman"/>
          <w:sz w:val="22"/>
          <w:szCs w:val="22"/>
        </w:rPr>
        <w:t>ishrani</w:t>
      </w:r>
      <w:r w:rsidRPr="00155F80">
        <w:rPr>
          <w:rFonts w:ascii="Times New Roman" w:hAnsi="Times New Roman" w:cs="Times New Roman"/>
          <w:sz w:val="22"/>
          <w:szCs w:val="22"/>
        </w:rPr>
        <w:t xml:space="preserve"> (E00-E99) sa stopom od 51,3/100.000 stanovnika ili 5,5%, što predstavlja blago smanjenje u odnosu na 2010. godinu kada je stopa iznosila 50,0/100.000 stanovnika ili 5,7%.</w:t>
      </w:r>
    </w:p>
    <w:p w:rsidR="00E67339" w:rsidRPr="00155F80" w:rsidRDefault="00E67339"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Među pet vodećih uzroka smrti stanovništva u 2015. godini svrstavaju se i oboljenja </w:t>
      </w:r>
      <w:r w:rsidR="00A342B4">
        <w:rPr>
          <w:rFonts w:ascii="Times New Roman" w:hAnsi="Times New Roman" w:cs="Times New Roman"/>
          <w:sz w:val="22"/>
          <w:szCs w:val="22"/>
        </w:rPr>
        <w:t xml:space="preserve">dušnog </w:t>
      </w:r>
      <w:r w:rsidR="00512E30">
        <w:rPr>
          <w:rFonts w:ascii="Times New Roman" w:hAnsi="Times New Roman" w:cs="Times New Roman"/>
          <w:sz w:val="22"/>
          <w:szCs w:val="22"/>
        </w:rPr>
        <w:t>sistem</w:t>
      </w:r>
      <w:r w:rsidR="00A342B4">
        <w:rPr>
          <w:rFonts w:ascii="Times New Roman" w:hAnsi="Times New Roman" w:cs="Times New Roman"/>
          <w:sz w:val="22"/>
          <w:szCs w:val="22"/>
        </w:rPr>
        <w:t>a</w:t>
      </w:r>
      <w:r w:rsidRPr="00155F80">
        <w:rPr>
          <w:rFonts w:ascii="Times New Roman" w:hAnsi="Times New Roman" w:cs="Times New Roman"/>
          <w:sz w:val="22"/>
          <w:szCs w:val="22"/>
        </w:rPr>
        <w:t xml:space="preserve"> (J00-J99) sa stopom od 45,2/100.000 stanovnika ili 4,9%, i bilježi trend rasta u </w:t>
      </w:r>
      <w:r w:rsidR="00A342B4">
        <w:rPr>
          <w:rFonts w:ascii="Times New Roman" w:hAnsi="Times New Roman" w:cs="Times New Roman"/>
          <w:sz w:val="22"/>
          <w:szCs w:val="22"/>
        </w:rPr>
        <w:t>usporedbi</w:t>
      </w:r>
      <w:r w:rsidRPr="00155F80">
        <w:rPr>
          <w:rFonts w:ascii="Times New Roman" w:hAnsi="Times New Roman" w:cs="Times New Roman"/>
          <w:sz w:val="22"/>
          <w:szCs w:val="22"/>
        </w:rPr>
        <w:t xml:space="preserve"> sa 2010. godinom kada je stopa bila 29,0/100.00 ili 3,3%.</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Simptomi, </w:t>
      </w:r>
      <w:r w:rsidR="00587CDA">
        <w:rPr>
          <w:rFonts w:ascii="Times New Roman" w:hAnsi="Times New Roman" w:cs="Times New Roman"/>
          <w:sz w:val="22"/>
          <w:szCs w:val="22"/>
        </w:rPr>
        <w:t>pokazatelji</w:t>
      </w:r>
      <w:r w:rsidRPr="00155F80">
        <w:rPr>
          <w:rFonts w:ascii="Times New Roman" w:hAnsi="Times New Roman" w:cs="Times New Roman"/>
          <w:sz w:val="22"/>
          <w:szCs w:val="22"/>
        </w:rPr>
        <w:t xml:space="preserve"> i nenormalni klinički i laboratorijski nalazi (R00-R99)</w:t>
      </w:r>
      <w:r w:rsidR="003C79F2">
        <w:rPr>
          <w:rFonts w:ascii="Times New Roman" w:hAnsi="Times New Roman" w:cs="Times New Roman"/>
          <w:sz w:val="22"/>
          <w:szCs w:val="22"/>
        </w:rPr>
        <w:t xml:space="preserve"> sa stopom od 22,1/100.000 stanovnika i</w:t>
      </w:r>
      <w:r w:rsidRPr="00155F80">
        <w:rPr>
          <w:rFonts w:ascii="Times New Roman" w:hAnsi="Times New Roman" w:cs="Times New Roman"/>
          <w:sz w:val="22"/>
          <w:szCs w:val="22"/>
        </w:rPr>
        <w:t xml:space="preserve"> 2,4% </w:t>
      </w:r>
      <w:r w:rsidR="003C79F2">
        <w:rPr>
          <w:rFonts w:ascii="Times New Roman" w:hAnsi="Times New Roman" w:cs="Times New Roman"/>
          <w:sz w:val="22"/>
          <w:szCs w:val="22"/>
        </w:rPr>
        <w:t>u</w:t>
      </w:r>
      <w:r w:rsidR="00243A26">
        <w:rPr>
          <w:rFonts w:ascii="Times New Roman" w:hAnsi="Times New Roman" w:cs="Times New Roman"/>
          <w:sz w:val="22"/>
          <w:szCs w:val="22"/>
        </w:rPr>
        <w:t>djela</w:t>
      </w:r>
      <w:r w:rsidR="003C79F2">
        <w:rPr>
          <w:rFonts w:ascii="Times New Roman" w:hAnsi="Times New Roman" w:cs="Times New Roman"/>
          <w:sz w:val="22"/>
          <w:szCs w:val="22"/>
        </w:rPr>
        <w:t xml:space="preserve"> </w:t>
      </w:r>
      <w:r w:rsidRPr="00155F80">
        <w:rPr>
          <w:rFonts w:ascii="Times New Roman" w:hAnsi="Times New Roman" w:cs="Times New Roman"/>
          <w:sz w:val="22"/>
          <w:szCs w:val="22"/>
        </w:rPr>
        <w:t>u 2015. godini bilježe smanjenje udjela u odnosu na 2010. godinu kada je stopa izn</w:t>
      </w:r>
      <w:r w:rsidR="003C79F2">
        <w:rPr>
          <w:rFonts w:ascii="Times New Roman" w:hAnsi="Times New Roman" w:cs="Times New Roman"/>
          <w:sz w:val="22"/>
          <w:szCs w:val="22"/>
        </w:rPr>
        <w:t>osila 43,8/100.000, a u</w:t>
      </w:r>
      <w:r w:rsidR="00A342B4">
        <w:rPr>
          <w:rFonts w:ascii="Times New Roman" w:hAnsi="Times New Roman" w:cs="Times New Roman"/>
          <w:sz w:val="22"/>
          <w:szCs w:val="22"/>
        </w:rPr>
        <w:t>dio</w:t>
      </w:r>
      <w:r w:rsidRPr="00155F80">
        <w:rPr>
          <w:rFonts w:ascii="Times New Roman" w:hAnsi="Times New Roman" w:cs="Times New Roman"/>
          <w:sz w:val="22"/>
          <w:szCs w:val="22"/>
        </w:rPr>
        <w:t xml:space="preserve"> 5,0%</w:t>
      </w:r>
      <w:r w:rsidR="003C79F2">
        <w:rPr>
          <w:rFonts w:ascii="Times New Roman" w:hAnsi="Times New Roman" w:cs="Times New Roman"/>
          <w:sz w:val="22"/>
          <w:szCs w:val="22"/>
        </w:rPr>
        <w:t xml:space="preserve"> svih uzroka smrti</w:t>
      </w:r>
      <w:r w:rsidRPr="00155F80">
        <w:rPr>
          <w:rFonts w:ascii="Times New Roman" w:hAnsi="Times New Roman" w:cs="Times New Roman"/>
          <w:sz w:val="22"/>
          <w:szCs w:val="22"/>
        </w:rPr>
        <w:t xml:space="preserve">. </w:t>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EB7CC7">
      <w:pPr>
        <w:pStyle w:val="refererere"/>
      </w:pPr>
      <w:r w:rsidRPr="00155F80">
        <w:t>Grafikon 10: Pet vodećih grupa oboljenja kao uzroka smrti u Federaciji BiH, 2010.</w:t>
      </w:r>
      <w:r w:rsidRPr="00155F80">
        <w:rPr>
          <w:rFonts w:ascii="Cambria Math" w:hAnsi="Cambria Math" w:cs="Cambria Math"/>
        </w:rPr>
        <w:t xml:space="preserve">i </w:t>
      </w:r>
      <w:r w:rsidRPr="00155F80">
        <w:t>2015. 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noProof/>
          <w:sz w:val="22"/>
          <w:szCs w:val="22"/>
          <w:u w:val="single"/>
          <w:lang w:val="en-GB" w:eastAsia="en-GB"/>
        </w:rPr>
        <w:drawing>
          <wp:inline distT="0" distB="0" distL="0" distR="0" wp14:anchorId="6C6D5DDE" wp14:editId="3AB70622">
            <wp:extent cx="5606716" cy="2093495"/>
            <wp:effectExtent l="0" t="0" r="13335" b="2540"/>
            <wp:docPr id="5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sz w:val="22"/>
          <w:szCs w:val="22"/>
        </w:rPr>
        <w:t xml:space="preserve">Među uzrocima smrti u Federaciji BiH </w:t>
      </w:r>
      <w:r w:rsidR="003C79F2">
        <w:rPr>
          <w:rFonts w:ascii="Times New Roman" w:hAnsi="Times New Roman" w:cs="Times New Roman"/>
          <w:sz w:val="22"/>
          <w:szCs w:val="22"/>
        </w:rPr>
        <w:t>još uvijek postoji</w:t>
      </w:r>
      <w:r w:rsidRPr="00155F80">
        <w:rPr>
          <w:rFonts w:ascii="Times New Roman" w:hAnsi="Times New Roman" w:cs="Times New Roman"/>
          <w:sz w:val="22"/>
          <w:szCs w:val="22"/>
        </w:rPr>
        <w:t xml:space="preserve"> velik broj nepoznatih uzroka smrti, što se dovodi u </w:t>
      </w:r>
      <w:r w:rsidR="00A342B4">
        <w:rPr>
          <w:rFonts w:ascii="Times New Roman" w:hAnsi="Times New Roman" w:cs="Times New Roman"/>
          <w:sz w:val="22"/>
          <w:szCs w:val="22"/>
        </w:rPr>
        <w:t>s</w:t>
      </w:r>
      <w:r w:rsidRPr="00155F80">
        <w:rPr>
          <w:rFonts w:ascii="Times New Roman" w:hAnsi="Times New Roman" w:cs="Times New Roman"/>
          <w:sz w:val="22"/>
          <w:szCs w:val="22"/>
        </w:rPr>
        <w:t>vezu sa propustima u šifriranju uzroka smrti.</w:t>
      </w:r>
    </w:p>
    <w:p w:rsidR="00762A6B" w:rsidRPr="00155F80" w:rsidRDefault="00762A6B"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U</w:t>
      </w:r>
      <w:r w:rsidR="00A131AD" w:rsidRPr="00155F80">
        <w:rPr>
          <w:rFonts w:ascii="Times New Roman" w:hAnsi="Times New Roman" w:cs="Times New Roman"/>
          <w:sz w:val="22"/>
          <w:szCs w:val="22"/>
        </w:rPr>
        <w:t xml:space="preserve"> proma</w:t>
      </w:r>
      <w:r w:rsidRPr="00155F80">
        <w:rPr>
          <w:rFonts w:ascii="Times New Roman" w:hAnsi="Times New Roman" w:cs="Times New Roman"/>
          <w:sz w:val="22"/>
          <w:szCs w:val="22"/>
        </w:rPr>
        <w:t xml:space="preserve">tranom </w:t>
      </w:r>
      <w:r w:rsidR="00F70FD4">
        <w:rPr>
          <w:rFonts w:ascii="Times New Roman" w:hAnsi="Times New Roman" w:cs="Times New Roman"/>
          <w:sz w:val="22"/>
          <w:szCs w:val="22"/>
        </w:rPr>
        <w:t>periodu</w:t>
      </w:r>
      <w:r w:rsidRPr="00155F80">
        <w:rPr>
          <w:rFonts w:ascii="Times New Roman" w:hAnsi="Times New Roman" w:cs="Times New Roman"/>
          <w:sz w:val="22"/>
          <w:szCs w:val="22"/>
        </w:rPr>
        <w:t xml:space="preserve">, </w:t>
      </w:r>
      <w:r w:rsidR="000A3A46">
        <w:rPr>
          <w:rFonts w:ascii="Times New Roman" w:hAnsi="Times New Roman" w:cs="Times New Roman"/>
          <w:sz w:val="22"/>
          <w:szCs w:val="22"/>
        </w:rPr>
        <w:t>standardizovana</w:t>
      </w:r>
      <w:r w:rsidRPr="00155F80">
        <w:rPr>
          <w:rFonts w:ascii="Times New Roman" w:hAnsi="Times New Roman" w:cs="Times New Roman"/>
          <w:sz w:val="22"/>
          <w:szCs w:val="22"/>
        </w:rPr>
        <w:t xml:space="preserve"> stopa mortaliteta od</w:t>
      </w:r>
      <w:r w:rsidR="00A131AD" w:rsidRPr="00155F80">
        <w:rPr>
          <w:rFonts w:ascii="Times New Roman" w:hAnsi="Times New Roman" w:cs="Times New Roman"/>
          <w:sz w:val="22"/>
          <w:szCs w:val="22"/>
        </w:rPr>
        <w:t xml:space="preserve"> </w:t>
      </w:r>
      <w:r w:rsidRPr="00155F80">
        <w:rPr>
          <w:rFonts w:ascii="Times New Roman" w:hAnsi="Times New Roman" w:cs="Times New Roman"/>
          <w:sz w:val="22"/>
          <w:szCs w:val="22"/>
        </w:rPr>
        <w:t xml:space="preserve">kardiovaskularnih bolesti je najviša, bilježi trend rasta i za </w:t>
      </w:r>
      <w:r w:rsidR="00A131AD" w:rsidRPr="00155F80">
        <w:rPr>
          <w:rFonts w:ascii="Times New Roman" w:hAnsi="Times New Roman" w:cs="Times New Roman"/>
          <w:sz w:val="22"/>
          <w:szCs w:val="22"/>
        </w:rPr>
        <w:t xml:space="preserve">2015. godinu iznosi 400,9 </w:t>
      </w:r>
      <w:r w:rsidRPr="00155F80">
        <w:rPr>
          <w:rFonts w:ascii="Times New Roman" w:hAnsi="Times New Roman" w:cs="Times New Roman"/>
          <w:sz w:val="22"/>
          <w:szCs w:val="22"/>
        </w:rPr>
        <w:t>na 100.000 stanovnika. S</w:t>
      </w:r>
      <w:r w:rsidR="00A131AD" w:rsidRPr="00155F80">
        <w:rPr>
          <w:rFonts w:ascii="Times New Roman" w:hAnsi="Times New Roman" w:cs="Times New Roman"/>
          <w:sz w:val="22"/>
          <w:szCs w:val="22"/>
        </w:rPr>
        <w:t>lijede maligne neoplazme</w:t>
      </w:r>
      <w:r w:rsidRPr="00155F80">
        <w:rPr>
          <w:rFonts w:ascii="Times New Roman" w:hAnsi="Times New Roman" w:cs="Times New Roman"/>
          <w:sz w:val="22"/>
          <w:szCs w:val="22"/>
        </w:rPr>
        <w:t>, čija je</w:t>
      </w:r>
      <w:r w:rsidR="00A131AD" w:rsidRPr="00155F80">
        <w:rPr>
          <w:rFonts w:ascii="Times New Roman" w:hAnsi="Times New Roman" w:cs="Times New Roman"/>
          <w:sz w:val="22"/>
          <w:szCs w:val="22"/>
        </w:rPr>
        <w:t xml:space="preserve"> </w:t>
      </w:r>
      <w:r w:rsidR="000A3A46">
        <w:rPr>
          <w:rFonts w:ascii="Times New Roman" w:hAnsi="Times New Roman" w:cs="Times New Roman"/>
          <w:sz w:val="22"/>
          <w:szCs w:val="22"/>
        </w:rPr>
        <w:t>standardizovana</w:t>
      </w:r>
      <w:r w:rsidRPr="00155F80">
        <w:rPr>
          <w:rFonts w:ascii="Times New Roman" w:hAnsi="Times New Roman" w:cs="Times New Roman"/>
          <w:sz w:val="22"/>
          <w:szCs w:val="22"/>
        </w:rPr>
        <w:t xml:space="preserve"> stopa mortaliteta za 2015. godinu </w:t>
      </w:r>
      <w:r w:rsidR="00A131AD" w:rsidRPr="00155F80">
        <w:rPr>
          <w:rFonts w:ascii="Times New Roman" w:hAnsi="Times New Roman" w:cs="Times New Roman"/>
          <w:sz w:val="22"/>
          <w:szCs w:val="22"/>
        </w:rPr>
        <w:t>164,1</w:t>
      </w:r>
      <w:r w:rsidRPr="00155F80">
        <w:rPr>
          <w:rFonts w:ascii="Times New Roman" w:hAnsi="Times New Roman" w:cs="Times New Roman"/>
          <w:sz w:val="22"/>
          <w:szCs w:val="22"/>
        </w:rPr>
        <w:t xml:space="preserve"> na 100.000</w:t>
      </w:r>
      <w:r w:rsidR="00A131AD" w:rsidRPr="00155F80">
        <w:rPr>
          <w:rFonts w:ascii="Times New Roman" w:hAnsi="Times New Roman" w:cs="Times New Roman"/>
          <w:sz w:val="22"/>
          <w:szCs w:val="22"/>
        </w:rPr>
        <w:t xml:space="preserve"> i </w:t>
      </w:r>
      <w:r w:rsidRPr="00155F80">
        <w:rPr>
          <w:rFonts w:ascii="Times New Roman" w:hAnsi="Times New Roman" w:cs="Times New Roman"/>
          <w:sz w:val="22"/>
          <w:szCs w:val="22"/>
        </w:rPr>
        <w:t xml:space="preserve">u proteklom </w:t>
      </w:r>
      <w:r w:rsidR="00F70FD4">
        <w:rPr>
          <w:rFonts w:ascii="Times New Roman" w:hAnsi="Times New Roman" w:cs="Times New Roman"/>
          <w:sz w:val="22"/>
          <w:szCs w:val="22"/>
        </w:rPr>
        <w:t>periodu</w:t>
      </w:r>
      <w:r w:rsidRPr="00155F80">
        <w:rPr>
          <w:rFonts w:ascii="Times New Roman" w:hAnsi="Times New Roman" w:cs="Times New Roman"/>
          <w:sz w:val="22"/>
          <w:szCs w:val="22"/>
        </w:rPr>
        <w:t xml:space="preserve"> održava sličan trend.</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Na trećem mjestu uzroka umiranja je dijabetes melitus sa SDR za 2015. godinu od 40,3 </w:t>
      </w:r>
      <w:r w:rsidR="00AA0D77" w:rsidRPr="00155F80">
        <w:rPr>
          <w:rFonts w:ascii="Times New Roman" w:hAnsi="Times New Roman" w:cs="Times New Roman"/>
          <w:sz w:val="22"/>
          <w:szCs w:val="22"/>
        </w:rPr>
        <w:t xml:space="preserve">na 100.000. </w:t>
      </w:r>
      <w:r w:rsidR="00F70FD4">
        <w:rPr>
          <w:rFonts w:ascii="Times New Roman" w:hAnsi="Times New Roman" w:cs="Times New Roman"/>
          <w:sz w:val="22"/>
          <w:szCs w:val="22"/>
        </w:rPr>
        <w:t>Hronične</w:t>
      </w:r>
      <w:r w:rsidRPr="00155F80">
        <w:rPr>
          <w:rFonts w:ascii="Times New Roman" w:hAnsi="Times New Roman" w:cs="Times New Roman"/>
          <w:sz w:val="22"/>
          <w:szCs w:val="22"/>
        </w:rPr>
        <w:t xml:space="preserve"> respiratorne bolesti sa SDR </w:t>
      </w:r>
      <w:r w:rsidR="00CF3D30">
        <w:rPr>
          <w:rFonts w:ascii="Times New Roman" w:hAnsi="Times New Roman" w:cs="Times New Roman"/>
          <w:sz w:val="22"/>
          <w:szCs w:val="22"/>
        </w:rPr>
        <w:t xml:space="preserve">od </w:t>
      </w:r>
      <w:r w:rsidR="00CF3D30" w:rsidRPr="00155F80">
        <w:rPr>
          <w:rFonts w:ascii="Times New Roman" w:hAnsi="Times New Roman" w:cs="Times New Roman"/>
          <w:sz w:val="22"/>
          <w:szCs w:val="22"/>
        </w:rPr>
        <w:t>25,4</w:t>
      </w:r>
      <w:r w:rsidR="00CF3D30">
        <w:rPr>
          <w:rFonts w:ascii="Times New Roman" w:hAnsi="Times New Roman" w:cs="Times New Roman"/>
          <w:sz w:val="22"/>
          <w:szCs w:val="22"/>
        </w:rPr>
        <w:t>/100.000</w:t>
      </w:r>
      <w:r w:rsidR="00CF3D30" w:rsidRPr="00155F80">
        <w:rPr>
          <w:rFonts w:ascii="Times New Roman" w:hAnsi="Times New Roman" w:cs="Times New Roman"/>
          <w:sz w:val="22"/>
          <w:szCs w:val="22"/>
        </w:rPr>
        <w:t xml:space="preserve"> </w:t>
      </w:r>
      <w:r w:rsidRPr="00155F80">
        <w:rPr>
          <w:rFonts w:ascii="Times New Roman" w:hAnsi="Times New Roman" w:cs="Times New Roman"/>
          <w:sz w:val="22"/>
          <w:szCs w:val="22"/>
        </w:rPr>
        <w:t>za 2015. godinu takođe</w:t>
      </w:r>
      <w:r w:rsidR="00CF3D30">
        <w:rPr>
          <w:rFonts w:ascii="Times New Roman" w:hAnsi="Times New Roman" w:cs="Times New Roman"/>
          <w:sz w:val="22"/>
          <w:szCs w:val="22"/>
        </w:rPr>
        <w:t>r</w:t>
      </w:r>
      <w:r w:rsidRPr="00155F80">
        <w:rPr>
          <w:rFonts w:ascii="Times New Roman" w:hAnsi="Times New Roman" w:cs="Times New Roman"/>
          <w:sz w:val="22"/>
          <w:szCs w:val="22"/>
        </w:rPr>
        <w:t xml:space="preserve"> bilježe </w:t>
      </w:r>
      <w:r w:rsidR="003C79F2">
        <w:rPr>
          <w:rFonts w:ascii="Times New Roman" w:hAnsi="Times New Roman" w:cs="Times New Roman"/>
          <w:sz w:val="22"/>
          <w:szCs w:val="22"/>
        </w:rPr>
        <w:t>lagani</w:t>
      </w:r>
      <w:r w:rsidRPr="00155F80">
        <w:rPr>
          <w:rFonts w:ascii="Times New Roman" w:hAnsi="Times New Roman" w:cs="Times New Roman"/>
          <w:sz w:val="22"/>
          <w:szCs w:val="22"/>
        </w:rPr>
        <w:t xml:space="preserve"> rast </w:t>
      </w:r>
      <w:r w:rsidR="003C79F2">
        <w:rPr>
          <w:rFonts w:ascii="Times New Roman" w:hAnsi="Times New Roman" w:cs="Times New Roman"/>
          <w:sz w:val="22"/>
          <w:szCs w:val="22"/>
        </w:rPr>
        <w:t>u p</w:t>
      </w:r>
      <w:r w:rsidR="00A342B4">
        <w:rPr>
          <w:rFonts w:ascii="Times New Roman" w:hAnsi="Times New Roman" w:cs="Times New Roman"/>
          <w:sz w:val="22"/>
          <w:szCs w:val="22"/>
        </w:rPr>
        <w:t>r</w:t>
      </w:r>
      <w:r w:rsidR="003C79F2">
        <w:rPr>
          <w:rFonts w:ascii="Times New Roman" w:hAnsi="Times New Roman" w:cs="Times New Roman"/>
          <w:sz w:val="22"/>
          <w:szCs w:val="22"/>
        </w:rPr>
        <w:t xml:space="preserve">omatranom </w:t>
      </w:r>
      <w:r w:rsidR="00F70FD4">
        <w:rPr>
          <w:rFonts w:ascii="Times New Roman" w:hAnsi="Times New Roman" w:cs="Times New Roman"/>
          <w:sz w:val="22"/>
          <w:szCs w:val="22"/>
        </w:rPr>
        <w:t>periodu</w:t>
      </w:r>
      <w:r w:rsidR="003C79F2">
        <w:rPr>
          <w:rFonts w:ascii="Times New Roman" w:hAnsi="Times New Roman" w:cs="Times New Roman"/>
          <w:sz w:val="22"/>
          <w:szCs w:val="22"/>
        </w:rPr>
        <w:t>.</w:t>
      </w:r>
    </w:p>
    <w:p w:rsidR="000C0138" w:rsidRPr="00155F80" w:rsidRDefault="000C0138" w:rsidP="000C0138">
      <w:pPr>
        <w:pStyle w:val="Default"/>
        <w:spacing w:line="276" w:lineRule="auto"/>
        <w:jc w:val="both"/>
        <w:rPr>
          <w:rFonts w:ascii="Times New Roman" w:hAnsi="Times New Roman" w:cs="Times New Roman"/>
          <w:sz w:val="22"/>
          <w:szCs w:val="22"/>
          <w:u w:val="single"/>
        </w:rPr>
      </w:pPr>
    </w:p>
    <w:p w:rsidR="00B25A26" w:rsidRPr="004134C0" w:rsidRDefault="00A131AD" w:rsidP="00EB7CC7">
      <w:pPr>
        <w:pStyle w:val="refererere"/>
        <w:rPr>
          <w:iCs/>
        </w:rPr>
      </w:pPr>
      <w:r w:rsidRPr="00155F80">
        <w:rPr>
          <w:iCs/>
        </w:rPr>
        <w:t xml:space="preserve">Grafikon 11: </w:t>
      </w:r>
      <w:r w:rsidRPr="00155F80">
        <w:t xml:space="preserve">SDR za </w:t>
      </w:r>
      <w:r w:rsidR="004134C0">
        <w:t xml:space="preserve">kardiovaskularne bolesti, maligne neoplazme, dijabetes i </w:t>
      </w:r>
      <w:r w:rsidR="00F70FD4">
        <w:t>hronične</w:t>
      </w:r>
      <w:r w:rsidR="004134C0">
        <w:t xml:space="preserve"> respiratorne bolesti </w:t>
      </w:r>
      <w:r w:rsidRPr="00155F80">
        <w:t xml:space="preserve"> u Federaciji BiH, za </w:t>
      </w:r>
      <w:r w:rsidR="00F70FD4">
        <w:t>period</w:t>
      </w:r>
      <w:r w:rsidRPr="00155F80">
        <w:t xml:space="preserve"> </w:t>
      </w:r>
      <w:r w:rsidRPr="00155F80">
        <w:rPr>
          <w:iCs/>
        </w:rPr>
        <w:t>2010</w:t>
      </w:r>
      <w:r w:rsidRPr="00155F80">
        <w:rPr>
          <w:rFonts w:ascii="Cambria Math" w:hAnsi="Cambria Math" w:cs="Cambria Math"/>
        </w:rPr>
        <w:t>‐</w:t>
      </w:r>
      <w:r w:rsidRPr="00155F80">
        <w:t xml:space="preserve"> </w:t>
      </w:r>
      <w:r w:rsidRPr="00155F80">
        <w:rPr>
          <w:iCs/>
        </w:rPr>
        <w:t>2015. godina</w:t>
      </w:r>
      <w:r w:rsidR="004134C0">
        <w:rPr>
          <w:iCs/>
        </w:rPr>
        <w:t>, stopa na 100.000 stanovnika</w:t>
      </w: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noProof/>
          <w:sz w:val="22"/>
          <w:szCs w:val="22"/>
          <w:u w:val="single"/>
          <w:lang w:val="en-GB" w:eastAsia="en-GB"/>
        </w:rPr>
        <w:drawing>
          <wp:inline distT="0" distB="0" distL="0" distR="0" wp14:anchorId="1A732331" wp14:editId="4E19C44D">
            <wp:extent cx="5702935" cy="1838325"/>
            <wp:effectExtent l="0" t="0" r="12065" b="9525"/>
            <wp:docPr id="5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A7D25" w:rsidRDefault="00AA7D25" w:rsidP="000C0138">
      <w:pPr>
        <w:pStyle w:val="Default"/>
        <w:spacing w:line="276" w:lineRule="auto"/>
        <w:jc w:val="both"/>
        <w:rPr>
          <w:rFonts w:ascii="Times New Roman" w:hAnsi="Times New Roman" w:cs="Times New Roman"/>
          <w:sz w:val="22"/>
          <w:szCs w:val="22"/>
        </w:rPr>
      </w:pPr>
    </w:p>
    <w:p w:rsidR="00AA7D25" w:rsidRPr="00250204" w:rsidRDefault="000A3A46" w:rsidP="00AA7D25">
      <w:pPr>
        <w:rPr>
          <w:rFonts w:ascii="Times New Roman" w:hAnsi="Times New Roman"/>
          <w:lang w:val="bs-Latn-BA"/>
        </w:rPr>
      </w:pPr>
      <w:r>
        <w:rPr>
          <w:rFonts w:ascii="Times New Roman" w:hAnsi="Times New Roman"/>
        </w:rPr>
        <w:t>Standardizovana</w:t>
      </w:r>
      <w:r w:rsidR="004809B6" w:rsidRPr="00250204">
        <w:rPr>
          <w:rFonts w:ascii="Times New Roman" w:hAnsi="Times New Roman"/>
        </w:rPr>
        <w:t xml:space="preserve"> stopa</w:t>
      </w:r>
      <w:r w:rsidR="00250204" w:rsidRPr="00250204">
        <w:rPr>
          <w:rFonts w:ascii="Times New Roman" w:hAnsi="Times New Roman"/>
        </w:rPr>
        <w:t xml:space="preserve"> mortaliteta </w:t>
      </w:r>
      <w:r w:rsidR="00A342B4">
        <w:rPr>
          <w:rFonts w:ascii="Times New Roman" w:hAnsi="Times New Roman"/>
        </w:rPr>
        <w:t>eu</w:t>
      </w:r>
      <w:r w:rsidR="00250204" w:rsidRPr="00250204">
        <w:rPr>
          <w:rFonts w:ascii="Times New Roman" w:hAnsi="Times New Roman"/>
        </w:rPr>
        <w:t>ropsk</w:t>
      </w:r>
      <w:r w:rsidR="00A342B4">
        <w:rPr>
          <w:rFonts w:ascii="Times New Roman" w:hAnsi="Times New Roman"/>
        </w:rPr>
        <w:t>e</w:t>
      </w:r>
      <w:r w:rsidR="00AA7D25" w:rsidRPr="00250204">
        <w:rPr>
          <w:rFonts w:ascii="Times New Roman" w:hAnsi="Times New Roman"/>
        </w:rPr>
        <w:t xml:space="preserve"> regi</w:t>
      </w:r>
      <w:r w:rsidR="00A342B4">
        <w:rPr>
          <w:rFonts w:ascii="Times New Roman" w:hAnsi="Times New Roman"/>
        </w:rPr>
        <w:t>je</w:t>
      </w:r>
      <w:r w:rsidR="00AA7D25" w:rsidRPr="00250204">
        <w:rPr>
          <w:rFonts w:ascii="Times New Roman" w:hAnsi="Times New Roman"/>
        </w:rPr>
        <w:t xml:space="preserve"> (prosjek) od kardiovaskularnih bolesti ima vrijednost od 339,99/100.000 stanovnika </w:t>
      </w:r>
      <w:r w:rsidR="004809B6" w:rsidRPr="00250204">
        <w:rPr>
          <w:rFonts w:ascii="Times New Roman" w:hAnsi="Times New Roman"/>
        </w:rPr>
        <w:t>i</w:t>
      </w:r>
      <w:r w:rsidR="00AA7D25" w:rsidRPr="00250204">
        <w:rPr>
          <w:rFonts w:ascii="Times New Roman" w:hAnsi="Times New Roman"/>
        </w:rPr>
        <w:t xml:space="preserve"> niža </w:t>
      </w:r>
      <w:r w:rsidR="004809B6" w:rsidRPr="00250204">
        <w:rPr>
          <w:rFonts w:ascii="Times New Roman" w:hAnsi="Times New Roman"/>
        </w:rPr>
        <w:t xml:space="preserve">je </w:t>
      </w:r>
      <w:r w:rsidR="00AA7D25" w:rsidRPr="00250204">
        <w:rPr>
          <w:rFonts w:ascii="Times New Roman" w:hAnsi="Times New Roman"/>
        </w:rPr>
        <w:t xml:space="preserve">nego u Federaciji BiH, za maligne neoplazme </w:t>
      </w:r>
      <w:r w:rsidR="004809B6" w:rsidRPr="00250204">
        <w:rPr>
          <w:rFonts w:ascii="Times New Roman" w:hAnsi="Times New Roman"/>
        </w:rPr>
        <w:t xml:space="preserve">iznosi 156,51/100.000 i slična je kao u Federaciji BiH, za </w:t>
      </w:r>
      <w:r w:rsidR="00AA7D25" w:rsidRPr="00250204">
        <w:rPr>
          <w:rFonts w:ascii="Times New Roman" w:hAnsi="Times New Roman"/>
        </w:rPr>
        <w:t>dijabetes melitus</w:t>
      </w:r>
      <w:r w:rsidR="004809B6" w:rsidRPr="00250204">
        <w:rPr>
          <w:rFonts w:ascii="Times New Roman" w:hAnsi="Times New Roman"/>
        </w:rPr>
        <w:t xml:space="preserve">ima vrijednost od </w:t>
      </w:r>
      <w:r w:rsidR="00AA7D25" w:rsidRPr="00250204">
        <w:rPr>
          <w:rFonts w:ascii="Times New Roman" w:hAnsi="Times New Roman"/>
        </w:rPr>
        <w:t>12,91</w:t>
      </w:r>
      <w:r w:rsidR="004809B6" w:rsidRPr="00250204">
        <w:rPr>
          <w:rFonts w:ascii="Times New Roman" w:hAnsi="Times New Roman"/>
        </w:rPr>
        <w:t xml:space="preserve">/100.000 i mnogo je niža nego u Federaciji BiH, dok za </w:t>
      </w:r>
      <w:r w:rsidR="00F70FD4">
        <w:rPr>
          <w:rFonts w:ascii="Times New Roman" w:hAnsi="Times New Roman"/>
        </w:rPr>
        <w:t>hronične</w:t>
      </w:r>
      <w:r w:rsidR="004809B6" w:rsidRPr="00250204">
        <w:rPr>
          <w:rFonts w:ascii="Times New Roman" w:hAnsi="Times New Roman"/>
        </w:rPr>
        <w:t xml:space="preserve"> </w:t>
      </w:r>
      <w:r w:rsidR="00AA7D25" w:rsidRPr="00250204">
        <w:rPr>
          <w:rFonts w:ascii="Times New Roman" w:hAnsi="Times New Roman"/>
        </w:rPr>
        <w:t xml:space="preserve"> </w:t>
      </w:r>
      <w:r w:rsidR="004809B6" w:rsidRPr="00250204">
        <w:rPr>
          <w:rFonts w:ascii="Times New Roman" w:hAnsi="Times New Roman"/>
        </w:rPr>
        <w:t>respiratorne bolesti  iznosi 45,16/100.000 i značajno je vi</w:t>
      </w:r>
      <w:r w:rsidR="00A342B4">
        <w:rPr>
          <w:rFonts w:ascii="Times New Roman" w:hAnsi="Times New Roman"/>
        </w:rPr>
        <w:t>š</w:t>
      </w:r>
      <w:r w:rsidR="004809B6" w:rsidRPr="00250204">
        <w:rPr>
          <w:rFonts w:ascii="Times New Roman" w:hAnsi="Times New Roman"/>
        </w:rPr>
        <w:t>a nego u Federaciji BiH.</w:t>
      </w:r>
    </w:p>
    <w:p w:rsidR="00AA7D25" w:rsidRDefault="00AA7D25"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Vodeći uzroci smrti stanovništva Federacije Bosne i Hercegovine, ako </w:t>
      </w:r>
      <w:r w:rsidR="00A342B4">
        <w:rPr>
          <w:rFonts w:ascii="Times New Roman" w:hAnsi="Times New Roman" w:cs="Times New Roman"/>
          <w:sz w:val="22"/>
          <w:szCs w:val="22"/>
        </w:rPr>
        <w:t>us</w:t>
      </w:r>
      <w:r w:rsidRPr="00155F80">
        <w:rPr>
          <w:rFonts w:ascii="Times New Roman" w:hAnsi="Times New Roman" w:cs="Times New Roman"/>
          <w:sz w:val="22"/>
          <w:szCs w:val="22"/>
        </w:rPr>
        <w:t>poredimo 2010. i 2015. godinu su</w:t>
      </w:r>
      <w:r w:rsidR="00AC6D5D">
        <w:rPr>
          <w:rFonts w:ascii="Times New Roman" w:hAnsi="Times New Roman" w:cs="Times New Roman"/>
          <w:sz w:val="22"/>
          <w:szCs w:val="22"/>
        </w:rPr>
        <w:t xml:space="preserve"> moždani udar (I63) sa stopom</w:t>
      </w:r>
      <w:r w:rsidRPr="00155F80">
        <w:rPr>
          <w:rFonts w:ascii="Times New Roman" w:hAnsi="Times New Roman" w:cs="Times New Roman"/>
          <w:sz w:val="22"/>
          <w:szCs w:val="22"/>
        </w:rPr>
        <w:t xml:space="preserve"> od 93,4</w:t>
      </w:r>
      <w:r w:rsidR="00AC6D5D">
        <w:rPr>
          <w:rFonts w:ascii="Times New Roman" w:hAnsi="Times New Roman" w:cs="Times New Roman"/>
          <w:sz w:val="22"/>
          <w:szCs w:val="22"/>
        </w:rPr>
        <w:t>/</w:t>
      </w:r>
      <w:r w:rsidR="00AC6D5D" w:rsidRPr="00155F80">
        <w:rPr>
          <w:rFonts w:ascii="Times New Roman" w:hAnsi="Times New Roman" w:cs="Times New Roman"/>
          <w:sz w:val="22"/>
          <w:szCs w:val="22"/>
        </w:rPr>
        <w:t xml:space="preserve">100.000 stanovnika </w:t>
      </w:r>
      <w:r w:rsidRPr="00155F80">
        <w:rPr>
          <w:rFonts w:ascii="Times New Roman" w:hAnsi="Times New Roman" w:cs="Times New Roman"/>
          <w:sz w:val="22"/>
          <w:szCs w:val="22"/>
        </w:rPr>
        <w:t>koja bilježi blagi rast u odnosu na 2010. kada je iznosila 89,9</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slijedi akutni infarkt miokarda (I21) 89,5</w:t>
      </w:r>
      <w:r w:rsidR="00AC6D5D">
        <w:rPr>
          <w:rFonts w:ascii="Times New Roman" w:hAnsi="Times New Roman" w:cs="Times New Roman"/>
          <w:sz w:val="22"/>
          <w:szCs w:val="22"/>
        </w:rPr>
        <w:t>/</w:t>
      </w:r>
      <w:r w:rsidR="00AC6D5D" w:rsidRPr="00155F80">
        <w:rPr>
          <w:rFonts w:ascii="Times New Roman" w:hAnsi="Times New Roman" w:cs="Times New Roman"/>
          <w:sz w:val="22"/>
          <w:szCs w:val="22"/>
        </w:rPr>
        <w:t xml:space="preserve">100.000 </w:t>
      </w:r>
      <w:r w:rsidRPr="00155F80">
        <w:rPr>
          <w:rFonts w:ascii="Times New Roman" w:hAnsi="Times New Roman" w:cs="Times New Roman"/>
          <w:sz w:val="22"/>
          <w:szCs w:val="22"/>
        </w:rPr>
        <w:t xml:space="preserve"> koji bilježi rast u odnosu na 2010. </w:t>
      </w:r>
      <w:r w:rsidR="00AC6D5D">
        <w:rPr>
          <w:rFonts w:ascii="Times New Roman" w:hAnsi="Times New Roman" w:cs="Times New Roman"/>
          <w:sz w:val="22"/>
          <w:szCs w:val="22"/>
        </w:rPr>
        <w:t xml:space="preserve">godinu </w:t>
      </w:r>
      <w:r w:rsidRPr="00155F80">
        <w:rPr>
          <w:rFonts w:ascii="Times New Roman" w:hAnsi="Times New Roman" w:cs="Times New Roman"/>
          <w:sz w:val="22"/>
          <w:szCs w:val="22"/>
        </w:rPr>
        <w:t xml:space="preserve">kada je stopa na 100.000 stanovnika bila 69,2.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Kao treći vodeći uzrok smrti u</w:t>
      </w:r>
      <w:r w:rsidR="00311B9D" w:rsidRPr="00155F80">
        <w:rPr>
          <w:rFonts w:ascii="Times New Roman" w:hAnsi="Times New Roman" w:cs="Times New Roman"/>
          <w:sz w:val="22"/>
          <w:szCs w:val="22"/>
        </w:rPr>
        <w:t xml:space="preserve"> 2015. godini evidentira se srča</w:t>
      </w:r>
      <w:r w:rsidRPr="00155F80">
        <w:rPr>
          <w:rFonts w:ascii="Times New Roman" w:hAnsi="Times New Roman" w:cs="Times New Roman"/>
          <w:sz w:val="22"/>
          <w:szCs w:val="22"/>
        </w:rPr>
        <w:t>ni zastoj (I46) 69,8</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što je blago smanjenje u odnosu na 2010. godinu kada je stopa iznosila 75,7</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kardiomiopatija (I42) je četvrti vodeći uzrok smrti u 2015. godini sa stopom 64,0</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a esencijalna hipertenzija (I10) je evidentirana kao peti najčešći uzrok umiranja u Federaciji BiH u 2015. godini. Ovo se može povezati sa životnim navikama stanovništva.</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rPr>
          <w:lang w:eastAsia="bs-Latn-BA"/>
        </w:rPr>
      </w:pPr>
      <w:r w:rsidRPr="00155F80">
        <w:rPr>
          <w:iCs/>
        </w:rPr>
        <w:t>Grafikon 12:</w:t>
      </w:r>
      <w:r w:rsidR="00B25A26">
        <w:rPr>
          <w:iCs/>
        </w:rPr>
        <w:t xml:space="preserve"> </w:t>
      </w:r>
      <w:r w:rsidRPr="00155F80">
        <w:rPr>
          <w:lang w:eastAsia="bs-Latn-BA"/>
        </w:rPr>
        <w:t xml:space="preserve">Pet vodećih oboljenja kao uzroci smrti u Federaciji BiH, </w:t>
      </w:r>
      <w:r w:rsidRPr="00155F80">
        <w:rPr>
          <w:iCs/>
        </w:rPr>
        <w:t>2010.</w:t>
      </w:r>
      <w:r w:rsidRPr="00155F80">
        <w:rPr>
          <w:rFonts w:ascii="Cambria Math" w:hAnsi="Cambria Math" w:cs="Cambria Math"/>
        </w:rPr>
        <w:t>i</w:t>
      </w:r>
      <w:r w:rsidRPr="00155F80">
        <w:t xml:space="preserve"> </w:t>
      </w:r>
      <w:r w:rsidRPr="00155F80">
        <w:rPr>
          <w:iCs/>
        </w:rPr>
        <w:t>2015. godina,</w:t>
      </w:r>
      <w:r w:rsidRPr="00155F80">
        <w:rPr>
          <w:lang w:eastAsia="bs-Latn-BA"/>
        </w:rPr>
        <w:t xml:space="preserve">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D8C8BF9" wp14:editId="23E2ACAB">
            <wp:extent cx="5871210" cy="1905000"/>
            <wp:effectExtent l="0" t="0" r="1524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1911A6" w:rsidP="000C0138">
      <w:pPr>
        <w:pStyle w:val="Poglavlje3"/>
        <w:spacing w:line="276" w:lineRule="auto"/>
        <w:rPr>
          <w:i w:val="0"/>
        </w:rPr>
      </w:pPr>
      <w:bookmarkStart w:id="22" w:name="_Toc460929189"/>
      <w:r w:rsidRPr="00155F80">
        <w:rPr>
          <w:i w:val="0"/>
        </w:rPr>
        <w:t xml:space="preserve">3.1.2 </w:t>
      </w:r>
      <w:r w:rsidR="00A131AD" w:rsidRPr="00155F80">
        <w:rPr>
          <w:i w:val="0"/>
        </w:rPr>
        <w:t>Specifični mortalitet</w:t>
      </w:r>
      <w:bookmarkEnd w:id="22"/>
      <w:r w:rsidR="00A131AD" w:rsidRPr="00155F80">
        <w:rPr>
          <w:i w:val="0"/>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Vodeći uzroci smrti kod žena u </w:t>
      </w:r>
      <w:r w:rsidR="00F70FD4">
        <w:rPr>
          <w:rFonts w:ascii="Times New Roman" w:hAnsi="Times New Roman" w:cs="Times New Roman"/>
          <w:sz w:val="22"/>
          <w:szCs w:val="22"/>
        </w:rPr>
        <w:t>periodu</w:t>
      </w:r>
      <w:r w:rsidR="008A17BF">
        <w:rPr>
          <w:rFonts w:ascii="Times New Roman" w:hAnsi="Times New Roman" w:cs="Times New Roman"/>
          <w:sz w:val="22"/>
          <w:szCs w:val="22"/>
        </w:rPr>
        <w:t xml:space="preserve"> </w:t>
      </w:r>
      <w:r w:rsidRPr="00155F80">
        <w:rPr>
          <w:rFonts w:ascii="Times New Roman" w:hAnsi="Times New Roman" w:cs="Times New Roman"/>
          <w:sz w:val="22"/>
          <w:szCs w:val="22"/>
        </w:rPr>
        <w:t xml:space="preserve">od 2010. </w:t>
      </w:r>
      <w:r w:rsidR="008A17BF">
        <w:rPr>
          <w:rFonts w:ascii="Cambria Math" w:hAnsi="Cambria Math" w:cs="Cambria Math"/>
          <w:sz w:val="22"/>
          <w:szCs w:val="22"/>
        </w:rPr>
        <w:t>do</w:t>
      </w:r>
      <w:r w:rsidRPr="00155F80">
        <w:rPr>
          <w:rFonts w:ascii="Times New Roman" w:hAnsi="Times New Roman" w:cs="Times New Roman"/>
          <w:sz w:val="22"/>
          <w:szCs w:val="22"/>
        </w:rPr>
        <w:t xml:space="preserve"> 2015. godine su bili moždani udar (I63) koji je 2015. imao stopu od 105,8/100.000 koji bilježi trend rasta u odnosu na 2010. godinu kada je iznosila 96,1/100.000, slijedi kardiomiopatija (I42)</w:t>
      </w:r>
      <w:r w:rsidR="00333951">
        <w:rPr>
          <w:rFonts w:ascii="Times New Roman" w:hAnsi="Times New Roman" w:cs="Times New Roman"/>
          <w:sz w:val="22"/>
          <w:szCs w:val="22"/>
        </w:rPr>
        <w:t xml:space="preserve"> </w:t>
      </w:r>
      <w:r w:rsidRPr="00155F80">
        <w:rPr>
          <w:rFonts w:ascii="Times New Roman" w:hAnsi="Times New Roman" w:cs="Times New Roman"/>
          <w:sz w:val="22"/>
          <w:szCs w:val="22"/>
        </w:rPr>
        <w:t>sa stopom 75,1/100.000 što predstavlja smanjenje u odnosu na 2010. godinu kada je stopa iznosila 85,5/100.000.</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Akutni infarkt miokarda (I21) je treći najčešći uzrok smrti kod žena sa stopom 75,0/100.000, što je značajan rast u odnosu na 2010.</w:t>
      </w:r>
      <w:r w:rsidR="00333951">
        <w:rPr>
          <w:rFonts w:ascii="Times New Roman" w:hAnsi="Times New Roman" w:cs="Times New Roman"/>
          <w:sz w:val="22"/>
          <w:szCs w:val="22"/>
        </w:rPr>
        <w:t xml:space="preserve"> godinu, kada</w:t>
      </w:r>
      <w:r w:rsidRPr="00155F80">
        <w:rPr>
          <w:rFonts w:ascii="Times New Roman" w:hAnsi="Times New Roman" w:cs="Times New Roman"/>
          <w:sz w:val="22"/>
          <w:szCs w:val="22"/>
        </w:rPr>
        <w:t xml:space="preserve"> je stopa umiranja od infarkta među ženama bila 55,7/100.000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Srčani zastoj (I46) je na četvrtom mjestu vodećih uzroka smrti kod žena u Federaciji BiH u 2015. godini 74,1/100.000, što je smanjanje kada </w:t>
      </w:r>
      <w:r w:rsidR="008A17BF">
        <w:rPr>
          <w:rFonts w:ascii="Times New Roman" w:hAnsi="Times New Roman" w:cs="Times New Roman"/>
          <w:sz w:val="22"/>
          <w:szCs w:val="22"/>
        </w:rPr>
        <w:t>us</w:t>
      </w:r>
      <w:r w:rsidRPr="00155F80">
        <w:rPr>
          <w:rFonts w:ascii="Times New Roman" w:hAnsi="Times New Roman" w:cs="Times New Roman"/>
          <w:sz w:val="22"/>
          <w:szCs w:val="22"/>
        </w:rPr>
        <w:t>poredimo sa 2010. godinom u kojoj je stopa bila 82,0/100.000.</w:t>
      </w:r>
    </w:p>
    <w:p w:rsidR="00A131AD" w:rsidRPr="00155F80" w:rsidRDefault="00A131AD" w:rsidP="000C0138">
      <w:pPr>
        <w:spacing w:line="276" w:lineRule="auto"/>
        <w:rPr>
          <w:rFonts w:ascii="Times New Roman" w:hAnsi="Times New Roman"/>
          <w:color w:val="000000"/>
          <w:lang w:eastAsia="bs-Latn-BA"/>
        </w:rPr>
      </w:pPr>
      <w:r w:rsidRPr="00155F80">
        <w:rPr>
          <w:rFonts w:ascii="Times New Roman" w:hAnsi="Times New Roman"/>
        </w:rPr>
        <w:t xml:space="preserve">Peti najčešći uzrok smrti kod žena u 2015. godini bila je esencijalna hipertenzija (I10) sa stopom 55,1/100.000 stanovnika, dok je u 2010. godini na tom mjestu bio </w:t>
      </w:r>
      <w:r w:rsidRPr="00155F80">
        <w:rPr>
          <w:rFonts w:ascii="Times New Roman" w:hAnsi="Times New Roman"/>
          <w:color w:val="000000"/>
          <w:lang w:eastAsia="bs-Latn-BA"/>
        </w:rPr>
        <w:t>in</w:t>
      </w:r>
      <w:r w:rsidR="008A17BF">
        <w:rPr>
          <w:rFonts w:ascii="Times New Roman" w:hAnsi="Times New Roman"/>
          <w:color w:val="000000"/>
          <w:lang w:eastAsia="bs-Latn-BA"/>
        </w:rPr>
        <w:t>z</w:t>
      </w:r>
      <w:r w:rsidRPr="00155F80">
        <w:rPr>
          <w:rFonts w:ascii="Times New Roman" w:hAnsi="Times New Roman"/>
          <w:color w:val="000000"/>
          <w:lang w:eastAsia="bs-Latn-BA"/>
        </w:rPr>
        <w:t>ulin-ovisni diabetes mellitus (E10) sa 34,1/100.000 stanovnika.</w:t>
      </w:r>
    </w:p>
    <w:p w:rsidR="009A5B2B" w:rsidRPr="00155F80" w:rsidRDefault="009A5B2B" w:rsidP="000C0138">
      <w:pPr>
        <w:spacing w:line="276" w:lineRule="auto"/>
        <w:rPr>
          <w:rFonts w:ascii="Times New Roman" w:hAnsi="Times New Roman"/>
          <w:color w:val="000000"/>
          <w:lang w:eastAsia="bs-Latn-BA"/>
        </w:rPr>
      </w:pPr>
    </w:p>
    <w:p w:rsidR="00617E74" w:rsidRDefault="00617E74" w:rsidP="00EB7CC7">
      <w:pPr>
        <w:pStyle w:val="refererere"/>
      </w:pPr>
    </w:p>
    <w:p w:rsidR="00617E74" w:rsidRDefault="00617E74" w:rsidP="00EB7CC7">
      <w:pPr>
        <w:pStyle w:val="refererere"/>
      </w:pPr>
    </w:p>
    <w:p w:rsidR="00617E74" w:rsidRDefault="00617E74" w:rsidP="00EB7CC7">
      <w:pPr>
        <w:pStyle w:val="refererere"/>
      </w:pPr>
    </w:p>
    <w:p w:rsidR="00A131AD" w:rsidRPr="00155F80" w:rsidRDefault="00A131AD" w:rsidP="00EB7CC7">
      <w:pPr>
        <w:pStyle w:val="refererere"/>
      </w:pPr>
      <w:r w:rsidRPr="00155F80">
        <w:t xml:space="preserve">Grafikon 13: Pet vodećih oboljenja kao uzroci smrti kod žena u Federaciji BiH, 2010. </w:t>
      </w:r>
      <w:r w:rsidRPr="00155F80">
        <w:rPr>
          <w:rFonts w:ascii="Cambria Math" w:hAnsi="Cambria Math" w:cs="Cambria Math"/>
        </w:rPr>
        <w:t xml:space="preserve">i </w:t>
      </w:r>
      <w:r w:rsidRPr="00155F80">
        <w:t>2015.godina,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A06F476" wp14:editId="07DD32A1">
            <wp:extent cx="5857875" cy="1743075"/>
            <wp:effectExtent l="0" t="0" r="9525" b="9525"/>
            <wp:docPr id="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U 2015. godini muškaraci su najčešće umirali od akutnog infarkta miokarda (I21) stopa 104,3/100.000 koji bilježi značajan rast u odnosu 2010. godinu, kada je stopa bila 83,3/100.000, potom od moždanog udara (I63) sa stopom od 66,3/100.000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Treće oboljenje od kojeg su najviše umirali muškarci u Federaciji BiH su maligne neoplazme bronha i pluća (C34) sa stopom od 66,3/100.000 što predstavlja smanjenje u </w:t>
      </w:r>
      <w:r w:rsidR="008A17BF">
        <w:rPr>
          <w:rFonts w:ascii="Times New Roman" w:hAnsi="Times New Roman" w:cs="Times New Roman"/>
          <w:sz w:val="22"/>
          <w:szCs w:val="22"/>
        </w:rPr>
        <w:t>us</w:t>
      </w:r>
      <w:r w:rsidRPr="00155F80">
        <w:rPr>
          <w:rFonts w:ascii="Times New Roman" w:hAnsi="Times New Roman" w:cs="Times New Roman"/>
          <w:sz w:val="22"/>
          <w:szCs w:val="22"/>
        </w:rPr>
        <w:t>pore</w:t>
      </w:r>
      <w:r w:rsidR="008A17BF">
        <w:rPr>
          <w:rFonts w:ascii="Times New Roman" w:hAnsi="Times New Roman" w:cs="Times New Roman"/>
          <w:sz w:val="22"/>
          <w:szCs w:val="22"/>
        </w:rPr>
        <w:t>dbi</w:t>
      </w:r>
      <w:r w:rsidRPr="00155F80">
        <w:rPr>
          <w:rFonts w:ascii="Times New Roman" w:hAnsi="Times New Roman" w:cs="Times New Roman"/>
          <w:sz w:val="22"/>
          <w:szCs w:val="22"/>
        </w:rPr>
        <w:t xml:space="preserve"> sa 2010. godinom kada je stopa umiranja bila 70,0/100.000.</w:t>
      </w:r>
    </w:p>
    <w:p w:rsidR="006D22D7" w:rsidRDefault="00A131AD" w:rsidP="00FB3114">
      <w:pPr>
        <w:pStyle w:val="Default"/>
        <w:spacing w:line="276" w:lineRule="auto"/>
        <w:jc w:val="both"/>
        <w:rPr>
          <w:rFonts w:ascii="Times New Roman" w:hAnsi="Times New Roman"/>
          <w:iCs/>
        </w:rPr>
      </w:pPr>
      <w:r w:rsidRPr="00155F80">
        <w:rPr>
          <w:rFonts w:ascii="Times New Roman" w:hAnsi="Times New Roman" w:cs="Times New Roman"/>
          <w:sz w:val="22"/>
          <w:szCs w:val="22"/>
        </w:rPr>
        <w:t xml:space="preserve">Slijedi srčani zastoj (I46) sa stopom od 65,4/100.000, i predstavlja blago smanjenje u odnosu na 2010. godinu kada je stopa bila 69,1/100.000 stanovnika. Kao peti najčešći uzrok umiranja muškaraca bilježi se kardiomiopatija (I42) sa stopom od 52,8/100.000 i znatno je manja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 </w:t>
      </w:r>
      <w:r w:rsidR="00333951">
        <w:rPr>
          <w:rFonts w:ascii="Times New Roman" w:hAnsi="Times New Roman" w:cs="Times New Roman"/>
          <w:sz w:val="22"/>
          <w:szCs w:val="22"/>
        </w:rPr>
        <w:t xml:space="preserve">godinom, </w:t>
      </w:r>
      <w:r w:rsidRPr="00155F80">
        <w:rPr>
          <w:rFonts w:ascii="Times New Roman" w:hAnsi="Times New Roman" w:cs="Times New Roman"/>
          <w:sz w:val="22"/>
          <w:szCs w:val="22"/>
        </w:rPr>
        <w:t>kada je stopa smrtnosti bila 71,6/100.000 stanovnika</w:t>
      </w:r>
      <w:r w:rsidR="00333951">
        <w:rPr>
          <w:rFonts w:ascii="Times New Roman" w:hAnsi="Times New Roman" w:cs="Times New Roman"/>
          <w:sz w:val="22"/>
          <w:szCs w:val="22"/>
        </w:rPr>
        <w:t>.</w:t>
      </w:r>
    </w:p>
    <w:p w:rsidR="000C0138" w:rsidRPr="00155F80" w:rsidRDefault="000C0138" w:rsidP="000C0138">
      <w:pPr>
        <w:pStyle w:val="Default"/>
        <w:spacing w:line="276" w:lineRule="auto"/>
        <w:jc w:val="both"/>
        <w:rPr>
          <w:rFonts w:ascii="Times New Roman" w:hAnsi="Times New Roman" w:cs="Times New Roman"/>
          <w:iCs/>
          <w:sz w:val="22"/>
          <w:szCs w:val="22"/>
        </w:rPr>
      </w:pPr>
    </w:p>
    <w:p w:rsidR="00A131AD" w:rsidRPr="00155F80" w:rsidRDefault="00A131AD" w:rsidP="00EB7CC7">
      <w:pPr>
        <w:pStyle w:val="refererere"/>
      </w:pPr>
      <w:r w:rsidRPr="00155F80">
        <w:t>Grafikon 14: Pet vodećih oboljenja kao uzroci smrti kod muškaraca u Federaciji BiH, 2010. i 2015. godina, stopa na 100.000 stanovnika</w:t>
      </w:r>
    </w:p>
    <w:p w:rsidR="00A131AD" w:rsidRPr="00B25A26"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BEC0335" wp14:editId="3843F55A">
            <wp:extent cx="5791200" cy="1724025"/>
            <wp:effectExtent l="0" t="0" r="0" b="9525"/>
            <wp:docPr id="6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t xml:space="preserve">Mortalitet od kardiovaskularnih oboljenja (KVO)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Ova grupa oboljenja je najzastupljenija u ukupnom mortalitetu (2010. godine sa 53,8%, kao i 2015. godine također 53,8% udjela). Među ovim oboljenjima dominiraju ishemi</w:t>
      </w:r>
      <w:r w:rsidR="008A17BF">
        <w:rPr>
          <w:rFonts w:ascii="Times New Roman" w:hAnsi="Times New Roman" w:cs="Times New Roman"/>
          <w:sz w:val="22"/>
          <w:szCs w:val="22"/>
        </w:rPr>
        <w:t>jska</w:t>
      </w:r>
      <w:r w:rsidRPr="00155F80">
        <w:rPr>
          <w:rFonts w:ascii="Times New Roman" w:hAnsi="Times New Roman" w:cs="Times New Roman"/>
          <w:sz w:val="22"/>
          <w:szCs w:val="22"/>
        </w:rPr>
        <w:t xml:space="preserve"> srčana oboljenja (I20-I25) i cerebrovaskularna oboljenja (I60-I69). </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Prema dijagnozama, pet vodećih uzroka smrti od bolesti srca i krvnih sudova u </w:t>
      </w:r>
      <w:r w:rsidR="00F70FD4">
        <w:rPr>
          <w:rFonts w:ascii="Times New Roman" w:hAnsi="Times New Roman" w:cs="Times New Roman"/>
          <w:sz w:val="22"/>
          <w:szCs w:val="22"/>
        </w:rPr>
        <w:t>periodu</w:t>
      </w:r>
      <w:r w:rsidRPr="00155F80">
        <w:rPr>
          <w:rFonts w:ascii="Times New Roman" w:hAnsi="Times New Roman" w:cs="Times New Roman"/>
          <w:sz w:val="22"/>
          <w:szCs w:val="22"/>
        </w:rPr>
        <w:t xml:space="preserve"> od 2010.</w:t>
      </w:r>
      <w:r w:rsidR="008A17BF">
        <w:rPr>
          <w:rFonts w:ascii="Times New Roman" w:hAnsi="Times New Roman" w:cs="Times New Roman"/>
          <w:sz w:val="22"/>
          <w:szCs w:val="22"/>
        </w:rPr>
        <w:t xml:space="preserve"> do</w:t>
      </w:r>
      <w:r w:rsidRPr="00155F80">
        <w:rPr>
          <w:rFonts w:ascii="Times New Roman" w:hAnsi="Times New Roman" w:cs="Times New Roman"/>
          <w:sz w:val="22"/>
          <w:szCs w:val="22"/>
        </w:rPr>
        <w:t xml:space="preserve"> 2015. godine su moždani udar (I63) koji pokazuje trend rasta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 godinom (2010.-89,9/100.000; 2015.-93,4/100.000), slijedi akutni infar</w:t>
      </w:r>
      <w:r w:rsidR="00AC6D5D">
        <w:rPr>
          <w:rFonts w:ascii="Times New Roman" w:hAnsi="Times New Roman" w:cs="Times New Roman"/>
          <w:sz w:val="22"/>
          <w:szCs w:val="22"/>
        </w:rPr>
        <w:t>kt miokarda (I21) koji je drugo</w:t>
      </w:r>
      <w:r w:rsidRPr="00155F80">
        <w:rPr>
          <w:rFonts w:ascii="Times New Roman" w:hAnsi="Times New Roman" w:cs="Times New Roman"/>
          <w:sz w:val="22"/>
          <w:szCs w:val="22"/>
        </w:rPr>
        <w:t xml:space="preserve">rangirani u 2015. godini sa stopom od 89,5/100.000 što predstavlja značajan rast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w:t>
      </w:r>
      <w:r w:rsidR="00333951">
        <w:rPr>
          <w:rFonts w:ascii="Times New Roman" w:hAnsi="Times New Roman" w:cs="Times New Roman"/>
          <w:sz w:val="22"/>
          <w:szCs w:val="22"/>
        </w:rPr>
        <w:t xml:space="preserve"> godinom,</w:t>
      </w:r>
      <w:r w:rsidRPr="00155F80">
        <w:rPr>
          <w:rFonts w:ascii="Times New Roman" w:hAnsi="Times New Roman" w:cs="Times New Roman"/>
          <w:sz w:val="22"/>
          <w:szCs w:val="22"/>
        </w:rPr>
        <w:t xml:space="preserve"> kada je stopa bila 69,2/100.000.</w:t>
      </w:r>
    </w:p>
    <w:p w:rsidR="00FB3114" w:rsidRPr="00155F80" w:rsidRDefault="00FB3114" w:rsidP="000C0138">
      <w:pPr>
        <w:pStyle w:val="Default"/>
        <w:spacing w:line="276" w:lineRule="auto"/>
        <w:jc w:val="both"/>
        <w:rPr>
          <w:rFonts w:ascii="Times New Roman" w:hAnsi="Times New Roman" w:cs="Times New Roman"/>
          <w:sz w:val="22"/>
          <w:szCs w:val="22"/>
        </w:rPr>
      </w:pPr>
    </w:p>
    <w:p w:rsidR="00A131AD" w:rsidRDefault="00AC6D5D"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Na trećem mjestu u obje p</w:t>
      </w:r>
      <w:r w:rsidR="008A17BF">
        <w:rPr>
          <w:rFonts w:ascii="Times New Roman" w:hAnsi="Times New Roman" w:cs="Times New Roman"/>
          <w:sz w:val="22"/>
          <w:szCs w:val="22"/>
        </w:rPr>
        <w:t>r</w:t>
      </w:r>
      <w:r>
        <w:rPr>
          <w:rFonts w:ascii="Times New Roman" w:hAnsi="Times New Roman" w:cs="Times New Roman"/>
          <w:sz w:val="22"/>
          <w:szCs w:val="22"/>
        </w:rPr>
        <w:t>omatrane godine je bio s</w:t>
      </w:r>
      <w:r w:rsidR="00A131AD" w:rsidRPr="00155F80">
        <w:rPr>
          <w:rFonts w:ascii="Times New Roman" w:hAnsi="Times New Roman" w:cs="Times New Roman"/>
          <w:sz w:val="22"/>
          <w:szCs w:val="22"/>
        </w:rPr>
        <w:t xml:space="preserve">rčani zastoj (I46) sa nešto nižom stopom u 2015. godini (69,8/100.000), kardiomiopatija (I42) je sljedeće KVO od koje je najčešće umiralo stanovništvo Federacije Bosne i Hercegovinei bilježi značajan trend smanjenja u 2015. godini (64,0/100.000) u </w:t>
      </w:r>
      <w:r w:rsidR="008A17BF">
        <w:rPr>
          <w:rFonts w:ascii="Times New Roman" w:hAnsi="Times New Roman" w:cs="Times New Roman"/>
          <w:sz w:val="22"/>
          <w:szCs w:val="22"/>
        </w:rPr>
        <w:t>usporedbi</w:t>
      </w:r>
      <w:r w:rsidR="00A131AD" w:rsidRPr="00155F80">
        <w:rPr>
          <w:rFonts w:ascii="Times New Roman" w:hAnsi="Times New Roman" w:cs="Times New Roman"/>
          <w:sz w:val="22"/>
          <w:szCs w:val="22"/>
        </w:rPr>
        <w:t xml:space="preserve"> sa 2010.</w:t>
      </w:r>
      <w:r w:rsidR="009D23A1">
        <w:rPr>
          <w:rFonts w:ascii="Times New Roman" w:hAnsi="Times New Roman" w:cs="Times New Roman"/>
          <w:sz w:val="22"/>
          <w:szCs w:val="22"/>
        </w:rPr>
        <w:t xml:space="preserve"> godinom,</w:t>
      </w:r>
      <w:r w:rsidR="00A131AD" w:rsidRPr="00155F80">
        <w:rPr>
          <w:rFonts w:ascii="Times New Roman" w:hAnsi="Times New Roman" w:cs="Times New Roman"/>
          <w:sz w:val="22"/>
          <w:szCs w:val="22"/>
        </w:rPr>
        <w:t xml:space="preserve"> kada je stopa bila (78,7/100.000).</w:t>
      </w:r>
    </w:p>
    <w:p w:rsidR="00FB3114" w:rsidRPr="00155F80" w:rsidRDefault="00FB3114"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Peti najčešći uzrok smrti od cirkulatornih oboljenja je esencijalna hipertenzija (I10), koja bilježi trend značajnog povećanja, 2015. godine (45,2/100.000) u odnosu na 2010. godinu (24,5/100.000 stanovnika) na što utječu loše prehrambene navike, pušenje, </w:t>
      </w:r>
      <w:r w:rsidR="008A17BF">
        <w:rPr>
          <w:rFonts w:ascii="Times New Roman" w:hAnsi="Times New Roman" w:cs="Times New Roman"/>
          <w:sz w:val="22"/>
          <w:szCs w:val="22"/>
        </w:rPr>
        <w:t>tjelesna</w:t>
      </w:r>
      <w:r w:rsidRPr="00155F80">
        <w:rPr>
          <w:rFonts w:ascii="Times New Roman" w:hAnsi="Times New Roman" w:cs="Times New Roman"/>
          <w:sz w:val="22"/>
          <w:szCs w:val="22"/>
        </w:rPr>
        <w:t xml:space="preserve"> neaktivnost, itd.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15: Mortalitet od kardiovaskularnih oboljenja u Federaciji BIH, 2010. i 2015. godina, stopa na 100.000</w:t>
      </w:r>
      <w:r w:rsidR="000C0138">
        <w:t xml:space="preserve"> </w:t>
      </w:r>
      <w:r w:rsidRPr="00155F80">
        <w:t>stanovnika</w:t>
      </w:r>
      <w:r w:rsidRPr="00155F80">
        <w:rPr>
          <w:noProof/>
          <w:lang w:eastAsia="en-GB"/>
        </w:rPr>
        <w:drawing>
          <wp:inline distT="0" distB="0" distL="0" distR="0" wp14:anchorId="22284328" wp14:editId="7DA5179D">
            <wp:extent cx="5781675" cy="1685925"/>
            <wp:effectExtent l="0" t="0" r="9525" b="9525"/>
            <wp:docPr id="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9A5B2B" w:rsidRPr="00AC6D5D" w:rsidRDefault="00AC6D5D" w:rsidP="007A7E4A">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U</w:t>
      </w:r>
      <w:r w:rsidR="00A131AD" w:rsidRPr="00155F80">
        <w:rPr>
          <w:rFonts w:ascii="Times New Roman" w:hAnsi="Times New Roman" w:cs="Times New Roman"/>
          <w:sz w:val="22"/>
          <w:szCs w:val="22"/>
        </w:rPr>
        <w:t xml:space="preserve"> 2015. godini muškarci su najčešće umirali od akutnog infarkta miokarda (stopa 104,3/100.000), potom od moždanog udara (stopa 80,9/100.000), slijedi srčani zastoj (65,4/100.000), kardiomiopatija (52,8/100.000)</w:t>
      </w:r>
      <w:r>
        <w:rPr>
          <w:rFonts w:ascii="Times New Roman" w:hAnsi="Times New Roman" w:cs="Times New Roman"/>
          <w:sz w:val="22"/>
          <w:szCs w:val="22"/>
        </w:rPr>
        <w:t xml:space="preserve"> i hipertenzija (35,1/100.000), dok su ž</w:t>
      </w:r>
      <w:r w:rsidRPr="00155F80">
        <w:rPr>
          <w:rFonts w:ascii="Times New Roman" w:hAnsi="Times New Roman" w:cs="Times New Roman"/>
          <w:sz w:val="22"/>
          <w:szCs w:val="22"/>
        </w:rPr>
        <w:t xml:space="preserve">ene su </w:t>
      </w:r>
      <w:r w:rsidR="00A131AD" w:rsidRPr="00155F80">
        <w:rPr>
          <w:rFonts w:ascii="Times New Roman" w:hAnsi="Times New Roman" w:cs="Times New Roman"/>
          <w:sz w:val="22"/>
          <w:szCs w:val="22"/>
        </w:rPr>
        <w:t>najčešće umirale od moždanog udara (105,8/100.000), potom od akutnog infarkta miokarda (75,0/100.000), slijedi kardiomiopatija (75,1/100.000), potom od srčanog zastoja (74,1/100.000), i esencijalne hipertenzije (55,1/100.000).</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Default="00A131AD" w:rsidP="00EB7CC7">
      <w:pPr>
        <w:pStyle w:val="refererere"/>
      </w:pPr>
      <w:r w:rsidRPr="00155F80">
        <w:t>Grafikon 16: Mortalitet od kardiovaskularnih oboljenja u Federaciji BIH u 2015. godini, prema spolu, stopa na 100.000 stanovnika</w:t>
      </w:r>
    </w:p>
    <w:p w:rsidR="00B25A26" w:rsidRDefault="00DF3062" w:rsidP="000C0138">
      <w:pPr>
        <w:pStyle w:val="Default"/>
        <w:spacing w:line="276" w:lineRule="auto"/>
        <w:jc w:val="both"/>
        <w:rPr>
          <w:rFonts w:ascii="Times New Roman" w:hAnsi="Times New Roman" w:cs="Times New Roman"/>
          <w:iCs/>
          <w:sz w:val="22"/>
          <w:szCs w:val="22"/>
        </w:rPr>
      </w:pPr>
      <w:r>
        <w:rPr>
          <w:noProof/>
          <w:lang w:val="en-GB" w:eastAsia="en-GB"/>
        </w:rPr>
        <w:drawing>
          <wp:inline distT="0" distB="0" distL="0" distR="0" wp14:anchorId="4187EA2E" wp14:editId="162FC234">
            <wp:extent cx="5610225" cy="1943100"/>
            <wp:effectExtent l="0" t="0" r="952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25A26" w:rsidRDefault="00B25A26" w:rsidP="000C0138">
      <w:pPr>
        <w:pStyle w:val="Default"/>
        <w:spacing w:line="276" w:lineRule="auto"/>
        <w:jc w:val="both"/>
        <w:rPr>
          <w:rFonts w:ascii="Times New Roman" w:hAnsi="Times New Roman" w:cs="Times New Roman"/>
          <w:i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t>Mortalitet od malignih neoplazmi</w:t>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6D674E" w:rsidRDefault="000A3A46" w:rsidP="000C0138">
      <w:pPr>
        <w:pStyle w:val="Default"/>
        <w:spacing w:line="276" w:lineRule="auto"/>
        <w:jc w:val="both"/>
        <w:rPr>
          <w:rFonts w:ascii="Times New Roman" w:hAnsi="Times New Roman" w:cs="Times New Roman"/>
          <w:b/>
          <w:bCs/>
          <w:sz w:val="22"/>
          <w:szCs w:val="22"/>
        </w:rPr>
      </w:pPr>
      <w:r>
        <w:rPr>
          <w:rFonts w:ascii="Times New Roman" w:hAnsi="Times New Roman" w:cs="Times New Roman"/>
          <w:bCs/>
          <w:sz w:val="22"/>
          <w:szCs w:val="22"/>
        </w:rPr>
        <w:t>Standardizovana</w:t>
      </w:r>
      <w:r w:rsidR="006A31AA">
        <w:rPr>
          <w:rFonts w:ascii="Times New Roman" w:hAnsi="Times New Roman" w:cs="Times New Roman"/>
          <w:bCs/>
          <w:sz w:val="22"/>
          <w:szCs w:val="22"/>
        </w:rPr>
        <w:t xml:space="preserve"> stopa mortaliteta</w:t>
      </w:r>
      <w:r w:rsidR="00A131AD" w:rsidRPr="00155F80">
        <w:rPr>
          <w:rFonts w:ascii="Times New Roman" w:hAnsi="Times New Roman" w:cs="Times New Roman"/>
          <w:bCs/>
          <w:sz w:val="22"/>
          <w:szCs w:val="22"/>
        </w:rPr>
        <w:t xml:space="preserve"> od malignih neoplazmi u F</w:t>
      </w:r>
      <w:r w:rsidR="009D23A1">
        <w:rPr>
          <w:rFonts w:ascii="Times New Roman" w:hAnsi="Times New Roman" w:cs="Times New Roman"/>
          <w:bCs/>
          <w:sz w:val="22"/>
          <w:szCs w:val="22"/>
        </w:rPr>
        <w:t>ederaciji BiH bi</w:t>
      </w:r>
      <w:r w:rsidR="00A131AD" w:rsidRPr="00155F80">
        <w:rPr>
          <w:rFonts w:ascii="Times New Roman" w:hAnsi="Times New Roman" w:cs="Times New Roman"/>
          <w:bCs/>
          <w:sz w:val="22"/>
          <w:szCs w:val="22"/>
        </w:rPr>
        <w:t xml:space="preserve">lježi trend rasta u </w:t>
      </w:r>
      <w:r w:rsidR="00F70FD4">
        <w:rPr>
          <w:rFonts w:ascii="Times New Roman" w:hAnsi="Times New Roman" w:cs="Times New Roman"/>
          <w:bCs/>
          <w:sz w:val="22"/>
          <w:szCs w:val="22"/>
        </w:rPr>
        <w:t>periodu</w:t>
      </w:r>
      <w:r w:rsidR="009D23A1">
        <w:rPr>
          <w:rFonts w:ascii="Times New Roman" w:hAnsi="Times New Roman" w:cs="Times New Roman"/>
          <w:bCs/>
          <w:sz w:val="22"/>
          <w:szCs w:val="22"/>
        </w:rPr>
        <w:t xml:space="preserve"> </w:t>
      </w:r>
      <w:r w:rsidR="00A131AD" w:rsidRPr="00155F80">
        <w:rPr>
          <w:rFonts w:ascii="Times New Roman" w:hAnsi="Times New Roman" w:cs="Times New Roman"/>
          <w:bCs/>
          <w:sz w:val="22"/>
          <w:szCs w:val="22"/>
        </w:rPr>
        <w:t>2010-2015.</w:t>
      </w:r>
      <w:r w:rsidR="009D23A1">
        <w:rPr>
          <w:rFonts w:ascii="Times New Roman" w:hAnsi="Times New Roman" w:cs="Times New Roman"/>
          <w:bCs/>
          <w:sz w:val="22"/>
          <w:szCs w:val="22"/>
        </w:rPr>
        <w:t>godina.</w:t>
      </w:r>
    </w:p>
    <w:p w:rsidR="006D674E" w:rsidRPr="00155F80" w:rsidRDefault="006D674E" w:rsidP="000C0138">
      <w:pPr>
        <w:pStyle w:val="Default"/>
        <w:spacing w:line="276" w:lineRule="auto"/>
        <w:jc w:val="both"/>
        <w:rPr>
          <w:rFonts w:ascii="Times New Roman" w:hAnsi="Times New Roman" w:cs="Times New Roman"/>
          <w:b/>
          <w:bCs/>
          <w:sz w:val="22"/>
          <w:szCs w:val="22"/>
        </w:rPr>
      </w:pPr>
    </w:p>
    <w:p w:rsidR="00A131AD" w:rsidRPr="00155F80" w:rsidRDefault="00A131AD" w:rsidP="00EB7CC7">
      <w:pPr>
        <w:pStyle w:val="refererere"/>
        <w:rPr>
          <w:lang w:eastAsia="bs-Latn-BA"/>
        </w:rPr>
      </w:pPr>
      <w:r w:rsidRPr="00155F80">
        <w:rPr>
          <w:iCs/>
        </w:rPr>
        <w:t xml:space="preserve">Grafikon 17: </w:t>
      </w:r>
      <w:r w:rsidRPr="00155F80">
        <w:rPr>
          <w:lang w:eastAsia="bs-Latn-BA"/>
        </w:rPr>
        <w:t>SDR mortaliteta od malignih neoplazmi u Federaciji BiH za</w:t>
      </w:r>
      <w:r w:rsidR="008A17BF">
        <w:rPr>
          <w:lang w:eastAsia="bs-Latn-BA"/>
        </w:rPr>
        <w:t xml:space="preserve"> </w:t>
      </w:r>
      <w:r w:rsidR="00F70FD4">
        <w:rPr>
          <w:lang w:eastAsia="bs-Latn-BA"/>
        </w:rPr>
        <w:t>period</w:t>
      </w:r>
      <w:r w:rsidRPr="00155F80">
        <w:rPr>
          <w:lang w:eastAsia="bs-Latn-BA"/>
        </w:rPr>
        <w:t xml:space="preserve"> 2010–2015. godina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139F00D" wp14:editId="66BAEE2C">
            <wp:extent cx="5600700" cy="1743075"/>
            <wp:effectExtent l="0" t="0" r="0" b="9525"/>
            <wp:docPr id="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p>
    <w:p w:rsidR="007A7E4A" w:rsidRDefault="00A131AD" w:rsidP="007A7E4A">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Kao i prethodnih godina, od malignih neoplazmi u 2015. godini među uzrocima smrti vodeća je maligna neoplazma bronha i pluća (C34) koja bilježi trend blagog opadanja, slijedi maligna neoplazma želuca (C16), maligna neoplazma jetr</w:t>
      </w:r>
      <w:r w:rsidR="00D47907">
        <w:rPr>
          <w:rFonts w:ascii="Times New Roman" w:hAnsi="Times New Roman" w:cs="Times New Roman"/>
          <w:sz w:val="22"/>
          <w:szCs w:val="22"/>
        </w:rPr>
        <w:t>e</w:t>
      </w:r>
      <w:r w:rsidRPr="00155F80">
        <w:rPr>
          <w:rFonts w:ascii="Times New Roman" w:hAnsi="Times New Roman" w:cs="Times New Roman"/>
          <w:sz w:val="22"/>
          <w:szCs w:val="22"/>
        </w:rPr>
        <w:t xml:space="preserve"> i intrahepat</w:t>
      </w:r>
      <w:r w:rsidR="008A17BF">
        <w:rPr>
          <w:rFonts w:ascii="Times New Roman" w:hAnsi="Times New Roman" w:cs="Times New Roman"/>
          <w:sz w:val="22"/>
          <w:szCs w:val="22"/>
        </w:rPr>
        <w:t>ičnih</w:t>
      </w:r>
      <w:r w:rsidRPr="00155F80">
        <w:rPr>
          <w:rFonts w:ascii="Times New Roman" w:hAnsi="Times New Roman" w:cs="Times New Roman"/>
          <w:sz w:val="22"/>
          <w:szCs w:val="22"/>
        </w:rPr>
        <w:t xml:space="preserve"> žučnih vodova (C22), potom maligna neoplazma dojke (C50) čiji trend je takođe u blagom porastu, maligna neoplazma kolona j</w:t>
      </w:r>
      <w:r w:rsidR="009D23A1">
        <w:rPr>
          <w:rFonts w:ascii="Times New Roman" w:hAnsi="Times New Roman" w:cs="Times New Roman"/>
          <w:sz w:val="22"/>
          <w:szCs w:val="22"/>
        </w:rPr>
        <w:t>e peta po učestalosti u 2015. go</w:t>
      </w:r>
      <w:r w:rsidRPr="00155F80">
        <w:rPr>
          <w:rFonts w:ascii="Times New Roman" w:hAnsi="Times New Roman" w:cs="Times New Roman"/>
          <w:sz w:val="22"/>
          <w:szCs w:val="22"/>
        </w:rPr>
        <w:t xml:space="preserve">dnini, dok je u 2010. godini to bila maligna neoplazma pankreasa (C25). </w:t>
      </w:r>
    </w:p>
    <w:p w:rsidR="00FB3114" w:rsidRPr="006D22D7" w:rsidRDefault="00FB3114" w:rsidP="007A7E4A">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18: Mortalitet od malignih neoplazmi (pet vodećih)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2C500AD1" wp14:editId="15BBBEEF">
            <wp:extent cx="5857875" cy="1733550"/>
            <wp:effectExtent l="0" t="0" r="9525" b="0"/>
            <wp:docPr id="7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Među uzrocima smrti od malignih neoplazmi kod muškaraca u 2015. godini vodeća je bila maligna neoplazma bronha i pluća (C34) koja bilježi trend laganog opadanja, slijedi maligna neoplazma prostate (C61) koja bilježi trend laganog rasta, potom, maligna neoplazma želuca (C16) čiji trend </w:t>
      </w:r>
      <w:r w:rsidR="009E48BE">
        <w:rPr>
          <w:rFonts w:ascii="Times New Roman" w:hAnsi="Times New Roman" w:cs="Times New Roman"/>
          <w:sz w:val="22"/>
          <w:szCs w:val="22"/>
        </w:rPr>
        <w:t>je u blagom porastu.</w:t>
      </w:r>
      <w:r w:rsidRPr="00155F80">
        <w:rPr>
          <w:rFonts w:ascii="Times New Roman" w:hAnsi="Times New Roman" w:cs="Times New Roman"/>
          <w:sz w:val="22"/>
          <w:szCs w:val="22"/>
        </w:rPr>
        <w:t xml:space="preserve"> </w:t>
      </w:r>
      <w:r w:rsidR="009E48BE">
        <w:rPr>
          <w:rFonts w:ascii="Times New Roman" w:hAnsi="Times New Roman" w:cs="Times New Roman"/>
          <w:sz w:val="22"/>
          <w:szCs w:val="22"/>
        </w:rPr>
        <w:t>N</w:t>
      </w:r>
      <w:r w:rsidR="009E48BE" w:rsidRPr="00155F80">
        <w:rPr>
          <w:rFonts w:ascii="Times New Roman" w:hAnsi="Times New Roman" w:cs="Times New Roman"/>
          <w:sz w:val="22"/>
          <w:szCs w:val="22"/>
        </w:rPr>
        <w:t xml:space="preserve">a četvrtom </w:t>
      </w:r>
      <w:r w:rsidR="009E48BE">
        <w:rPr>
          <w:rFonts w:ascii="Times New Roman" w:hAnsi="Times New Roman" w:cs="Times New Roman"/>
          <w:sz w:val="22"/>
          <w:szCs w:val="22"/>
        </w:rPr>
        <w:t>mjestu je</w:t>
      </w:r>
      <w:r w:rsidRPr="00155F80">
        <w:rPr>
          <w:rFonts w:ascii="Times New Roman" w:hAnsi="Times New Roman" w:cs="Times New Roman"/>
          <w:sz w:val="22"/>
          <w:szCs w:val="22"/>
        </w:rPr>
        <w:t xml:space="preserve"> maligna neoplazma jetr</w:t>
      </w:r>
      <w:r w:rsidR="00D47907">
        <w:rPr>
          <w:rFonts w:ascii="Times New Roman" w:hAnsi="Times New Roman" w:cs="Times New Roman"/>
          <w:sz w:val="22"/>
          <w:szCs w:val="22"/>
        </w:rPr>
        <w:t>e</w:t>
      </w:r>
      <w:r w:rsidRPr="00155F80">
        <w:rPr>
          <w:rFonts w:ascii="Times New Roman" w:hAnsi="Times New Roman" w:cs="Times New Roman"/>
          <w:sz w:val="22"/>
          <w:szCs w:val="22"/>
        </w:rPr>
        <w:t xml:space="preserve"> i intrahepat</w:t>
      </w:r>
      <w:r w:rsidR="00D47907">
        <w:rPr>
          <w:rFonts w:ascii="Times New Roman" w:hAnsi="Times New Roman" w:cs="Times New Roman"/>
          <w:sz w:val="22"/>
          <w:szCs w:val="22"/>
        </w:rPr>
        <w:t>ičnih</w:t>
      </w:r>
      <w:r w:rsidR="009D23A1">
        <w:rPr>
          <w:rFonts w:ascii="Times New Roman" w:hAnsi="Times New Roman" w:cs="Times New Roman"/>
          <w:sz w:val="22"/>
          <w:szCs w:val="22"/>
        </w:rPr>
        <w:t xml:space="preserve"> žučnih vodova (C22</w:t>
      </w:r>
      <w:r w:rsidR="009E48BE">
        <w:rPr>
          <w:rFonts w:ascii="Times New Roman" w:hAnsi="Times New Roman" w:cs="Times New Roman"/>
          <w:sz w:val="22"/>
          <w:szCs w:val="22"/>
        </w:rPr>
        <w:t>)</w:t>
      </w:r>
      <w:r w:rsidRPr="00155F80">
        <w:rPr>
          <w:rFonts w:ascii="Times New Roman" w:hAnsi="Times New Roman" w:cs="Times New Roman"/>
          <w:sz w:val="22"/>
          <w:szCs w:val="22"/>
        </w:rPr>
        <w:t>, dok je maligna neoplazma kolona (C18) peti uzrok smrti muškaraca od malignih neoplazmi u</w:t>
      </w:r>
      <w:r w:rsidR="009E48BE">
        <w:rPr>
          <w:rFonts w:ascii="Times New Roman" w:hAnsi="Times New Roman" w:cs="Times New Roman"/>
          <w:sz w:val="22"/>
          <w:szCs w:val="22"/>
        </w:rPr>
        <w:t xml:space="preserve"> Federaciji BiH.</w:t>
      </w:r>
    </w:p>
    <w:p w:rsidR="00EB7CC7" w:rsidRDefault="00EB7CC7" w:rsidP="000C0138">
      <w:pPr>
        <w:pStyle w:val="Default"/>
        <w:spacing w:line="276" w:lineRule="auto"/>
        <w:jc w:val="both"/>
        <w:rPr>
          <w:rFonts w:ascii="Times New Roman" w:hAnsi="Times New Roman" w:cs="Times New Roman"/>
          <w:sz w:val="22"/>
          <w:szCs w:val="22"/>
        </w:rPr>
      </w:pPr>
    </w:p>
    <w:p w:rsidR="00F515B4" w:rsidRDefault="00F515B4"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F515B4" w:rsidRDefault="00F515B4"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19: Mortalitet od malignih neoplazmi kod muškaraca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5E98837B" wp14:editId="1BF8E96A">
            <wp:extent cx="5857875" cy="1647825"/>
            <wp:effectExtent l="0" t="0" r="9525" b="9525"/>
            <wp:docPr id="7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131AD" w:rsidRPr="00155F80" w:rsidRDefault="00A131AD" w:rsidP="000C0138">
      <w:pPr>
        <w:pStyle w:val="Default"/>
        <w:spacing w:line="276" w:lineRule="auto"/>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Među uzrocima smrti od malignih neoplazmi kod žena u 2015. godini vodeća je bila maligna neoplazma dojke (C50) koja bilježi trend blagog rasta, slijedi maligna neoplazma bronha i pluća (C34) koja takođe bilježi trend rasta, potom, maligna neoplazma jetre i intrahepat</w:t>
      </w:r>
      <w:r w:rsidR="00D47907">
        <w:rPr>
          <w:rFonts w:ascii="Times New Roman" w:hAnsi="Times New Roman" w:cs="Times New Roman"/>
          <w:sz w:val="22"/>
          <w:szCs w:val="22"/>
        </w:rPr>
        <w:t>ičnih</w:t>
      </w:r>
      <w:r w:rsidRPr="00155F80">
        <w:rPr>
          <w:rFonts w:ascii="Times New Roman" w:hAnsi="Times New Roman" w:cs="Times New Roman"/>
          <w:sz w:val="22"/>
          <w:szCs w:val="22"/>
        </w:rPr>
        <w:t xml:space="preserve"> žučnih vodova (C22) čiji trend pokazuje povećanje u odnosu na 2010. godinu.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Sljedeća je  maligna neoplazma želuca (C16) čiji trend je u blagom opadanju, a kao peta po učestalosti umiranja žena od malignih neoplazmi je maligna neoplazm</w:t>
      </w:r>
      <w:r w:rsidR="009D23A1">
        <w:rPr>
          <w:rFonts w:ascii="Times New Roman" w:hAnsi="Times New Roman" w:cs="Times New Roman"/>
          <w:sz w:val="22"/>
          <w:szCs w:val="22"/>
        </w:rPr>
        <w:t>a kolona (C18), dok je u 2010. g</w:t>
      </w:r>
      <w:r w:rsidRPr="00155F80">
        <w:rPr>
          <w:rFonts w:ascii="Times New Roman" w:hAnsi="Times New Roman" w:cs="Times New Roman"/>
          <w:sz w:val="22"/>
          <w:szCs w:val="22"/>
        </w:rPr>
        <w:t>odini rang pet imala maligna neoplazma pankreasa (C25).</w:t>
      </w:r>
    </w:p>
    <w:p w:rsidR="00A131AD" w:rsidRPr="00155F80" w:rsidRDefault="00A131AD" w:rsidP="000C0138">
      <w:pPr>
        <w:pStyle w:val="Default"/>
        <w:spacing w:line="276" w:lineRule="auto"/>
        <w:jc w:val="both"/>
        <w:rPr>
          <w:rFonts w:ascii="Times New Roman" w:hAnsi="Times New Roman" w:cs="Times New Roman"/>
          <w:sz w:val="22"/>
          <w:szCs w:val="22"/>
        </w:rPr>
      </w:pPr>
    </w:p>
    <w:p w:rsidR="001911A6" w:rsidRPr="00155F80" w:rsidRDefault="001911A6"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20: Mortalitet od malignih neoplazmi kod žena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371F5848" wp14:editId="488A94A7">
            <wp:extent cx="5715000" cy="1895475"/>
            <wp:effectExtent l="0" t="0" r="0" b="9525"/>
            <wp:docPr id="7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E2EDA" w:rsidP="00A62F5B">
      <w:pPr>
        <w:pStyle w:val="Poglavlje3"/>
      </w:pPr>
      <w:bookmarkStart w:id="23" w:name="_Toc460929190"/>
      <w:r>
        <w:t xml:space="preserve">3.1.3 </w:t>
      </w:r>
      <w:r w:rsidR="00D21A46">
        <w:t>Povrede</w:t>
      </w:r>
      <w:r w:rsidR="00A131AD" w:rsidRPr="00155F80">
        <w:t xml:space="preserve"> kao uzroci smrti</w:t>
      </w:r>
      <w:bookmarkEnd w:id="23"/>
      <w:r w:rsidR="00A131AD" w:rsidRPr="00155F80">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B56CE8" w:rsidRPr="00D84E86" w:rsidRDefault="00B56CE8" w:rsidP="00B56CE8">
      <w:pPr>
        <w:pStyle w:val="Default"/>
        <w:spacing w:line="276" w:lineRule="auto"/>
        <w:jc w:val="both"/>
        <w:rPr>
          <w:rFonts w:ascii="Times New Roman" w:hAnsi="Times New Roman" w:cs="Times New Roman"/>
          <w:color w:val="auto"/>
          <w:sz w:val="22"/>
          <w:szCs w:val="22"/>
        </w:rPr>
      </w:pPr>
      <w:r w:rsidRPr="00D84E86">
        <w:rPr>
          <w:rFonts w:ascii="Times New Roman" w:hAnsi="Times New Roman" w:cs="Times New Roman"/>
          <w:color w:val="auto"/>
          <w:sz w:val="22"/>
          <w:szCs w:val="22"/>
        </w:rPr>
        <w:t>U p</w:t>
      </w:r>
      <w:r w:rsidR="00D47907">
        <w:rPr>
          <w:rFonts w:ascii="Times New Roman" w:hAnsi="Times New Roman" w:cs="Times New Roman"/>
          <w:color w:val="auto"/>
          <w:sz w:val="22"/>
          <w:szCs w:val="22"/>
        </w:rPr>
        <w:t>r</w:t>
      </w:r>
      <w:r w:rsidRPr="00D84E86">
        <w:rPr>
          <w:rFonts w:ascii="Times New Roman" w:hAnsi="Times New Roman" w:cs="Times New Roman"/>
          <w:color w:val="auto"/>
          <w:sz w:val="22"/>
          <w:szCs w:val="22"/>
        </w:rPr>
        <w:t xml:space="preserve">omatranom </w:t>
      </w:r>
      <w:r w:rsidR="00F70FD4">
        <w:rPr>
          <w:rFonts w:ascii="Times New Roman" w:hAnsi="Times New Roman" w:cs="Times New Roman"/>
          <w:color w:val="auto"/>
          <w:sz w:val="22"/>
          <w:szCs w:val="22"/>
        </w:rPr>
        <w:t>periodu</w:t>
      </w:r>
      <w:r w:rsidRPr="00D84E86">
        <w:rPr>
          <w:rFonts w:ascii="Times New Roman" w:hAnsi="Times New Roman" w:cs="Times New Roman"/>
          <w:color w:val="auto"/>
          <w:sz w:val="22"/>
          <w:szCs w:val="22"/>
        </w:rPr>
        <w:t xml:space="preserve"> je registr</w:t>
      </w:r>
      <w:r w:rsidR="00D47907">
        <w:rPr>
          <w:rFonts w:ascii="Times New Roman" w:hAnsi="Times New Roman" w:cs="Times New Roman"/>
          <w:color w:val="auto"/>
          <w:sz w:val="22"/>
          <w:szCs w:val="22"/>
        </w:rPr>
        <w:t xml:space="preserve">iran </w:t>
      </w:r>
      <w:r w:rsidRPr="00D84E86">
        <w:rPr>
          <w:rFonts w:ascii="Times New Roman" w:hAnsi="Times New Roman" w:cs="Times New Roman"/>
          <w:color w:val="auto"/>
          <w:sz w:val="22"/>
          <w:szCs w:val="22"/>
        </w:rPr>
        <w:t xml:space="preserve">trend smanjenja smtnih ishoda zbog </w:t>
      </w:r>
      <w:r w:rsidR="00D47907">
        <w:rPr>
          <w:rFonts w:ascii="Times New Roman" w:hAnsi="Times New Roman" w:cs="Times New Roman"/>
          <w:color w:val="auto"/>
          <w:sz w:val="22"/>
          <w:szCs w:val="22"/>
        </w:rPr>
        <w:t>ozljeda</w:t>
      </w:r>
      <w:r w:rsidRPr="00D84E86">
        <w:rPr>
          <w:rFonts w:ascii="Times New Roman" w:hAnsi="Times New Roman" w:cs="Times New Roman"/>
          <w:color w:val="auto"/>
          <w:sz w:val="22"/>
          <w:szCs w:val="22"/>
        </w:rPr>
        <w:t xml:space="preserve"> i trovanja.</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Udio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u mortalitetu u 2015. godini iznosio je </w:t>
      </w:r>
      <w:r w:rsidRPr="00155F80">
        <w:rPr>
          <w:rFonts w:ascii="Times New Roman" w:hAnsi="Times New Roman" w:cs="Times New Roman"/>
          <w:color w:val="auto"/>
          <w:sz w:val="22"/>
          <w:szCs w:val="22"/>
        </w:rPr>
        <w:t>2,4</w:t>
      </w:r>
      <w:r w:rsidRPr="00155F80">
        <w:rPr>
          <w:rFonts w:ascii="Times New Roman" w:hAnsi="Times New Roman" w:cs="Times New Roman"/>
          <w:sz w:val="22"/>
          <w:szCs w:val="22"/>
        </w:rPr>
        <w:t xml:space="preserve">%. </w:t>
      </w:r>
    </w:p>
    <w:p w:rsidR="00126FC8" w:rsidRPr="00155F80" w:rsidRDefault="00126FC8" w:rsidP="000C0138">
      <w:pPr>
        <w:pStyle w:val="Default"/>
        <w:spacing w:line="276" w:lineRule="auto"/>
        <w:jc w:val="both"/>
        <w:rPr>
          <w:rFonts w:ascii="Times New Roman" w:hAnsi="Times New Roman" w:cs="Times New Roman"/>
          <w:sz w:val="22"/>
          <w:szCs w:val="22"/>
        </w:rPr>
      </w:pPr>
    </w:p>
    <w:p w:rsidR="001911A6" w:rsidRDefault="00126FC8" w:rsidP="000C0138">
      <w:pPr>
        <w:pStyle w:val="Default"/>
        <w:spacing w:line="276" w:lineRule="auto"/>
        <w:jc w:val="both"/>
        <w:rPr>
          <w:rFonts w:ascii="Times New Roman" w:hAnsi="Times New Roman" w:cs="Times New Roman"/>
          <w:sz w:val="20"/>
          <w:szCs w:val="20"/>
          <w:lang w:eastAsia="bs-Latn-BA"/>
        </w:rPr>
      </w:pPr>
      <w:r>
        <w:rPr>
          <w:rFonts w:ascii="Times New Roman" w:hAnsi="Times New Roman" w:cs="Times New Roman"/>
          <w:iCs/>
          <w:sz w:val="20"/>
          <w:szCs w:val="20"/>
        </w:rPr>
        <w:t>Grafikon 21</w:t>
      </w:r>
      <w:r w:rsidRPr="00126FC8">
        <w:rPr>
          <w:rFonts w:ascii="Times New Roman" w:hAnsi="Times New Roman" w:cs="Times New Roman"/>
          <w:iCs/>
          <w:sz w:val="20"/>
          <w:szCs w:val="20"/>
        </w:rPr>
        <w:t xml:space="preserve">: </w:t>
      </w:r>
      <w:r w:rsidR="00D21A46">
        <w:rPr>
          <w:rFonts w:ascii="Times New Roman" w:hAnsi="Times New Roman" w:cs="Times New Roman"/>
          <w:sz w:val="20"/>
          <w:szCs w:val="20"/>
          <w:lang w:eastAsia="bs-Latn-BA"/>
        </w:rPr>
        <w:t>Povrede</w:t>
      </w:r>
      <w:r w:rsidRPr="00126FC8">
        <w:rPr>
          <w:rFonts w:ascii="Times New Roman" w:hAnsi="Times New Roman" w:cs="Times New Roman"/>
          <w:sz w:val="20"/>
          <w:szCs w:val="20"/>
          <w:lang w:eastAsia="bs-Latn-BA"/>
        </w:rPr>
        <w:t xml:space="preserve">, trovanja i druge posljedice vanjskih uzroka smrti u Federaciji BiH za </w:t>
      </w:r>
      <w:r w:rsidR="00F70FD4">
        <w:rPr>
          <w:rFonts w:ascii="Times New Roman" w:hAnsi="Times New Roman" w:cs="Times New Roman"/>
          <w:sz w:val="20"/>
          <w:szCs w:val="20"/>
          <w:lang w:eastAsia="bs-Latn-BA"/>
        </w:rPr>
        <w:t>period</w:t>
      </w:r>
      <w:r w:rsidRPr="00126FC8">
        <w:rPr>
          <w:rFonts w:ascii="Times New Roman" w:hAnsi="Times New Roman" w:cs="Times New Roman"/>
          <w:sz w:val="20"/>
          <w:szCs w:val="20"/>
          <w:lang w:eastAsia="bs-Latn-BA"/>
        </w:rPr>
        <w:t xml:space="preserve"> 2010.-2015.godine, stopa na 100.000 stanovnika</w:t>
      </w:r>
    </w:p>
    <w:p w:rsidR="00126FC8" w:rsidRPr="00126FC8" w:rsidRDefault="00126FC8" w:rsidP="000C0138">
      <w:pPr>
        <w:pStyle w:val="Default"/>
        <w:spacing w:line="276" w:lineRule="auto"/>
        <w:jc w:val="both"/>
        <w:rPr>
          <w:rFonts w:ascii="Times New Roman" w:hAnsi="Times New Roman" w:cs="Times New Roman"/>
          <w:iCs/>
          <w:sz w:val="20"/>
          <w:szCs w:val="20"/>
        </w:rPr>
      </w:pPr>
      <w:r w:rsidRPr="00155F80">
        <w:rPr>
          <w:noProof/>
          <w:color w:val="FF0000"/>
          <w:lang w:val="en-GB" w:eastAsia="en-GB"/>
        </w:rPr>
        <w:drawing>
          <wp:inline distT="0" distB="0" distL="0" distR="0" wp14:anchorId="0775A3FC" wp14:editId="4720C1CE">
            <wp:extent cx="5534025" cy="1467293"/>
            <wp:effectExtent l="0" t="0" r="9525" b="0"/>
            <wp:docPr id="8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26FC8" w:rsidRDefault="00B56CE8" w:rsidP="00FB3114">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U svim populaci</w:t>
      </w:r>
      <w:r w:rsidR="00D47907">
        <w:rPr>
          <w:rFonts w:ascii="Times New Roman" w:hAnsi="Times New Roman" w:cs="Times New Roman"/>
          <w:sz w:val="22"/>
          <w:szCs w:val="22"/>
        </w:rPr>
        <w:t xml:space="preserve">jskim </w:t>
      </w:r>
      <w:r w:rsidRPr="00155F80">
        <w:rPr>
          <w:rFonts w:ascii="Times New Roman" w:hAnsi="Times New Roman" w:cs="Times New Roman"/>
          <w:sz w:val="22"/>
          <w:szCs w:val="22"/>
        </w:rPr>
        <w:t xml:space="preserve">grupama stopa smrtnosti od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trovanja i drugih posljedica vanjskih uzroka smrti pokazuje opadanje ako </w:t>
      </w:r>
      <w:r w:rsidR="00D47907">
        <w:rPr>
          <w:rFonts w:ascii="Times New Roman" w:hAnsi="Times New Roman" w:cs="Times New Roman"/>
          <w:sz w:val="22"/>
          <w:szCs w:val="22"/>
        </w:rPr>
        <w:t>us</w:t>
      </w:r>
      <w:r w:rsidRPr="00155F80">
        <w:rPr>
          <w:rFonts w:ascii="Times New Roman" w:hAnsi="Times New Roman" w:cs="Times New Roman"/>
          <w:sz w:val="22"/>
          <w:szCs w:val="22"/>
        </w:rPr>
        <w:t xml:space="preserve">poredimo 2010. i 2015. godinu. </w:t>
      </w:r>
    </w:p>
    <w:p w:rsidR="00FB3114" w:rsidRDefault="00FB3114" w:rsidP="00FB3114">
      <w:pPr>
        <w:pStyle w:val="Default"/>
        <w:spacing w:line="276" w:lineRule="auto"/>
        <w:jc w:val="both"/>
        <w:rPr>
          <w:rFonts w:ascii="Times New Roman" w:hAnsi="Times New Roman"/>
          <w:sz w:val="20"/>
          <w:szCs w:val="20"/>
        </w:rPr>
      </w:pPr>
    </w:p>
    <w:p w:rsidR="00A131AD" w:rsidRPr="00155F80" w:rsidRDefault="00126FC8" w:rsidP="00EB7CC7">
      <w:pPr>
        <w:pStyle w:val="refererere"/>
      </w:pPr>
      <w:r>
        <w:t>Grafikon 22</w:t>
      </w:r>
      <w:r w:rsidR="00A131AD" w:rsidRPr="00155F80">
        <w:t xml:space="preserve">: </w:t>
      </w:r>
      <w:r w:rsidR="00D21A46">
        <w:t>Povrede</w:t>
      </w:r>
      <w:r w:rsidR="00A131AD" w:rsidRPr="00155F80">
        <w:t>, trovanja i druge posljedice vanjskih uzroka smrti u Federaciji BiH</w:t>
      </w:r>
      <w:r>
        <w:t xml:space="preserve"> po starosnim grupama,</w:t>
      </w:r>
      <w:r w:rsidR="00A131AD" w:rsidRPr="00155F80">
        <w:t xml:space="preserve"> za </w:t>
      </w:r>
      <w:r w:rsidR="00F70FD4">
        <w:t>period</w:t>
      </w:r>
      <w:r w:rsidR="00A131AD" w:rsidRPr="00155F80">
        <w:t xml:space="preserve"> 2010-2015. 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val="en-GB" w:eastAsia="en-GB"/>
        </w:rPr>
        <w:drawing>
          <wp:inline distT="0" distB="0" distL="0" distR="0" wp14:anchorId="4EB7CBB5" wp14:editId="7C0ED0B7">
            <wp:extent cx="5715000" cy="1733550"/>
            <wp:effectExtent l="0" t="0" r="0" b="0"/>
            <wp:docPr id="7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131AD" w:rsidRPr="00155F80" w:rsidRDefault="00A131AD" w:rsidP="000C0138">
      <w:pPr>
        <w:pStyle w:val="Default"/>
        <w:spacing w:line="276" w:lineRule="auto"/>
        <w:jc w:val="both"/>
        <w:rPr>
          <w:rFonts w:ascii="Times New Roman" w:hAnsi="Times New Roman" w:cs="Times New Roman"/>
          <w:color w:val="FF0000"/>
          <w:sz w:val="22"/>
          <w:szCs w:val="22"/>
        </w:rPr>
      </w:pPr>
    </w:p>
    <w:p w:rsidR="001911A6"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Prema spolu, muškarci su u 2015. godini </w:t>
      </w:r>
      <w:r w:rsidR="007E1328" w:rsidRPr="00155F80">
        <w:rPr>
          <w:rFonts w:ascii="Times New Roman" w:hAnsi="Times New Roman" w:cs="Times New Roman"/>
          <w:sz w:val="22"/>
          <w:szCs w:val="22"/>
        </w:rPr>
        <w:t>više</w:t>
      </w:r>
      <w:r w:rsidRPr="00155F80">
        <w:rPr>
          <w:rFonts w:ascii="Times New Roman" w:hAnsi="Times New Roman" w:cs="Times New Roman"/>
          <w:sz w:val="22"/>
          <w:szCs w:val="22"/>
        </w:rPr>
        <w:t xml:space="preserve"> umirali od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(59,8%) nego žene (41,8%).</w:t>
      </w:r>
    </w:p>
    <w:p w:rsidR="001911A6" w:rsidRPr="00155F80" w:rsidRDefault="001911A6" w:rsidP="000C0138">
      <w:pPr>
        <w:pStyle w:val="Default"/>
        <w:spacing w:line="276" w:lineRule="auto"/>
        <w:jc w:val="both"/>
        <w:rPr>
          <w:rFonts w:ascii="Times New Roman" w:hAnsi="Times New Roman" w:cs="Times New Roman"/>
          <w:sz w:val="22"/>
          <w:szCs w:val="22"/>
        </w:rPr>
      </w:pPr>
    </w:p>
    <w:p w:rsidR="00A131AD" w:rsidRPr="00155F80" w:rsidRDefault="00126FC8" w:rsidP="00EB7CC7">
      <w:pPr>
        <w:pStyle w:val="refererere"/>
        <w:rPr>
          <w:lang w:eastAsia="bs-Latn-BA"/>
        </w:rPr>
      </w:pPr>
      <w:r>
        <w:rPr>
          <w:iCs/>
        </w:rPr>
        <w:t>Grafikon 23</w:t>
      </w:r>
      <w:r w:rsidR="00A131AD" w:rsidRPr="00155F80">
        <w:rPr>
          <w:iCs/>
        </w:rPr>
        <w:t xml:space="preserve">: </w:t>
      </w:r>
      <w:r>
        <w:rPr>
          <w:lang w:eastAsia="bs-Latn-BA"/>
        </w:rPr>
        <w:t>Smrtnost</w:t>
      </w:r>
      <w:r w:rsidR="00A131AD" w:rsidRPr="00155F80">
        <w:rPr>
          <w:lang w:eastAsia="bs-Latn-BA"/>
        </w:rPr>
        <w:t xml:space="preserve"> od </w:t>
      </w:r>
      <w:r w:rsidR="00D47907">
        <w:rPr>
          <w:lang w:eastAsia="bs-Latn-BA"/>
        </w:rPr>
        <w:t>ozljeda</w:t>
      </w:r>
      <w:r w:rsidR="00A131AD" w:rsidRPr="00155F80">
        <w:rPr>
          <w:lang w:eastAsia="bs-Latn-BA"/>
        </w:rPr>
        <w:t xml:space="preserve"> </w:t>
      </w:r>
      <w:r>
        <w:rPr>
          <w:lang w:eastAsia="bs-Latn-BA"/>
        </w:rPr>
        <w:t>prema spolu</w:t>
      </w:r>
      <w:r w:rsidR="00A131AD" w:rsidRPr="00155F80">
        <w:rPr>
          <w:lang w:eastAsia="bs-Latn-BA"/>
        </w:rPr>
        <w:t xml:space="preserve"> u 2015. </w:t>
      </w:r>
      <w:r w:rsidR="007B5D1E">
        <w:rPr>
          <w:lang w:eastAsia="bs-Latn-BA"/>
        </w:rPr>
        <w:t>g</w:t>
      </w:r>
      <w:r w:rsidR="00A131AD" w:rsidRPr="00155F80">
        <w:rPr>
          <w:lang w:eastAsia="bs-Latn-BA"/>
        </w:rPr>
        <w:t>odini</w:t>
      </w:r>
      <w:r w:rsidR="007B5D1E">
        <w:rPr>
          <w:lang w:eastAsia="bs-Latn-BA"/>
        </w:rPr>
        <w:t>, indeks strukture</w:t>
      </w:r>
    </w:p>
    <w:p w:rsidR="007B5D1E" w:rsidRDefault="00B56CE8" w:rsidP="000C0138">
      <w:pPr>
        <w:pStyle w:val="Default"/>
        <w:spacing w:line="276" w:lineRule="auto"/>
        <w:jc w:val="both"/>
        <w:rPr>
          <w:rFonts w:ascii="Times New Roman" w:hAnsi="Times New Roman" w:cs="Times New Roman"/>
          <w:color w:val="FF0000"/>
          <w:sz w:val="22"/>
          <w:szCs w:val="22"/>
        </w:rPr>
      </w:pPr>
      <w:r>
        <w:rPr>
          <w:noProof/>
          <w:lang w:val="en-GB" w:eastAsia="en-GB"/>
        </w:rPr>
        <w:drawing>
          <wp:inline distT="0" distB="0" distL="0" distR="0" wp14:anchorId="5F6A073F" wp14:editId="01A4E504">
            <wp:extent cx="5534025" cy="15811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56CE8" w:rsidRDefault="00B56CE8" w:rsidP="000C0138">
      <w:pPr>
        <w:pStyle w:val="Default"/>
        <w:spacing w:line="276" w:lineRule="auto"/>
        <w:jc w:val="both"/>
        <w:rPr>
          <w:rFonts w:ascii="Times New Roman" w:hAnsi="Times New Roman" w:cs="Times New Roman"/>
          <w:color w:val="auto"/>
          <w:sz w:val="22"/>
          <w:szCs w:val="22"/>
        </w:rPr>
      </w:pPr>
    </w:p>
    <w:p w:rsidR="00A131AD" w:rsidRPr="00155F80" w:rsidRDefault="00AE2EDA" w:rsidP="00A06016">
      <w:pPr>
        <w:pStyle w:val="Poglavlje3"/>
      </w:pPr>
      <w:bookmarkStart w:id="24" w:name="_Toc460929191"/>
      <w:r>
        <w:t xml:space="preserve">3.1.4 </w:t>
      </w:r>
      <w:r w:rsidR="00A131AD" w:rsidRPr="00155F80">
        <w:t>Mortalitet dojenčadi</w:t>
      </w:r>
      <w:bookmarkEnd w:id="24"/>
    </w:p>
    <w:p w:rsidR="00A131AD" w:rsidRPr="00155F80" w:rsidRDefault="00A131AD" w:rsidP="000C0138">
      <w:pPr>
        <w:pStyle w:val="Default"/>
        <w:spacing w:line="276" w:lineRule="auto"/>
        <w:jc w:val="both"/>
        <w:rPr>
          <w:rFonts w:ascii="Times New Roman" w:hAnsi="Times New Roman" w:cs="Times New Roman"/>
          <w:b/>
          <w:bCs/>
          <w:sz w:val="22"/>
          <w:szCs w:val="22"/>
        </w:rPr>
      </w:pPr>
    </w:p>
    <w:p w:rsidR="00F515B4"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Smrtnost dojenčadi (djece od rođenja do navršene prve godine života) je </w:t>
      </w:r>
      <w:r w:rsidR="00D47907">
        <w:rPr>
          <w:rFonts w:ascii="Times New Roman" w:hAnsi="Times New Roman" w:cs="Times New Roman"/>
          <w:sz w:val="22"/>
          <w:szCs w:val="22"/>
        </w:rPr>
        <w:t>važan</w:t>
      </w:r>
      <w:r w:rsidRPr="00155F80">
        <w:rPr>
          <w:rFonts w:ascii="Times New Roman" w:hAnsi="Times New Roman" w:cs="Times New Roman"/>
          <w:sz w:val="22"/>
          <w:szCs w:val="22"/>
        </w:rPr>
        <w:t xml:space="preserve"> </w:t>
      </w:r>
      <w:r w:rsidR="00D21A46">
        <w:rPr>
          <w:rFonts w:ascii="Times New Roman" w:hAnsi="Times New Roman" w:cs="Times New Roman"/>
          <w:sz w:val="22"/>
          <w:szCs w:val="22"/>
        </w:rPr>
        <w:t>znak</w:t>
      </w:r>
      <w:r w:rsidRPr="00155F80">
        <w:rPr>
          <w:rFonts w:ascii="Times New Roman" w:hAnsi="Times New Roman" w:cs="Times New Roman"/>
          <w:sz w:val="22"/>
          <w:szCs w:val="22"/>
        </w:rPr>
        <w:t xml:space="preserve"> zdravstvenog stanja dje</w:t>
      </w:r>
      <w:r w:rsidR="009E48BE">
        <w:rPr>
          <w:rFonts w:ascii="Times New Roman" w:hAnsi="Times New Roman" w:cs="Times New Roman"/>
          <w:sz w:val="22"/>
          <w:szCs w:val="22"/>
        </w:rPr>
        <w:t xml:space="preserve">ce. U </w:t>
      </w:r>
      <w:r w:rsidR="00F70FD4">
        <w:rPr>
          <w:rFonts w:ascii="Times New Roman" w:hAnsi="Times New Roman" w:cs="Times New Roman"/>
          <w:sz w:val="22"/>
          <w:szCs w:val="22"/>
        </w:rPr>
        <w:t>periodu</w:t>
      </w:r>
      <w:r w:rsidR="009E48BE">
        <w:rPr>
          <w:rFonts w:ascii="Times New Roman" w:hAnsi="Times New Roman" w:cs="Times New Roman"/>
          <w:sz w:val="22"/>
          <w:szCs w:val="22"/>
        </w:rPr>
        <w:t xml:space="preserve"> od 2010. do 2015</w:t>
      </w:r>
      <w:r w:rsidRPr="00155F80">
        <w:rPr>
          <w:rFonts w:ascii="Times New Roman" w:hAnsi="Times New Roman" w:cs="Times New Roman"/>
          <w:sz w:val="22"/>
          <w:szCs w:val="22"/>
        </w:rPr>
        <w:t xml:space="preserve">. godine, prema </w:t>
      </w:r>
      <w:r w:rsidR="002B489B">
        <w:rPr>
          <w:rFonts w:ascii="Times New Roman" w:hAnsi="Times New Roman" w:cs="Times New Roman"/>
          <w:sz w:val="22"/>
          <w:szCs w:val="22"/>
        </w:rPr>
        <w:t>podaci</w:t>
      </w:r>
      <w:r w:rsidRPr="00155F80">
        <w:rPr>
          <w:rFonts w:ascii="Times New Roman" w:hAnsi="Times New Roman" w:cs="Times New Roman"/>
          <w:sz w:val="22"/>
          <w:szCs w:val="22"/>
        </w:rPr>
        <w:t>ma FZS, stopa dojenačkog mortaliteta kontinuirano se smanjivala (od 7,9‰ do 6,4‰) na što je utjecao pad nataliteta i fertiliteta, kao i dobra zdravstv</w:t>
      </w:r>
      <w:r w:rsidR="0036022F">
        <w:rPr>
          <w:rFonts w:ascii="Times New Roman" w:hAnsi="Times New Roman" w:cs="Times New Roman"/>
          <w:sz w:val="22"/>
          <w:szCs w:val="22"/>
        </w:rPr>
        <w:t>ena zaštita dje</w:t>
      </w:r>
      <w:r w:rsidR="009E48BE">
        <w:rPr>
          <w:rFonts w:ascii="Times New Roman" w:hAnsi="Times New Roman" w:cs="Times New Roman"/>
          <w:sz w:val="22"/>
          <w:szCs w:val="22"/>
        </w:rPr>
        <w:t>ce ov</w:t>
      </w:r>
      <w:r w:rsidR="00D47907">
        <w:rPr>
          <w:rFonts w:ascii="Times New Roman" w:hAnsi="Times New Roman" w:cs="Times New Roman"/>
          <w:sz w:val="22"/>
          <w:szCs w:val="22"/>
        </w:rPr>
        <w:t>e</w:t>
      </w:r>
      <w:r w:rsidR="009E48BE">
        <w:rPr>
          <w:rFonts w:ascii="Times New Roman" w:hAnsi="Times New Roman" w:cs="Times New Roman"/>
          <w:sz w:val="22"/>
          <w:szCs w:val="22"/>
        </w:rPr>
        <w:t xml:space="preserve"> </w:t>
      </w:r>
      <w:r w:rsidR="00D47907">
        <w:rPr>
          <w:rFonts w:ascii="Times New Roman" w:hAnsi="Times New Roman" w:cs="Times New Roman"/>
          <w:sz w:val="22"/>
          <w:szCs w:val="22"/>
        </w:rPr>
        <w:t>dobi</w:t>
      </w:r>
      <w:r w:rsidR="009E48BE">
        <w:rPr>
          <w:rFonts w:ascii="Times New Roman" w:hAnsi="Times New Roman" w:cs="Times New Roman"/>
          <w:sz w:val="22"/>
          <w:szCs w:val="22"/>
        </w:rPr>
        <w:t>, dok</w:t>
      </w:r>
      <w:r w:rsidR="0036022F">
        <w:rPr>
          <w:rFonts w:ascii="Times New Roman" w:hAnsi="Times New Roman" w:cs="Times New Roman"/>
          <w:sz w:val="22"/>
          <w:szCs w:val="22"/>
        </w:rPr>
        <w:t xml:space="preserve"> je u 2015. godini </w:t>
      </w:r>
      <w:r w:rsidR="00A80006">
        <w:rPr>
          <w:rFonts w:ascii="Times New Roman" w:hAnsi="Times New Roman" w:cs="Times New Roman"/>
          <w:sz w:val="22"/>
          <w:szCs w:val="22"/>
        </w:rPr>
        <w:t>registrovano</w:t>
      </w:r>
      <w:r w:rsidR="009E48BE">
        <w:rPr>
          <w:rFonts w:ascii="Times New Roman" w:hAnsi="Times New Roman" w:cs="Times New Roman"/>
          <w:sz w:val="22"/>
          <w:szCs w:val="22"/>
        </w:rPr>
        <w:t xml:space="preserve"> povećanje stope, koja je imala</w:t>
      </w:r>
      <w:r w:rsidR="0036022F">
        <w:rPr>
          <w:rFonts w:ascii="Times New Roman" w:hAnsi="Times New Roman" w:cs="Times New Roman"/>
          <w:sz w:val="22"/>
          <w:szCs w:val="22"/>
        </w:rPr>
        <w:t xml:space="preserve"> istu vr</w:t>
      </w:r>
      <w:r w:rsidR="009E48BE">
        <w:rPr>
          <w:rFonts w:ascii="Times New Roman" w:hAnsi="Times New Roman" w:cs="Times New Roman"/>
          <w:sz w:val="22"/>
          <w:szCs w:val="22"/>
        </w:rPr>
        <w:t>ijednost kao i u 2010. godini (</w:t>
      </w:r>
      <w:r w:rsidR="0036022F" w:rsidRPr="00155F80">
        <w:rPr>
          <w:rFonts w:ascii="Times New Roman" w:hAnsi="Times New Roman" w:cs="Times New Roman"/>
          <w:sz w:val="22"/>
          <w:szCs w:val="22"/>
        </w:rPr>
        <w:t>7,9‰</w:t>
      </w:r>
      <w:r w:rsidR="009E48BE">
        <w:rPr>
          <w:rFonts w:ascii="Times New Roman" w:hAnsi="Times New Roman" w:cs="Times New Roman"/>
          <w:sz w:val="22"/>
          <w:szCs w:val="22"/>
        </w:rPr>
        <w:t>)</w:t>
      </w:r>
      <w:r w:rsidR="0036022F">
        <w:rPr>
          <w:rFonts w:ascii="Times New Roman" w:hAnsi="Times New Roman" w:cs="Times New Roman"/>
          <w:sz w:val="22"/>
          <w:szCs w:val="22"/>
        </w:rPr>
        <w:t>.</w:t>
      </w:r>
      <w:r w:rsidR="006D674E">
        <w:rPr>
          <w:rFonts w:ascii="Times New Roman" w:hAnsi="Times New Roman" w:cs="Times New Roman"/>
          <w:sz w:val="22"/>
          <w:szCs w:val="22"/>
        </w:rPr>
        <w:t xml:space="preserve"> </w:t>
      </w:r>
    </w:p>
    <w:p w:rsidR="00A131AD" w:rsidRPr="00B67F7F" w:rsidRDefault="006D674E" w:rsidP="000C0138">
      <w:pPr>
        <w:pStyle w:val="Default"/>
        <w:spacing w:line="276" w:lineRule="auto"/>
        <w:jc w:val="both"/>
        <w:rPr>
          <w:rFonts w:ascii="Times New Roman" w:hAnsi="Times New Roman" w:cs="Times New Roman"/>
          <w:color w:val="auto"/>
          <w:sz w:val="22"/>
          <w:szCs w:val="22"/>
        </w:rPr>
      </w:pPr>
      <w:r w:rsidRPr="00B67F7F">
        <w:rPr>
          <w:rFonts w:ascii="Times New Roman" w:hAnsi="Times New Roman" w:cs="Times New Roman"/>
          <w:color w:val="auto"/>
          <w:sz w:val="22"/>
          <w:szCs w:val="22"/>
        </w:rPr>
        <w:t xml:space="preserve">Stopa dojenačkog mortaliteta za </w:t>
      </w:r>
      <w:r w:rsidR="00D47907">
        <w:rPr>
          <w:rFonts w:ascii="Times New Roman" w:hAnsi="Times New Roman" w:cs="Times New Roman"/>
          <w:color w:val="auto"/>
          <w:sz w:val="22"/>
          <w:szCs w:val="22"/>
        </w:rPr>
        <w:t xml:space="preserve">europsku </w:t>
      </w:r>
      <w:r w:rsidRPr="00B67F7F">
        <w:rPr>
          <w:rFonts w:ascii="Times New Roman" w:hAnsi="Times New Roman" w:cs="Times New Roman"/>
          <w:color w:val="auto"/>
          <w:sz w:val="22"/>
          <w:szCs w:val="22"/>
        </w:rPr>
        <w:t>regi</w:t>
      </w:r>
      <w:r w:rsidR="00D47907">
        <w:rPr>
          <w:rFonts w:ascii="Times New Roman" w:hAnsi="Times New Roman" w:cs="Times New Roman"/>
          <w:color w:val="auto"/>
          <w:sz w:val="22"/>
          <w:szCs w:val="22"/>
        </w:rPr>
        <w:t>ju</w:t>
      </w:r>
      <w:r w:rsidRPr="00B67F7F">
        <w:rPr>
          <w:rFonts w:ascii="Times New Roman" w:hAnsi="Times New Roman" w:cs="Times New Roman"/>
          <w:color w:val="auto"/>
          <w:sz w:val="22"/>
          <w:szCs w:val="22"/>
        </w:rPr>
        <w:t xml:space="preserve"> ima vrijednost od 7,32/1.000 živorođenih i slična je kao u Federaciji BiH.</w:t>
      </w:r>
    </w:p>
    <w:p w:rsidR="004E0D7B" w:rsidRPr="00155F80" w:rsidRDefault="004E0D7B" w:rsidP="000C0138">
      <w:pPr>
        <w:pStyle w:val="Default"/>
        <w:spacing w:line="276" w:lineRule="auto"/>
        <w:jc w:val="both"/>
        <w:rPr>
          <w:rFonts w:ascii="Times New Roman" w:hAnsi="Times New Roman" w:cs="Times New Roman"/>
          <w:sz w:val="22"/>
          <w:szCs w:val="22"/>
        </w:rPr>
      </w:pPr>
    </w:p>
    <w:p w:rsidR="00B56CE8" w:rsidRDefault="004E0D7B" w:rsidP="00FB3114">
      <w:pPr>
        <w:pStyle w:val="Default"/>
        <w:spacing w:line="276" w:lineRule="auto"/>
        <w:jc w:val="both"/>
        <w:rPr>
          <w:rFonts w:ascii="Times New Roman" w:hAnsi="Times New Roman"/>
        </w:rPr>
      </w:pPr>
      <w:r>
        <w:rPr>
          <w:rFonts w:ascii="Times New Roman" w:hAnsi="Times New Roman" w:cs="Times New Roman"/>
          <w:sz w:val="22"/>
          <w:szCs w:val="22"/>
        </w:rPr>
        <w:t>V</w:t>
      </w:r>
      <w:r w:rsidR="0036022F">
        <w:rPr>
          <w:rFonts w:ascii="Times New Roman" w:hAnsi="Times New Roman" w:cs="Times New Roman"/>
          <w:sz w:val="22"/>
          <w:szCs w:val="22"/>
        </w:rPr>
        <w:t>odeći uzroci smrti</w:t>
      </w:r>
      <w:r w:rsidR="00A131AD" w:rsidRPr="00155F80">
        <w:rPr>
          <w:rFonts w:ascii="Times New Roman" w:hAnsi="Times New Roman" w:cs="Times New Roman"/>
          <w:sz w:val="22"/>
          <w:szCs w:val="22"/>
        </w:rPr>
        <w:t xml:space="preserve"> dojenčadi u </w:t>
      </w:r>
      <w:r>
        <w:rPr>
          <w:rFonts w:ascii="Times New Roman" w:hAnsi="Times New Roman" w:cs="Times New Roman"/>
          <w:sz w:val="22"/>
          <w:szCs w:val="22"/>
        </w:rPr>
        <w:t>2015. godini</w:t>
      </w:r>
      <w:r w:rsidR="0036022F">
        <w:rPr>
          <w:rFonts w:ascii="Times New Roman" w:hAnsi="Times New Roman" w:cs="Times New Roman"/>
          <w:sz w:val="22"/>
          <w:szCs w:val="22"/>
        </w:rPr>
        <w:t xml:space="preserve"> se djel</w:t>
      </w:r>
      <w:r w:rsidR="00D47907">
        <w:rPr>
          <w:rFonts w:ascii="Times New Roman" w:hAnsi="Times New Roman" w:cs="Times New Roman"/>
          <w:sz w:val="22"/>
          <w:szCs w:val="22"/>
        </w:rPr>
        <w:t>o</w:t>
      </w:r>
      <w:r w:rsidR="0036022F">
        <w:rPr>
          <w:rFonts w:ascii="Times New Roman" w:hAnsi="Times New Roman" w:cs="Times New Roman"/>
          <w:sz w:val="22"/>
          <w:szCs w:val="22"/>
        </w:rPr>
        <w:t>mično razlikuju od onih u 2010. godini. Tako su vodeći uzroci umiranja dojenčadi u</w:t>
      </w:r>
      <w:r w:rsidR="009D23A1">
        <w:rPr>
          <w:rFonts w:ascii="Times New Roman" w:hAnsi="Times New Roman" w:cs="Times New Roman"/>
          <w:sz w:val="22"/>
          <w:szCs w:val="22"/>
        </w:rPr>
        <w:t xml:space="preserve"> </w:t>
      </w:r>
      <w:r w:rsidR="0036022F">
        <w:rPr>
          <w:rFonts w:ascii="Times New Roman" w:hAnsi="Times New Roman" w:cs="Times New Roman"/>
          <w:sz w:val="22"/>
          <w:szCs w:val="22"/>
        </w:rPr>
        <w:t xml:space="preserve">2015. godini </w:t>
      </w:r>
      <w:r>
        <w:rPr>
          <w:rFonts w:ascii="Times New Roman" w:hAnsi="Times New Roman" w:cs="Times New Roman"/>
          <w:sz w:val="22"/>
          <w:szCs w:val="22"/>
        </w:rPr>
        <w:t>bili</w:t>
      </w:r>
      <w:r w:rsidR="00A131AD" w:rsidRPr="00155F80">
        <w:rPr>
          <w:rFonts w:ascii="Times New Roman" w:hAnsi="Times New Roman" w:cs="Times New Roman"/>
          <w:sz w:val="22"/>
          <w:szCs w:val="22"/>
        </w:rPr>
        <w:t xml:space="preserve"> </w:t>
      </w:r>
      <w:r w:rsidRPr="00155F80">
        <w:rPr>
          <w:rFonts w:ascii="Times New Roman" w:hAnsi="Times New Roman" w:cs="Times New Roman"/>
          <w:sz w:val="22"/>
          <w:szCs w:val="22"/>
        </w:rPr>
        <w:t>poremećaji vezani za kraću trudnoću i malu porođajnu te</w:t>
      </w:r>
      <w:r>
        <w:rPr>
          <w:rFonts w:ascii="Times New Roman" w:hAnsi="Times New Roman" w:cs="Times New Roman"/>
          <w:sz w:val="22"/>
          <w:szCs w:val="22"/>
        </w:rPr>
        <w:t xml:space="preserve">žinu novorođenčeta (P07) sa 28,6%, slijedi </w:t>
      </w:r>
      <w:r w:rsidR="00A131AD" w:rsidRPr="00155F80">
        <w:rPr>
          <w:rFonts w:ascii="Times New Roman" w:hAnsi="Times New Roman" w:cs="Times New Roman"/>
          <w:sz w:val="22"/>
          <w:szCs w:val="22"/>
        </w:rPr>
        <w:t>respirato</w:t>
      </w:r>
      <w:r>
        <w:rPr>
          <w:rFonts w:ascii="Times New Roman" w:hAnsi="Times New Roman" w:cs="Times New Roman"/>
          <w:sz w:val="22"/>
          <w:szCs w:val="22"/>
        </w:rPr>
        <w:t xml:space="preserve">rni distres novorođenčeta (P22) sa 11,0%, </w:t>
      </w:r>
      <w:r w:rsidR="0036022F">
        <w:rPr>
          <w:rFonts w:ascii="Times New Roman" w:hAnsi="Times New Roman" w:cs="Times New Roman"/>
          <w:sz w:val="22"/>
          <w:szCs w:val="22"/>
        </w:rPr>
        <w:t xml:space="preserve">a </w:t>
      </w:r>
      <w:r>
        <w:rPr>
          <w:rFonts w:ascii="Times New Roman" w:hAnsi="Times New Roman" w:cs="Times New Roman"/>
          <w:sz w:val="22"/>
          <w:szCs w:val="22"/>
        </w:rPr>
        <w:t>na trećem mjestu je</w:t>
      </w:r>
      <w:r w:rsidR="00A131AD" w:rsidRPr="00155F80">
        <w:rPr>
          <w:rFonts w:ascii="Times New Roman" w:hAnsi="Times New Roman" w:cs="Times New Roman"/>
          <w:sz w:val="22"/>
          <w:szCs w:val="22"/>
        </w:rPr>
        <w:t xml:space="preserve"> asfi</w:t>
      </w:r>
      <w:r>
        <w:rPr>
          <w:rFonts w:ascii="Times New Roman" w:hAnsi="Times New Roman" w:cs="Times New Roman"/>
          <w:sz w:val="22"/>
          <w:szCs w:val="22"/>
        </w:rPr>
        <w:t>ksija novorođenčeta (P21) sa 10,4%. Na četvrtom mjestu su se pojavili kardiovaskularni poremećaji po</w:t>
      </w:r>
      <w:r w:rsidR="00D47907">
        <w:rPr>
          <w:rFonts w:ascii="Times New Roman" w:hAnsi="Times New Roman" w:cs="Times New Roman"/>
          <w:sz w:val="22"/>
          <w:szCs w:val="22"/>
        </w:rPr>
        <w:t>d</w:t>
      </w:r>
      <w:r>
        <w:rPr>
          <w:rFonts w:ascii="Times New Roman" w:hAnsi="Times New Roman" w:cs="Times New Roman"/>
          <w:sz w:val="22"/>
          <w:szCs w:val="22"/>
        </w:rPr>
        <w:t>rije</w:t>
      </w:r>
      <w:r w:rsidR="00D47907">
        <w:rPr>
          <w:rFonts w:ascii="Times New Roman" w:hAnsi="Times New Roman" w:cs="Times New Roman"/>
          <w:sz w:val="22"/>
          <w:szCs w:val="22"/>
        </w:rPr>
        <w:t>t</w:t>
      </w:r>
      <w:r>
        <w:rPr>
          <w:rFonts w:ascii="Times New Roman" w:hAnsi="Times New Roman" w:cs="Times New Roman"/>
          <w:sz w:val="22"/>
          <w:szCs w:val="22"/>
        </w:rPr>
        <w:t xml:space="preserve">lom iz perinatalnog </w:t>
      </w:r>
      <w:r w:rsidR="00F70FD4">
        <w:rPr>
          <w:rFonts w:ascii="Times New Roman" w:hAnsi="Times New Roman" w:cs="Times New Roman"/>
          <w:sz w:val="22"/>
          <w:szCs w:val="22"/>
        </w:rPr>
        <w:t>perioda</w:t>
      </w:r>
      <w:r>
        <w:rPr>
          <w:rFonts w:ascii="Times New Roman" w:hAnsi="Times New Roman" w:cs="Times New Roman"/>
          <w:sz w:val="22"/>
          <w:szCs w:val="22"/>
        </w:rPr>
        <w:t xml:space="preserve"> (P29) sa 3,2% u</w:t>
      </w:r>
      <w:r w:rsidR="00243A26">
        <w:rPr>
          <w:rFonts w:ascii="Times New Roman" w:hAnsi="Times New Roman" w:cs="Times New Roman"/>
          <w:sz w:val="22"/>
          <w:szCs w:val="22"/>
        </w:rPr>
        <w:t>djela</w:t>
      </w:r>
      <w:r>
        <w:rPr>
          <w:rFonts w:ascii="Times New Roman" w:hAnsi="Times New Roman" w:cs="Times New Roman"/>
          <w:sz w:val="22"/>
          <w:szCs w:val="22"/>
        </w:rPr>
        <w:t>,</w:t>
      </w:r>
      <w:r w:rsidR="0036022F">
        <w:rPr>
          <w:rFonts w:ascii="Times New Roman" w:hAnsi="Times New Roman" w:cs="Times New Roman"/>
          <w:sz w:val="22"/>
          <w:szCs w:val="22"/>
        </w:rPr>
        <w:t xml:space="preserve"> a kao peti uzrok umiranja s</w:t>
      </w:r>
      <w:r>
        <w:rPr>
          <w:rFonts w:ascii="Times New Roman" w:hAnsi="Times New Roman" w:cs="Times New Roman"/>
          <w:sz w:val="22"/>
          <w:szCs w:val="22"/>
        </w:rPr>
        <w:t>e</w:t>
      </w:r>
      <w:r w:rsidR="0036022F">
        <w:rPr>
          <w:rFonts w:ascii="Times New Roman" w:hAnsi="Times New Roman" w:cs="Times New Roman"/>
          <w:sz w:val="22"/>
          <w:szCs w:val="22"/>
        </w:rPr>
        <w:t xml:space="preserve"> pojavila</w:t>
      </w:r>
      <w:r>
        <w:rPr>
          <w:rFonts w:ascii="Times New Roman" w:hAnsi="Times New Roman" w:cs="Times New Roman"/>
          <w:sz w:val="22"/>
          <w:szCs w:val="22"/>
        </w:rPr>
        <w:t xml:space="preserve"> bakterijska sepsa novorođenčeta (P36) sa 2,6% u</w:t>
      </w:r>
      <w:r w:rsidR="00243A26">
        <w:rPr>
          <w:rFonts w:ascii="Times New Roman" w:hAnsi="Times New Roman" w:cs="Times New Roman"/>
          <w:sz w:val="22"/>
          <w:szCs w:val="22"/>
        </w:rPr>
        <w:t>djela</w:t>
      </w:r>
      <w:r w:rsidR="0036022F">
        <w:rPr>
          <w:rFonts w:ascii="Times New Roman" w:hAnsi="Times New Roman" w:cs="Times New Roman"/>
          <w:sz w:val="22"/>
          <w:szCs w:val="22"/>
        </w:rPr>
        <w:t>.</w:t>
      </w:r>
    </w:p>
    <w:p w:rsidR="0036022F" w:rsidRDefault="0036022F" w:rsidP="000C0138">
      <w:pPr>
        <w:pStyle w:val="Default"/>
        <w:spacing w:line="276" w:lineRule="auto"/>
        <w:jc w:val="both"/>
        <w:rPr>
          <w:rFonts w:ascii="Times New Roman" w:hAnsi="Times New Roman" w:cs="Times New Roman"/>
          <w:sz w:val="22"/>
          <w:szCs w:val="22"/>
        </w:rPr>
      </w:pPr>
    </w:p>
    <w:p w:rsidR="00B67F7F" w:rsidRDefault="00B67F7F"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Pr="00155F80" w:rsidRDefault="003E3695" w:rsidP="000C0138">
      <w:pPr>
        <w:pStyle w:val="Default"/>
        <w:spacing w:line="276" w:lineRule="auto"/>
        <w:jc w:val="both"/>
        <w:rPr>
          <w:rFonts w:ascii="Times New Roman" w:hAnsi="Times New Roman" w:cs="Times New Roman"/>
          <w:sz w:val="22"/>
          <w:szCs w:val="22"/>
        </w:rPr>
      </w:pPr>
    </w:p>
    <w:p w:rsidR="00A131AD" w:rsidRPr="00155F80" w:rsidRDefault="00E67339" w:rsidP="00EB7CC7">
      <w:pPr>
        <w:pStyle w:val="refererere"/>
        <w:rPr>
          <w:b/>
          <w:bCs/>
        </w:rPr>
      </w:pPr>
      <w:r w:rsidRPr="00155F80">
        <w:t>Grafikon 24:</w:t>
      </w:r>
      <w:r w:rsidR="00A131AD" w:rsidRPr="00155F80">
        <w:t xml:space="preserve"> Vodeći uzroci smrti doje</w:t>
      </w:r>
      <w:r w:rsidR="00741634">
        <w:t>nčadi u FB</w:t>
      </w:r>
      <w:r w:rsidR="00A131AD" w:rsidRPr="00155F80">
        <w:t>iH, 2010. i 2015.</w:t>
      </w:r>
      <w:r w:rsidR="0061286D">
        <w:t xml:space="preserve"> </w:t>
      </w:r>
      <w:r w:rsidR="00A131AD" w:rsidRPr="00155F80">
        <w:t>godina, po oboljenjima, indeks strukture</w:t>
      </w: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noProof/>
          <w:sz w:val="22"/>
          <w:szCs w:val="22"/>
          <w:lang w:val="en-GB" w:eastAsia="en-GB"/>
        </w:rPr>
        <w:drawing>
          <wp:inline distT="0" distB="0" distL="0" distR="0" wp14:anchorId="2DF277DC" wp14:editId="49ED0F9C">
            <wp:extent cx="5486400" cy="2800350"/>
            <wp:effectExtent l="0" t="0" r="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6A31AA" w:rsidRDefault="00AE2EDA" w:rsidP="00A06016">
      <w:pPr>
        <w:pStyle w:val="Poglavlje3"/>
      </w:pPr>
      <w:bookmarkStart w:id="25" w:name="_Toc460929192"/>
      <w:r>
        <w:t xml:space="preserve">3.1.5 </w:t>
      </w:r>
      <w:r w:rsidR="00A131AD" w:rsidRPr="006A31AA">
        <w:t>Smrtnost djece do 5 godina starosti</w:t>
      </w:r>
      <w:bookmarkEnd w:id="25"/>
    </w:p>
    <w:p w:rsidR="00A131AD" w:rsidRPr="006A31AA" w:rsidRDefault="00A131AD" w:rsidP="000C0138">
      <w:pPr>
        <w:pStyle w:val="Default"/>
        <w:spacing w:line="276" w:lineRule="auto"/>
        <w:jc w:val="both"/>
        <w:rPr>
          <w:rFonts w:ascii="Times New Roman" w:hAnsi="Times New Roman" w:cs="Times New Roman"/>
          <w:b/>
          <w:bCs/>
          <w:sz w:val="22"/>
          <w:szCs w:val="22"/>
        </w:rPr>
      </w:pPr>
    </w:p>
    <w:p w:rsidR="00A131AD" w:rsidRPr="00B67F7F" w:rsidRDefault="00A131AD" w:rsidP="000C0138">
      <w:pPr>
        <w:pStyle w:val="Default"/>
        <w:spacing w:line="276" w:lineRule="auto"/>
        <w:jc w:val="both"/>
        <w:rPr>
          <w:rFonts w:ascii="Times New Roman" w:hAnsi="Times New Roman" w:cs="Times New Roman"/>
          <w:color w:val="auto"/>
          <w:sz w:val="22"/>
          <w:szCs w:val="22"/>
        </w:rPr>
      </w:pPr>
      <w:r w:rsidRPr="006A31AA">
        <w:rPr>
          <w:rFonts w:ascii="Times New Roman" w:hAnsi="Times New Roman" w:cs="Times New Roman"/>
          <w:sz w:val="22"/>
          <w:szCs w:val="22"/>
        </w:rPr>
        <w:t>Stopa smrtnosti djece starosti do pet godina u 2015. godini je izn</w:t>
      </w:r>
      <w:r w:rsidR="00E572FB">
        <w:rPr>
          <w:rFonts w:ascii="Times New Roman" w:hAnsi="Times New Roman" w:cs="Times New Roman"/>
          <w:sz w:val="22"/>
          <w:szCs w:val="22"/>
        </w:rPr>
        <w:t xml:space="preserve">osila 9,4 na 1.000 živorođenih i skoro </w:t>
      </w:r>
      <w:r w:rsidR="00E572FB" w:rsidRPr="00B67F7F">
        <w:rPr>
          <w:rFonts w:ascii="Times New Roman" w:hAnsi="Times New Roman" w:cs="Times New Roman"/>
          <w:color w:val="auto"/>
          <w:sz w:val="22"/>
          <w:szCs w:val="22"/>
        </w:rPr>
        <w:t>je ista kao u 2010. godini</w:t>
      </w:r>
      <w:r w:rsidRPr="00B67F7F">
        <w:rPr>
          <w:rFonts w:ascii="Times New Roman" w:hAnsi="Times New Roman" w:cs="Times New Roman"/>
          <w:color w:val="auto"/>
          <w:sz w:val="22"/>
          <w:szCs w:val="22"/>
        </w:rPr>
        <w:t xml:space="preserve"> </w:t>
      </w:r>
      <w:r w:rsidR="009E48BE" w:rsidRPr="00B67F7F">
        <w:rPr>
          <w:rFonts w:ascii="Times New Roman" w:hAnsi="Times New Roman" w:cs="Times New Roman"/>
          <w:color w:val="auto"/>
          <w:sz w:val="22"/>
          <w:szCs w:val="22"/>
        </w:rPr>
        <w:t>(9,3/</w:t>
      </w:r>
      <w:r w:rsidRPr="00B67F7F">
        <w:rPr>
          <w:rFonts w:ascii="Times New Roman" w:hAnsi="Times New Roman" w:cs="Times New Roman"/>
          <w:color w:val="auto"/>
          <w:sz w:val="22"/>
          <w:szCs w:val="22"/>
        </w:rPr>
        <w:t>1000 živorođenih</w:t>
      </w:r>
      <w:r w:rsidR="009E48BE" w:rsidRPr="00B67F7F">
        <w:rPr>
          <w:rFonts w:ascii="Times New Roman" w:hAnsi="Times New Roman" w:cs="Times New Roman"/>
          <w:color w:val="auto"/>
          <w:sz w:val="22"/>
          <w:szCs w:val="22"/>
        </w:rPr>
        <w:t>)</w:t>
      </w:r>
      <w:r w:rsidRPr="00B67F7F">
        <w:rPr>
          <w:rFonts w:ascii="Times New Roman" w:hAnsi="Times New Roman" w:cs="Times New Roman"/>
          <w:color w:val="auto"/>
          <w:sz w:val="22"/>
          <w:szCs w:val="22"/>
        </w:rPr>
        <w:t xml:space="preserve">. </w:t>
      </w:r>
      <w:r w:rsidR="006D674E" w:rsidRPr="00B67F7F">
        <w:rPr>
          <w:rFonts w:ascii="Times New Roman" w:hAnsi="Times New Roman" w:cs="Times New Roman"/>
          <w:color w:val="auto"/>
          <w:sz w:val="22"/>
          <w:szCs w:val="22"/>
        </w:rPr>
        <w:t xml:space="preserve">Ova stopa za </w:t>
      </w:r>
      <w:r w:rsidR="00D47907">
        <w:rPr>
          <w:rFonts w:ascii="Times New Roman" w:hAnsi="Times New Roman" w:cs="Times New Roman"/>
          <w:color w:val="auto"/>
          <w:sz w:val="22"/>
          <w:szCs w:val="22"/>
        </w:rPr>
        <w:t>eu</w:t>
      </w:r>
      <w:r w:rsidR="006D674E" w:rsidRPr="00B67F7F">
        <w:rPr>
          <w:rFonts w:ascii="Times New Roman" w:hAnsi="Times New Roman" w:cs="Times New Roman"/>
          <w:color w:val="auto"/>
          <w:sz w:val="22"/>
          <w:szCs w:val="22"/>
        </w:rPr>
        <w:t>ropsk</w:t>
      </w:r>
      <w:r w:rsidR="00D47907">
        <w:rPr>
          <w:rFonts w:ascii="Times New Roman" w:hAnsi="Times New Roman" w:cs="Times New Roman"/>
          <w:color w:val="auto"/>
          <w:sz w:val="22"/>
          <w:szCs w:val="22"/>
        </w:rPr>
        <w:t>u</w:t>
      </w:r>
      <w:r w:rsidR="006D674E" w:rsidRPr="00B67F7F">
        <w:rPr>
          <w:rFonts w:ascii="Times New Roman" w:hAnsi="Times New Roman" w:cs="Times New Roman"/>
          <w:color w:val="auto"/>
          <w:sz w:val="22"/>
          <w:szCs w:val="22"/>
        </w:rPr>
        <w:t xml:space="preserve"> regi</w:t>
      </w:r>
      <w:r w:rsidR="00D47907">
        <w:rPr>
          <w:rFonts w:ascii="Times New Roman" w:hAnsi="Times New Roman" w:cs="Times New Roman"/>
          <w:color w:val="auto"/>
          <w:sz w:val="22"/>
          <w:szCs w:val="22"/>
        </w:rPr>
        <w:t>ju</w:t>
      </w:r>
      <w:r w:rsidR="006D674E" w:rsidRPr="00B67F7F">
        <w:rPr>
          <w:rFonts w:ascii="Times New Roman" w:hAnsi="Times New Roman" w:cs="Times New Roman"/>
          <w:color w:val="auto"/>
          <w:sz w:val="22"/>
          <w:szCs w:val="22"/>
        </w:rPr>
        <w:t xml:space="preserve"> ima sličnu vrijednost kao u Federaciji BiH i iznosi 9,01/1.000 živorođenih.</w:t>
      </w:r>
    </w:p>
    <w:p w:rsidR="006A31AA" w:rsidRPr="00B67F7F" w:rsidRDefault="006A31AA" w:rsidP="000C0138">
      <w:pPr>
        <w:pStyle w:val="Default"/>
        <w:spacing w:line="276" w:lineRule="auto"/>
        <w:jc w:val="both"/>
        <w:rPr>
          <w:rFonts w:ascii="Times New Roman" w:hAnsi="Times New Roman" w:cs="Times New Roman"/>
          <w:color w:val="auto"/>
          <w:sz w:val="22"/>
          <w:szCs w:val="22"/>
        </w:rPr>
      </w:pPr>
    </w:p>
    <w:p w:rsidR="00A131AD" w:rsidRPr="006A31AA" w:rsidRDefault="00A131AD" w:rsidP="000C0138">
      <w:pPr>
        <w:pStyle w:val="Default"/>
        <w:spacing w:line="276" w:lineRule="auto"/>
        <w:jc w:val="both"/>
        <w:rPr>
          <w:rFonts w:ascii="Times New Roman" w:hAnsi="Times New Roman" w:cs="Times New Roman"/>
          <w:sz w:val="22"/>
          <w:szCs w:val="22"/>
        </w:rPr>
      </w:pPr>
      <w:r w:rsidRPr="006A31AA">
        <w:rPr>
          <w:rFonts w:ascii="Times New Roman" w:hAnsi="Times New Roman" w:cs="Times New Roman"/>
          <w:sz w:val="22"/>
          <w:szCs w:val="22"/>
        </w:rPr>
        <w:t>U 2015. godini, kao i 2010. g</w:t>
      </w:r>
      <w:r w:rsidR="006A31AA" w:rsidRPr="006A31AA">
        <w:rPr>
          <w:rFonts w:ascii="Times New Roman" w:hAnsi="Times New Roman" w:cs="Times New Roman"/>
          <w:sz w:val="22"/>
          <w:szCs w:val="22"/>
        </w:rPr>
        <w:t>odine vodeće grupe oboljenja koji su vodeći</w:t>
      </w:r>
      <w:r w:rsidRPr="006A31AA">
        <w:rPr>
          <w:rFonts w:ascii="Times New Roman" w:hAnsi="Times New Roman" w:cs="Times New Roman"/>
          <w:sz w:val="22"/>
          <w:szCs w:val="22"/>
        </w:rPr>
        <w:t xml:space="preserve"> uzroci smrti djece starosti do 5 godina u Federaciji BiH su bila određena stanja po</w:t>
      </w:r>
      <w:r w:rsidR="00D47907">
        <w:rPr>
          <w:rFonts w:ascii="Times New Roman" w:hAnsi="Times New Roman" w:cs="Times New Roman"/>
          <w:sz w:val="22"/>
          <w:szCs w:val="22"/>
        </w:rPr>
        <w:t>d</w:t>
      </w:r>
      <w:r w:rsidRPr="006A31AA">
        <w:rPr>
          <w:rFonts w:ascii="Times New Roman" w:hAnsi="Times New Roman" w:cs="Times New Roman"/>
          <w:sz w:val="22"/>
          <w:szCs w:val="22"/>
        </w:rPr>
        <w:t>rije</w:t>
      </w:r>
      <w:r w:rsidR="00D47907">
        <w:rPr>
          <w:rFonts w:ascii="Times New Roman" w:hAnsi="Times New Roman" w:cs="Times New Roman"/>
          <w:sz w:val="22"/>
          <w:szCs w:val="22"/>
        </w:rPr>
        <w:t>t</w:t>
      </w:r>
      <w:r w:rsidRPr="006A31AA">
        <w:rPr>
          <w:rFonts w:ascii="Times New Roman" w:hAnsi="Times New Roman" w:cs="Times New Roman"/>
          <w:sz w:val="22"/>
          <w:szCs w:val="22"/>
        </w:rPr>
        <w:t xml:space="preserve">lom iz perinatalnog </w:t>
      </w:r>
      <w:r w:rsidR="00F70FD4">
        <w:rPr>
          <w:rFonts w:ascii="Times New Roman" w:hAnsi="Times New Roman" w:cs="Times New Roman"/>
          <w:sz w:val="22"/>
          <w:szCs w:val="22"/>
        </w:rPr>
        <w:t>perioda</w:t>
      </w:r>
      <w:r w:rsidRPr="006A31AA">
        <w:rPr>
          <w:rFonts w:ascii="Times New Roman" w:hAnsi="Times New Roman" w:cs="Times New Roman"/>
          <w:sz w:val="22"/>
          <w:szCs w:val="22"/>
        </w:rPr>
        <w:t xml:space="preserve"> (P00-P96) sa stopom od 5,5/1000 živorođenih, potom oboljenja krvožilnog </w:t>
      </w:r>
      <w:r w:rsidR="00512E30">
        <w:rPr>
          <w:rFonts w:ascii="Times New Roman" w:hAnsi="Times New Roman" w:cs="Times New Roman"/>
          <w:sz w:val="22"/>
          <w:szCs w:val="22"/>
        </w:rPr>
        <w:t>sistem</w:t>
      </w:r>
      <w:r w:rsidR="00D47907">
        <w:rPr>
          <w:rFonts w:ascii="Times New Roman" w:hAnsi="Times New Roman" w:cs="Times New Roman"/>
          <w:sz w:val="22"/>
          <w:szCs w:val="22"/>
        </w:rPr>
        <w:t>a</w:t>
      </w:r>
      <w:r w:rsidRPr="006A31AA">
        <w:rPr>
          <w:rFonts w:ascii="Times New Roman" w:hAnsi="Times New Roman" w:cs="Times New Roman"/>
          <w:sz w:val="22"/>
          <w:szCs w:val="22"/>
        </w:rPr>
        <w:t xml:space="preserve"> (I00-I99) čija je stopa iznosila 0,9/1000 živorođenih, slijede kongenitalne malformacije i </w:t>
      </w:r>
      <w:r w:rsidR="00D47907">
        <w:rPr>
          <w:rFonts w:ascii="Times New Roman" w:hAnsi="Times New Roman" w:cs="Times New Roman"/>
          <w:sz w:val="22"/>
          <w:szCs w:val="22"/>
        </w:rPr>
        <w:t>k</w:t>
      </w:r>
      <w:r w:rsidRPr="006A31AA">
        <w:rPr>
          <w:rFonts w:ascii="Times New Roman" w:hAnsi="Times New Roman" w:cs="Times New Roman"/>
          <w:sz w:val="22"/>
          <w:szCs w:val="22"/>
        </w:rPr>
        <w:t xml:space="preserve">romozomske abnormalnosti (Q00-Q99) sa stopom od 0,6/1000 živorođenih, određene infektivne i parazitarne bolesti (A00-B99) sa stopom 0,6/1000 živorođenih i oboljenja </w:t>
      </w:r>
      <w:r w:rsidR="00D47907">
        <w:rPr>
          <w:rFonts w:ascii="Times New Roman" w:hAnsi="Times New Roman" w:cs="Times New Roman"/>
          <w:sz w:val="22"/>
          <w:szCs w:val="22"/>
        </w:rPr>
        <w:t>živčanog</w:t>
      </w:r>
      <w:r w:rsidRPr="006A31AA">
        <w:rPr>
          <w:rFonts w:ascii="Times New Roman" w:hAnsi="Times New Roman" w:cs="Times New Roman"/>
          <w:sz w:val="22"/>
          <w:szCs w:val="22"/>
        </w:rPr>
        <w:t xml:space="preserve"> </w:t>
      </w:r>
      <w:r w:rsidR="00512E30">
        <w:rPr>
          <w:rFonts w:ascii="Times New Roman" w:hAnsi="Times New Roman" w:cs="Times New Roman"/>
          <w:sz w:val="22"/>
          <w:szCs w:val="22"/>
        </w:rPr>
        <w:t>sistem</w:t>
      </w:r>
      <w:r w:rsidR="00D47907">
        <w:rPr>
          <w:rFonts w:ascii="Times New Roman" w:hAnsi="Times New Roman" w:cs="Times New Roman"/>
          <w:sz w:val="22"/>
          <w:szCs w:val="22"/>
        </w:rPr>
        <w:t>a</w:t>
      </w:r>
      <w:r w:rsidRPr="006A31AA">
        <w:rPr>
          <w:rFonts w:ascii="Times New Roman" w:hAnsi="Times New Roman" w:cs="Times New Roman"/>
          <w:sz w:val="22"/>
          <w:szCs w:val="22"/>
        </w:rPr>
        <w:t xml:space="preserve"> (G00-G99) sa stopom od 0,6/1000 živorođenih. </w:t>
      </w:r>
    </w:p>
    <w:p w:rsidR="00A131AD" w:rsidRPr="00155F80" w:rsidRDefault="00587CDA"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Pokazatelji</w:t>
      </w:r>
      <w:r w:rsidR="00A131AD" w:rsidRPr="006A31AA">
        <w:rPr>
          <w:rFonts w:ascii="Times New Roman" w:hAnsi="Times New Roman" w:cs="Times New Roman"/>
          <w:sz w:val="22"/>
          <w:szCs w:val="22"/>
        </w:rPr>
        <w:t xml:space="preserve"> smrtnosti djece do pet godina života su veoma </w:t>
      </w:r>
      <w:r w:rsidR="00430206">
        <w:rPr>
          <w:rFonts w:ascii="Times New Roman" w:hAnsi="Times New Roman" w:cs="Times New Roman"/>
          <w:sz w:val="22"/>
          <w:szCs w:val="22"/>
        </w:rPr>
        <w:t>važni</w:t>
      </w:r>
      <w:r w:rsidR="00A131AD" w:rsidRPr="006A31AA">
        <w:rPr>
          <w:rFonts w:ascii="Times New Roman" w:hAnsi="Times New Roman" w:cs="Times New Roman"/>
          <w:sz w:val="22"/>
          <w:szCs w:val="22"/>
        </w:rPr>
        <w:t xml:space="preserve"> za procjenu zdravstvenog stanja cjelokupne populacije i razvoja zemlje.</w:t>
      </w:r>
      <w:r w:rsidR="00A131AD" w:rsidRPr="00155F80">
        <w:rPr>
          <w:rFonts w:ascii="Times New Roman" w:hAnsi="Times New Roman" w:cs="Times New Roman"/>
          <w:sz w:val="22"/>
          <w:szCs w:val="22"/>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25: Vodeće grupe oboljenja kao uzroci smrti kod djece do 5 godina života u Federaciji BiH, 2010. i 2015. godina, stopa na 1.000 živorođenih</w:t>
      </w:r>
    </w:p>
    <w:p w:rsidR="00A131AD" w:rsidRPr="00155F80" w:rsidRDefault="00A131AD" w:rsidP="000C0138">
      <w:pPr>
        <w:pStyle w:val="Default"/>
        <w:spacing w:line="276" w:lineRule="auto"/>
        <w:jc w:val="both"/>
        <w:rPr>
          <w:rFonts w:ascii="Times New Roman" w:hAnsi="Times New Roman" w:cs="Times New Roman"/>
          <w:color w:val="FF0000"/>
          <w:sz w:val="22"/>
          <w:szCs w:val="22"/>
        </w:rPr>
      </w:pPr>
      <w:r w:rsidRPr="00155F80">
        <w:rPr>
          <w:rFonts w:ascii="Times New Roman" w:hAnsi="Times New Roman" w:cs="Times New Roman"/>
          <w:noProof/>
          <w:color w:val="FF0000"/>
          <w:sz w:val="22"/>
          <w:szCs w:val="22"/>
          <w:lang w:val="en-GB" w:eastAsia="en-GB"/>
        </w:rPr>
        <w:drawing>
          <wp:inline distT="0" distB="0" distL="0" distR="0" wp14:anchorId="267CAD1A" wp14:editId="18097D03">
            <wp:extent cx="5678905" cy="2334126"/>
            <wp:effectExtent l="0" t="0" r="17145" b="9525"/>
            <wp:docPr id="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131AD" w:rsidRPr="00155F80" w:rsidRDefault="00A131AD" w:rsidP="000C0138">
      <w:pPr>
        <w:spacing w:after="160" w:line="276" w:lineRule="auto"/>
        <w:rPr>
          <w:rFonts w:ascii="Times New Roman" w:eastAsiaTheme="minorHAnsi" w:hAnsi="Times New Roman"/>
          <w:b/>
          <w:lang w:val="bs-Latn-BA"/>
        </w:rPr>
      </w:pPr>
    </w:p>
    <w:p w:rsidR="00A131AD" w:rsidRPr="00155F80" w:rsidRDefault="000E1376" w:rsidP="000C0138">
      <w:pPr>
        <w:pStyle w:val="Poglavlje2"/>
        <w:spacing w:line="276" w:lineRule="auto"/>
        <w:rPr>
          <w:rFonts w:eastAsiaTheme="minorHAnsi"/>
          <w:lang w:val="bs-Latn-BA"/>
        </w:rPr>
      </w:pPr>
      <w:bookmarkStart w:id="26" w:name="_Toc460929193"/>
      <w:r w:rsidRPr="00155F80">
        <w:rPr>
          <w:rFonts w:eastAsiaTheme="minorHAnsi"/>
          <w:lang w:val="bs-Latn-BA"/>
        </w:rPr>
        <w:t xml:space="preserve">3.2 </w:t>
      </w:r>
      <w:r w:rsidR="00401161">
        <w:rPr>
          <w:rFonts w:eastAsiaTheme="minorHAnsi"/>
          <w:lang w:val="bs-Latn-BA"/>
        </w:rPr>
        <w:t>Morbiditet (</w:t>
      </w:r>
      <w:r w:rsidR="00512E30">
        <w:rPr>
          <w:rFonts w:eastAsiaTheme="minorHAnsi"/>
          <w:lang w:val="bs-Latn-BA"/>
        </w:rPr>
        <w:t>obolijevanje</w:t>
      </w:r>
      <w:r w:rsidR="00401161">
        <w:rPr>
          <w:rFonts w:eastAsiaTheme="minorHAnsi"/>
          <w:lang w:val="bs-Latn-BA"/>
        </w:rPr>
        <w:t>)</w:t>
      </w:r>
      <w:bookmarkEnd w:id="26"/>
      <w:r w:rsidR="00A131AD" w:rsidRPr="00155F80">
        <w:rPr>
          <w:rFonts w:eastAsiaTheme="minorHAnsi"/>
          <w:lang w:val="bs-Latn-BA"/>
        </w:rPr>
        <w:t xml:space="preserve">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Stopa obolijevanja stanovništva Federacije BiH registr</w:t>
      </w:r>
      <w:r w:rsidR="00430206">
        <w:rPr>
          <w:rFonts w:ascii="Times New Roman" w:eastAsiaTheme="minorHAnsi" w:hAnsi="Times New Roman"/>
          <w:lang w:val="bs-Latn-BA"/>
        </w:rPr>
        <w:t>irana</w:t>
      </w:r>
      <w:r w:rsidRPr="00155F80">
        <w:rPr>
          <w:rFonts w:ascii="Times New Roman" w:eastAsiaTheme="minorHAnsi" w:hAnsi="Times New Roman"/>
          <w:lang w:val="bs-Latn-BA"/>
        </w:rPr>
        <w:t xml:space="preserve"> na </w:t>
      </w:r>
      <w:r w:rsidR="002B489B">
        <w:rPr>
          <w:rFonts w:ascii="Times New Roman" w:eastAsiaTheme="minorHAnsi" w:hAnsi="Times New Roman"/>
          <w:lang w:val="bs-Latn-BA"/>
        </w:rPr>
        <w:t>nivou</w:t>
      </w:r>
      <w:r w:rsidR="00430206">
        <w:rPr>
          <w:rFonts w:ascii="Times New Roman" w:eastAsiaTheme="minorHAnsi" w:hAnsi="Times New Roman"/>
          <w:lang w:val="bs-Latn-BA"/>
        </w:rPr>
        <w:t xml:space="preserve"> </w:t>
      </w:r>
      <w:r w:rsidRPr="00155F80">
        <w:rPr>
          <w:rFonts w:ascii="Times New Roman" w:eastAsiaTheme="minorHAnsi" w:hAnsi="Times New Roman"/>
          <w:lang w:val="bs-Latn-BA"/>
        </w:rPr>
        <w:t>primarne zdravstvene zaštite, u p</w:t>
      </w:r>
      <w:r w:rsidR="00430206">
        <w:rPr>
          <w:rFonts w:ascii="Times New Roman" w:eastAsiaTheme="minorHAnsi" w:hAnsi="Times New Roman"/>
          <w:lang w:val="bs-Latn-BA"/>
        </w:rPr>
        <w:t>r</w:t>
      </w:r>
      <w:r w:rsidRPr="00155F80">
        <w:rPr>
          <w:rFonts w:ascii="Times New Roman" w:eastAsiaTheme="minorHAnsi" w:hAnsi="Times New Roman"/>
          <w:lang w:val="bs-Latn-BA"/>
        </w:rPr>
        <w:t xml:space="preserve">omatranom </w:t>
      </w:r>
      <w:r w:rsidR="00F70FD4">
        <w:rPr>
          <w:rFonts w:ascii="Times New Roman" w:eastAsiaTheme="minorHAnsi" w:hAnsi="Times New Roman"/>
          <w:lang w:val="bs-Latn-BA"/>
        </w:rPr>
        <w:t>periodu</w:t>
      </w:r>
      <w:r w:rsidRPr="00155F80">
        <w:rPr>
          <w:rFonts w:ascii="Times New Roman" w:eastAsiaTheme="minorHAnsi" w:hAnsi="Times New Roman"/>
          <w:lang w:val="bs-Latn-BA"/>
        </w:rPr>
        <w:t xml:space="preserve"> je imala trend rasta</w:t>
      </w:r>
      <w:r w:rsidR="009E48BE">
        <w:rPr>
          <w:rFonts w:ascii="Times New Roman" w:eastAsiaTheme="minorHAnsi" w:hAnsi="Times New Roman"/>
          <w:lang w:val="bs-Latn-BA"/>
        </w:rPr>
        <w:t>,</w:t>
      </w:r>
      <w:r w:rsidRPr="00155F80">
        <w:rPr>
          <w:rFonts w:ascii="Times New Roman" w:eastAsiaTheme="minorHAnsi" w:hAnsi="Times New Roman"/>
          <w:lang w:val="bs-Latn-BA"/>
        </w:rPr>
        <w:t xml:space="preserve"> </w:t>
      </w:r>
      <w:r w:rsidR="009E48BE">
        <w:rPr>
          <w:rFonts w:ascii="Times New Roman" w:eastAsiaTheme="minorHAnsi" w:hAnsi="Times New Roman"/>
          <w:lang w:val="bs-Latn-BA"/>
        </w:rPr>
        <w:t xml:space="preserve">sa </w:t>
      </w:r>
      <w:r w:rsidR="00A7123B">
        <w:rPr>
          <w:rFonts w:ascii="Times New Roman" w:eastAsiaTheme="minorHAnsi" w:hAnsi="Times New Roman"/>
          <w:lang w:val="bs-Latn-BA"/>
        </w:rPr>
        <w:t xml:space="preserve">laganim </w:t>
      </w:r>
      <w:r w:rsidR="009E48BE">
        <w:rPr>
          <w:rFonts w:ascii="Times New Roman" w:eastAsiaTheme="minorHAnsi" w:hAnsi="Times New Roman"/>
          <w:lang w:val="bs-Latn-BA"/>
        </w:rPr>
        <w:t>smanjenjem</w:t>
      </w:r>
      <w:r w:rsidRPr="00155F80">
        <w:rPr>
          <w:rFonts w:ascii="Times New Roman" w:eastAsiaTheme="minorHAnsi" w:hAnsi="Times New Roman"/>
          <w:lang w:val="bs-Latn-BA"/>
        </w:rPr>
        <w:t xml:space="preserve"> u 2015. godini.</w:t>
      </w:r>
    </w:p>
    <w:p w:rsidR="00A131AD" w:rsidRPr="00155F80" w:rsidRDefault="00A131AD" w:rsidP="00EB7CC7">
      <w:pPr>
        <w:pStyle w:val="refererere"/>
        <w:rPr>
          <w:rFonts w:eastAsiaTheme="minorHAnsi"/>
          <w:lang w:val="bs-Latn-BA"/>
        </w:rPr>
      </w:pPr>
      <w:r w:rsidRPr="00A7123B">
        <w:rPr>
          <w:rFonts w:eastAsiaTheme="minorHAnsi"/>
          <w:lang w:val="bs-Latn-BA"/>
        </w:rPr>
        <w:t xml:space="preserve">Grafikon 26: </w:t>
      </w:r>
      <w:r w:rsidR="00512E30">
        <w:rPr>
          <w:rFonts w:eastAsiaTheme="minorHAnsi"/>
          <w:lang w:val="bs-Latn-BA"/>
        </w:rPr>
        <w:t>Obolijevanje</w:t>
      </w:r>
      <w:r w:rsidRPr="00A7123B">
        <w:rPr>
          <w:rFonts w:eastAsiaTheme="minorHAnsi"/>
          <w:lang w:val="bs-Latn-BA"/>
        </w:rPr>
        <w:t xml:space="preserve"> stanovništva Federacije BiH za </w:t>
      </w:r>
      <w:r w:rsidR="00F70FD4">
        <w:rPr>
          <w:rFonts w:eastAsiaTheme="minorHAnsi"/>
          <w:lang w:val="bs-Latn-BA"/>
        </w:rPr>
        <w:t>period</w:t>
      </w:r>
      <w:r w:rsidR="00430206">
        <w:rPr>
          <w:rFonts w:eastAsiaTheme="minorHAnsi"/>
          <w:lang w:val="bs-Latn-BA"/>
        </w:rPr>
        <w:t xml:space="preserve"> </w:t>
      </w:r>
      <w:r w:rsidRPr="00A7123B">
        <w:rPr>
          <w:rFonts w:eastAsiaTheme="minorHAnsi"/>
          <w:lang w:val="bs-Latn-BA"/>
        </w:rPr>
        <w:t>2010-2015. godina, stopa na 10.000 stanovnika</w:t>
      </w:r>
    </w:p>
    <w:p w:rsidR="00FE5D56" w:rsidRDefault="007D3614" w:rsidP="00FE5D56">
      <w:pPr>
        <w:spacing w:after="160" w:line="276" w:lineRule="auto"/>
        <w:rPr>
          <w:rFonts w:ascii="Times New Roman" w:eastAsiaTheme="minorHAnsi" w:hAnsi="Times New Roman"/>
          <w:lang w:val="bs-Latn-BA"/>
        </w:rPr>
      </w:pPr>
      <w:r>
        <w:rPr>
          <w:noProof/>
          <w:lang w:eastAsia="en-GB"/>
        </w:rPr>
        <w:drawing>
          <wp:inline distT="0" distB="0" distL="0" distR="0" wp14:anchorId="3F0DA944" wp14:editId="0A2372FE">
            <wp:extent cx="5667375" cy="1552575"/>
            <wp:effectExtent l="0" t="0" r="9525" b="9525"/>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131AD" w:rsidRDefault="00A131AD" w:rsidP="00FE5D56">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Registr</w:t>
      </w:r>
      <w:r w:rsidR="00430206">
        <w:rPr>
          <w:rFonts w:ascii="Times New Roman" w:eastAsiaTheme="minorHAnsi" w:hAnsi="Times New Roman"/>
          <w:lang w:val="bs-Latn-BA"/>
        </w:rPr>
        <w:t>iran</w:t>
      </w:r>
      <w:r w:rsidRPr="00155F80">
        <w:rPr>
          <w:rFonts w:ascii="Times New Roman" w:eastAsiaTheme="minorHAnsi" w:hAnsi="Times New Roman"/>
          <w:lang w:val="bs-Latn-BA"/>
        </w:rPr>
        <w:t xml:space="preserve">i poremećaji zdravlja su se </w:t>
      </w:r>
      <w:r w:rsidR="009E48BE">
        <w:rPr>
          <w:rFonts w:ascii="Times New Roman" w:eastAsiaTheme="minorHAnsi" w:hAnsi="Times New Roman"/>
          <w:lang w:val="bs-Latn-BA"/>
        </w:rPr>
        <w:t>najviše</w:t>
      </w:r>
      <w:r w:rsidRPr="00155F80">
        <w:rPr>
          <w:rFonts w:ascii="Times New Roman" w:eastAsiaTheme="minorHAnsi" w:hAnsi="Times New Roman"/>
          <w:lang w:val="bs-Latn-BA"/>
        </w:rPr>
        <w:t xml:space="preserve"> odnosili na nezarazne bolesti (93,4%), potom na zarazne bolesti (3,3%) i </w:t>
      </w:r>
      <w:r w:rsidR="00D21A46">
        <w:rPr>
          <w:rFonts w:ascii="Times New Roman" w:eastAsiaTheme="minorHAnsi" w:hAnsi="Times New Roman"/>
          <w:lang w:val="bs-Latn-BA"/>
        </w:rPr>
        <w:t>povrede</w:t>
      </w:r>
      <w:r w:rsidRPr="00155F80">
        <w:rPr>
          <w:rFonts w:ascii="Times New Roman" w:eastAsiaTheme="minorHAnsi" w:hAnsi="Times New Roman"/>
          <w:lang w:val="bs-Latn-BA"/>
        </w:rPr>
        <w:t xml:space="preserve"> (3,3%).</w:t>
      </w:r>
    </w:p>
    <w:p w:rsidR="006D674E" w:rsidRPr="00155F80" w:rsidRDefault="006D674E" w:rsidP="00FE5D56">
      <w:pPr>
        <w:spacing w:after="160" w:line="276" w:lineRule="auto"/>
        <w:rPr>
          <w:rFonts w:ascii="Times New Roman" w:eastAsiaTheme="minorHAnsi" w:hAnsi="Times New Roman"/>
          <w:lang w:val="bs-Latn-BA"/>
        </w:rPr>
      </w:pPr>
    </w:p>
    <w:p w:rsidR="00A131AD" w:rsidRDefault="00A131AD" w:rsidP="000C0138">
      <w:pPr>
        <w:pStyle w:val="Poglavlje3"/>
        <w:numPr>
          <w:ilvl w:val="2"/>
          <w:numId w:val="3"/>
        </w:numPr>
        <w:spacing w:line="276" w:lineRule="auto"/>
        <w:rPr>
          <w:rFonts w:eastAsiaTheme="minorHAnsi"/>
          <w:i w:val="0"/>
          <w:lang w:val="bs-Latn-BA"/>
        </w:rPr>
      </w:pPr>
      <w:bookmarkStart w:id="27" w:name="_Toc460929194"/>
      <w:r w:rsidRPr="00155F80">
        <w:rPr>
          <w:rFonts w:eastAsiaTheme="minorHAnsi"/>
          <w:i w:val="0"/>
          <w:lang w:val="bs-Latn-BA"/>
        </w:rPr>
        <w:t>Nezarazne bolesti</w:t>
      </w:r>
      <w:bookmarkEnd w:id="27"/>
    </w:p>
    <w:p w:rsidR="00AE2EDA" w:rsidRPr="00155F80" w:rsidRDefault="00AE2EDA" w:rsidP="000C0138">
      <w:pPr>
        <w:pStyle w:val="Poglavlje3"/>
        <w:spacing w:line="276" w:lineRule="auto"/>
        <w:ind w:left="360"/>
        <w:rPr>
          <w:rFonts w:eastAsiaTheme="minorHAnsi"/>
          <w:i w:val="0"/>
          <w:lang w:val="bs-Latn-BA"/>
        </w:rPr>
      </w:pP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Nezarazne bolesti su jedan od najvećih izazova u 21. </w:t>
      </w:r>
      <w:r w:rsidR="00430206">
        <w:rPr>
          <w:rFonts w:ascii="Times New Roman" w:eastAsiaTheme="minorHAnsi" w:hAnsi="Times New Roman"/>
          <w:lang w:val="bs-Latn-BA"/>
        </w:rPr>
        <w:t>stoljeću</w:t>
      </w:r>
      <w:r w:rsidRPr="00155F80">
        <w:rPr>
          <w:rFonts w:ascii="Times New Roman" w:eastAsiaTheme="minorHAnsi" w:hAnsi="Times New Roman"/>
          <w:lang w:val="bs-Latn-BA"/>
        </w:rPr>
        <w:t xml:space="preserve">. Prema </w:t>
      </w:r>
      <w:r w:rsidR="002B489B">
        <w:rPr>
          <w:rFonts w:ascii="Times New Roman" w:eastAsiaTheme="minorHAnsi" w:hAnsi="Times New Roman"/>
          <w:lang w:val="bs-Latn-BA"/>
        </w:rPr>
        <w:t>podaci</w:t>
      </w:r>
      <w:r w:rsidRPr="00155F80">
        <w:rPr>
          <w:rFonts w:ascii="Times New Roman" w:eastAsiaTheme="minorHAnsi" w:hAnsi="Times New Roman"/>
          <w:lang w:val="bs-Latn-BA"/>
        </w:rPr>
        <w:t>ma Svjetske zdravstvene organizacije (SZO), nezarazne bolesti, pretežno kardiovaskul</w:t>
      </w:r>
      <w:r w:rsidR="00430206">
        <w:rPr>
          <w:rFonts w:ascii="Times New Roman" w:eastAsiaTheme="minorHAnsi" w:hAnsi="Times New Roman"/>
          <w:lang w:val="bs-Latn-BA"/>
        </w:rPr>
        <w:t xml:space="preserve">arne bolesti, rak, dijabetes i </w:t>
      </w:r>
      <w:r w:rsidR="00F70FD4">
        <w:rPr>
          <w:rFonts w:ascii="Times New Roman" w:eastAsiaTheme="minorHAnsi" w:hAnsi="Times New Roman"/>
          <w:lang w:val="bs-Latn-BA"/>
        </w:rPr>
        <w:t>hronične</w:t>
      </w:r>
      <w:r w:rsidRPr="00155F80">
        <w:rPr>
          <w:rFonts w:ascii="Times New Roman" w:eastAsiaTheme="minorHAnsi" w:hAnsi="Times New Roman"/>
          <w:lang w:val="bs-Latn-BA"/>
        </w:rPr>
        <w:t xml:space="preserve"> respiratorne bolesti, odnose najviše života u svijetu i od njih umre 63% od ukupnog broja umrlih u svijetu, od čega više od 14 miliona ljudi umire prerano u dobi između 30 i 70 godina života. Najviše prerano umrlih je iz zemalja sa niskim i srednjim primanjima, što vodi u ekonomske gubitke i siromaštvo.</w:t>
      </w:r>
      <w:r w:rsidR="00AA0D77" w:rsidRPr="00155F80">
        <w:rPr>
          <w:rFonts w:ascii="Times New Roman" w:eastAsiaTheme="minorHAnsi" w:hAnsi="Times New Roman"/>
          <w:lang w:val="bs-Latn-BA"/>
        </w:rPr>
        <w:t xml:space="preserve">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U Federaciji BiH, u </w:t>
      </w:r>
      <w:r w:rsidR="00F70FD4">
        <w:rPr>
          <w:rFonts w:ascii="Times New Roman" w:eastAsiaTheme="minorHAnsi" w:hAnsi="Times New Roman"/>
          <w:lang w:val="bs-Latn-BA"/>
        </w:rPr>
        <w:t>periodu</w:t>
      </w:r>
      <w:r w:rsidRPr="00155F80">
        <w:rPr>
          <w:rFonts w:ascii="Times New Roman" w:eastAsiaTheme="minorHAnsi" w:hAnsi="Times New Roman"/>
          <w:lang w:val="bs-Latn-BA"/>
        </w:rPr>
        <w:t xml:space="preserve"> od 2010.</w:t>
      </w:r>
      <w:r w:rsidR="00430206">
        <w:rPr>
          <w:rFonts w:ascii="Times New Roman" w:eastAsiaTheme="minorHAnsi" w:hAnsi="Times New Roman"/>
          <w:lang w:val="bs-Latn-BA"/>
        </w:rPr>
        <w:t xml:space="preserve"> do </w:t>
      </w:r>
      <w:r w:rsidRPr="00155F80">
        <w:rPr>
          <w:rFonts w:ascii="Times New Roman" w:eastAsiaTheme="minorHAnsi" w:hAnsi="Times New Roman"/>
          <w:lang w:val="bs-Latn-BA"/>
        </w:rPr>
        <w:t>2015. godine, zabilježen je porast stope obolijevanja većine nezaraznih bolesti</w:t>
      </w:r>
      <w:r w:rsidR="005861C0">
        <w:rPr>
          <w:rFonts w:ascii="Times New Roman" w:eastAsiaTheme="minorHAnsi" w:hAnsi="Times New Roman"/>
          <w:lang w:val="bs-Latn-BA"/>
        </w:rPr>
        <w:t xml:space="preserve"> u </w:t>
      </w:r>
      <w:r w:rsidR="00F70FD4">
        <w:rPr>
          <w:rFonts w:ascii="Times New Roman" w:eastAsiaTheme="minorHAnsi" w:hAnsi="Times New Roman"/>
          <w:lang w:val="bs-Latn-BA"/>
        </w:rPr>
        <w:t>periodu</w:t>
      </w:r>
      <w:r w:rsidR="005861C0">
        <w:rPr>
          <w:rFonts w:ascii="Times New Roman" w:eastAsiaTheme="minorHAnsi" w:hAnsi="Times New Roman"/>
          <w:lang w:val="bs-Latn-BA"/>
        </w:rPr>
        <w:t xml:space="preserve"> od 2010.</w:t>
      </w:r>
      <w:r w:rsidR="00430206">
        <w:rPr>
          <w:rFonts w:ascii="Times New Roman" w:eastAsiaTheme="minorHAnsi" w:hAnsi="Times New Roman"/>
          <w:lang w:val="bs-Latn-BA"/>
        </w:rPr>
        <w:t xml:space="preserve"> do </w:t>
      </w:r>
      <w:r w:rsidR="005861C0">
        <w:rPr>
          <w:rFonts w:ascii="Times New Roman" w:eastAsiaTheme="minorHAnsi" w:hAnsi="Times New Roman"/>
          <w:lang w:val="bs-Latn-BA"/>
        </w:rPr>
        <w:t>2015. godine.</w:t>
      </w:r>
    </w:p>
    <w:p w:rsidR="00A131AD" w:rsidRPr="00155F80" w:rsidRDefault="00A131AD" w:rsidP="00EB7CC7">
      <w:pPr>
        <w:pStyle w:val="refererere"/>
        <w:rPr>
          <w:rFonts w:eastAsiaTheme="minorHAnsi"/>
          <w:lang w:val="bs-Latn-BA"/>
        </w:rPr>
      </w:pPr>
      <w:r w:rsidRPr="00A22138">
        <w:rPr>
          <w:rFonts w:eastAsiaTheme="minorHAnsi"/>
          <w:lang w:val="bs-Latn-BA"/>
        </w:rPr>
        <w:t xml:space="preserve">Grafikon 27: Vodeće nezarazne bolesti u Federaciji BiH za </w:t>
      </w:r>
      <w:r w:rsidR="00F70FD4">
        <w:rPr>
          <w:rFonts w:eastAsiaTheme="minorHAnsi"/>
          <w:lang w:val="bs-Latn-BA"/>
        </w:rPr>
        <w:t>period</w:t>
      </w:r>
      <w:r w:rsidRPr="00A22138">
        <w:rPr>
          <w:rFonts w:eastAsiaTheme="minorHAnsi"/>
          <w:lang w:val="bs-Latn-BA"/>
        </w:rPr>
        <w:t xml:space="preserve"> 2010-2015. godine, stopa na 10.000 stanovnika</w:t>
      </w:r>
    </w:p>
    <w:p w:rsidR="009E48BE" w:rsidRDefault="00A22138" w:rsidP="000C0138">
      <w:pPr>
        <w:spacing w:after="160" w:line="276" w:lineRule="auto"/>
        <w:rPr>
          <w:rFonts w:ascii="Times New Roman" w:eastAsiaTheme="minorHAnsi" w:hAnsi="Times New Roman"/>
          <w:lang w:val="bs-Latn-BA"/>
        </w:rPr>
      </w:pPr>
      <w:r>
        <w:rPr>
          <w:noProof/>
          <w:lang w:eastAsia="en-GB"/>
        </w:rPr>
        <w:drawing>
          <wp:inline distT="0" distB="0" distL="0" distR="0" wp14:anchorId="0CFF3339" wp14:editId="355CC6FB">
            <wp:extent cx="5686425" cy="24860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131AD" w:rsidRPr="00155F80" w:rsidRDefault="00512E30" w:rsidP="000C0138">
      <w:pPr>
        <w:spacing w:after="160" w:line="276" w:lineRule="auto"/>
        <w:rPr>
          <w:rFonts w:ascii="Times New Roman" w:eastAsiaTheme="minorHAnsi" w:hAnsi="Times New Roman"/>
          <w:lang w:val="bs-Latn-BA"/>
        </w:rPr>
      </w:pPr>
      <w:r>
        <w:rPr>
          <w:rFonts w:ascii="Times New Roman" w:eastAsiaTheme="minorHAnsi" w:hAnsi="Times New Roman"/>
          <w:lang w:val="bs-Latn-BA"/>
        </w:rPr>
        <w:t>Obolijevanje</w:t>
      </w:r>
      <w:r w:rsidR="00A131AD" w:rsidRPr="00155F80">
        <w:rPr>
          <w:rFonts w:ascii="Times New Roman" w:eastAsiaTheme="minorHAnsi" w:hAnsi="Times New Roman"/>
          <w:lang w:val="bs-Latn-BA"/>
        </w:rPr>
        <w:t xml:space="preserve"> i većina preranih smrti od nezaraznih bolesti se može spriječiti djelujući na zajedničke </w:t>
      </w:r>
      <w:r w:rsidR="00D21A46">
        <w:rPr>
          <w:rFonts w:ascii="Times New Roman" w:eastAsiaTheme="minorHAnsi" w:hAnsi="Times New Roman"/>
          <w:lang w:val="bs-Latn-BA"/>
        </w:rPr>
        <w:t>faktor</w:t>
      </w:r>
      <w:r w:rsidR="00430206">
        <w:rPr>
          <w:rFonts w:ascii="Times New Roman" w:eastAsiaTheme="minorHAnsi" w:hAnsi="Times New Roman"/>
          <w:lang w:val="bs-Latn-BA"/>
        </w:rPr>
        <w:t>e</w:t>
      </w:r>
      <w:r w:rsidR="00A131AD" w:rsidRPr="00155F80">
        <w:rPr>
          <w:rFonts w:ascii="Times New Roman" w:eastAsiaTheme="minorHAnsi" w:hAnsi="Times New Roman"/>
          <w:lang w:val="bs-Latn-BA"/>
        </w:rPr>
        <w:t xml:space="preserve"> rizika: konzumaciju duhana, nepravilnu </w:t>
      </w:r>
      <w:r w:rsidR="00430206">
        <w:rPr>
          <w:rFonts w:ascii="Times New Roman" w:eastAsiaTheme="minorHAnsi" w:hAnsi="Times New Roman"/>
          <w:lang w:val="bs-Latn-BA"/>
        </w:rPr>
        <w:t>pre</w:t>
      </w:r>
      <w:r w:rsidR="00A131AD" w:rsidRPr="00155F80">
        <w:rPr>
          <w:rFonts w:ascii="Times New Roman" w:eastAsiaTheme="minorHAnsi" w:hAnsi="Times New Roman"/>
          <w:lang w:val="bs-Latn-BA"/>
        </w:rPr>
        <w:t xml:space="preserve">hranu, </w:t>
      </w:r>
      <w:r w:rsidR="00430206">
        <w:rPr>
          <w:rFonts w:ascii="Times New Roman" w:eastAsiaTheme="minorHAnsi" w:hAnsi="Times New Roman"/>
          <w:lang w:val="bs-Latn-BA"/>
        </w:rPr>
        <w:t>tjelesnu</w:t>
      </w:r>
      <w:r w:rsidR="00A131AD" w:rsidRPr="00155F80">
        <w:rPr>
          <w:rFonts w:ascii="Times New Roman" w:eastAsiaTheme="minorHAnsi" w:hAnsi="Times New Roman"/>
          <w:lang w:val="bs-Latn-BA"/>
        </w:rPr>
        <w:t xml:space="preserve"> neaktivnost i štetnu upor</w:t>
      </w:r>
      <w:r w:rsidR="00430206">
        <w:rPr>
          <w:rFonts w:ascii="Times New Roman" w:eastAsiaTheme="minorHAnsi" w:hAnsi="Times New Roman"/>
          <w:lang w:val="bs-Latn-BA"/>
        </w:rPr>
        <w:t>a</w:t>
      </w:r>
      <w:r w:rsidR="00A131AD" w:rsidRPr="00155F80">
        <w:rPr>
          <w:rFonts w:ascii="Times New Roman" w:eastAsiaTheme="minorHAnsi" w:hAnsi="Times New Roman"/>
          <w:lang w:val="bs-Latn-BA"/>
        </w:rPr>
        <w:t xml:space="preserve">bu alkohola. S tim u </w:t>
      </w:r>
      <w:r w:rsidR="000E56ED">
        <w:rPr>
          <w:rFonts w:ascii="Times New Roman" w:eastAsiaTheme="minorHAnsi" w:hAnsi="Times New Roman"/>
          <w:lang w:val="bs-Latn-BA"/>
        </w:rPr>
        <w:t>vezi</w:t>
      </w:r>
      <w:r w:rsidR="00A131AD" w:rsidRPr="00155F80">
        <w:rPr>
          <w:rFonts w:ascii="Times New Roman" w:eastAsiaTheme="minorHAnsi" w:hAnsi="Times New Roman"/>
          <w:lang w:val="bs-Latn-BA"/>
        </w:rPr>
        <w:t>, Svjetska zdravstvena skupština je 2013. godine usvojila Globalni akci</w:t>
      </w:r>
      <w:r w:rsidR="00430206">
        <w:rPr>
          <w:rFonts w:ascii="Times New Roman" w:eastAsiaTheme="minorHAnsi" w:hAnsi="Times New Roman"/>
          <w:lang w:val="bs-Latn-BA"/>
        </w:rPr>
        <w:t>jsk</w:t>
      </w:r>
      <w:r w:rsidR="00A131AD" w:rsidRPr="00155F80">
        <w:rPr>
          <w:rFonts w:ascii="Times New Roman" w:eastAsiaTheme="minorHAnsi" w:hAnsi="Times New Roman"/>
          <w:lang w:val="bs-Latn-BA"/>
        </w:rPr>
        <w:t xml:space="preserve">i plan SZO za prevenciju i kontrolu nezaraznih bolesti koji daje putokaz i opcije iz domena politike, koji će, ako se realizuju u </w:t>
      </w:r>
      <w:r w:rsidR="00F70FD4">
        <w:rPr>
          <w:rFonts w:ascii="Times New Roman" w:eastAsiaTheme="minorHAnsi" w:hAnsi="Times New Roman"/>
          <w:lang w:val="bs-Latn-BA"/>
        </w:rPr>
        <w:t>periodu</w:t>
      </w:r>
      <w:r w:rsidR="00A131AD" w:rsidRPr="00155F80">
        <w:rPr>
          <w:rFonts w:ascii="Times New Roman" w:eastAsiaTheme="minorHAnsi" w:hAnsi="Times New Roman"/>
          <w:lang w:val="bs-Latn-BA"/>
        </w:rPr>
        <w:t xml:space="preserve"> 2013.-2020. godine, doprinijeti napretku gled</w:t>
      </w:r>
      <w:r w:rsidR="00430206">
        <w:rPr>
          <w:rFonts w:ascii="Times New Roman" w:eastAsiaTheme="minorHAnsi" w:hAnsi="Times New Roman"/>
          <w:lang w:val="bs-Latn-BA"/>
        </w:rPr>
        <w:t>e</w:t>
      </w:r>
      <w:r w:rsidR="00A131AD" w:rsidRPr="00155F80">
        <w:rPr>
          <w:rFonts w:ascii="Times New Roman" w:eastAsiaTheme="minorHAnsi" w:hAnsi="Times New Roman"/>
          <w:lang w:val="bs-Latn-BA"/>
        </w:rPr>
        <w:t xml:space="preserve"> 9 globalnih ciljeva postavljenih za nezarazne bolesti</w:t>
      </w:r>
      <w:r w:rsidR="008964DC">
        <w:rPr>
          <w:rFonts w:ascii="Times New Roman" w:eastAsiaTheme="minorHAnsi" w:hAnsi="Times New Roman"/>
          <w:lang w:val="bs-Latn-BA"/>
        </w:rPr>
        <w:t>,</w:t>
      </w:r>
      <w:r w:rsidR="00A131AD" w:rsidRPr="00155F80">
        <w:rPr>
          <w:rFonts w:ascii="Times New Roman" w:eastAsiaTheme="minorHAnsi" w:hAnsi="Times New Roman"/>
          <w:lang w:val="bs-Latn-BA"/>
        </w:rPr>
        <w:t xml:space="preserve"> a koji treba da se os</w:t>
      </w:r>
      <w:r w:rsidR="00D21A46">
        <w:rPr>
          <w:rFonts w:ascii="Times New Roman" w:eastAsiaTheme="minorHAnsi" w:hAnsi="Times New Roman"/>
          <w:lang w:val="bs-Latn-BA"/>
        </w:rPr>
        <w:t>materija</w:t>
      </w:r>
      <w:r w:rsidR="00A131AD" w:rsidRPr="00155F80">
        <w:rPr>
          <w:rFonts w:ascii="Times New Roman" w:eastAsiaTheme="minorHAnsi" w:hAnsi="Times New Roman"/>
          <w:lang w:val="bs-Latn-BA"/>
        </w:rPr>
        <w:t xml:space="preserve">e do 2025. godine u </w:t>
      </w:r>
      <w:r w:rsidR="00EC1A09" w:rsidRPr="00155F80">
        <w:rPr>
          <w:rFonts w:ascii="Times New Roman" w:eastAsiaTheme="minorHAnsi" w:hAnsi="Times New Roman"/>
          <w:lang w:val="bs-Latn-BA"/>
        </w:rPr>
        <w:t>o</w:t>
      </w:r>
      <w:r w:rsidR="00A131AD" w:rsidRPr="00155F80">
        <w:rPr>
          <w:rFonts w:ascii="Times New Roman" w:eastAsiaTheme="minorHAnsi" w:hAnsi="Times New Roman"/>
          <w:lang w:val="bs-Latn-BA"/>
        </w:rPr>
        <w:t xml:space="preserve">dnosu na baznu 2010. </w:t>
      </w:r>
      <w:r w:rsidR="00A131AD" w:rsidRPr="00F83CAD">
        <w:rPr>
          <w:rFonts w:ascii="Times New Roman" w:eastAsiaTheme="minorHAnsi" w:hAnsi="Times New Roman"/>
          <w:lang w:val="bs-Latn-BA"/>
        </w:rPr>
        <w:t xml:space="preserve">godinu </w:t>
      </w:r>
      <w:r w:rsidR="004134C0" w:rsidRPr="00F83CAD">
        <w:rPr>
          <w:rFonts w:ascii="Times New Roman" w:eastAsiaTheme="minorHAnsi" w:hAnsi="Times New Roman"/>
          <w:lang w:val="bs-Latn-BA"/>
        </w:rPr>
        <w:t>(8</w:t>
      </w:r>
      <w:r w:rsidR="00B3288D" w:rsidRPr="00F83CAD">
        <w:rPr>
          <w:rFonts w:ascii="Times New Roman" w:eastAsiaTheme="minorHAnsi" w:hAnsi="Times New Roman"/>
          <w:lang w:val="bs-Latn-BA"/>
        </w:rPr>
        <w:t>)</w:t>
      </w:r>
      <w:r w:rsidR="00B3288D" w:rsidRPr="00155F80">
        <w:rPr>
          <w:rFonts w:ascii="Times New Roman" w:eastAsiaTheme="minorHAnsi" w:hAnsi="Times New Roman"/>
          <w:lang w:val="bs-Latn-BA"/>
        </w:rPr>
        <w:t xml:space="preserve"> </w:t>
      </w:r>
      <w:r w:rsidR="00A131AD" w:rsidRPr="00155F80">
        <w:rPr>
          <w:rFonts w:ascii="Times New Roman" w:eastAsiaTheme="minorHAnsi" w:hAnsi="Times New Roman"/>
          <w:lang w:val="bs-Latn-BA"/>
        </w:rPr>
        <w:t>Globalni ciljevi su:</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 xml:space="preserve">Smanjenje rizika od ranog umiranja od kardiovaskularnih bolesti, raka, dijabetesa i </w:t>
      </w:r>
      <w:r w:rsidR="00512E30">
        <w:rPr>
          <w:rFonts w:ascii="Times New Roman" w:eastAsiaTheme="minorHAnsi" w:hAnsi="Times New Roman"/>
          <w:lang w:val="bs-Latn-BA"/>
        </w:rPr>
        <w:t>hronični</w:t>
      </w:r>
      <w:r w:rsidRPr="00155F80">
        <w:rPr>
          <w:rFonts w:ascii="Times New Roman" w:eastAsiaTheme="minorHAnsi" w:hAnsi="Times New Roman"/>
          <w:lang w:val="bs-Latn-BA"/>
        </w:rPr>
        <w:t>h respiratornih bolesti za 25%</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 xml:space="preserve">Smanjenje štetne </w:t>
      </w:r>
      <w:r w:rsidR="00526FD0">
        <w:rPr>
          <w:rFonts w:ascii="Times New Roman" w:eastAsiaTheme="minorHAnsi" w:hAnsi="Times New Roman"/>
          <w:lang w:val="bs-Latn-BA"/>
        </w:rPr>
        <w:t>upotrebe</w:t>
      </w:r>
      <w:r w:rsidRPr="00155F80">
        <w:rPr>
          <w:rFonts w:ascii="Times New Roman" w:eastAsiaTheme="minorHAnsi" w:hAnsi="Times New Roman"/>
          <w:lang w:val="bs-Latn-BA"/>
        </w:rPr>
        <w:t xml:space="preserve"> alkohola za najmanje 10%</w:t>
      </w:r>
    </w:p>
    <w:p w:rsidR="00A131AD" w:rsidRPr="00155F80" w:rsidRDefault="00EC1A09"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prevalence nedovoljna</w:t>
      </w:r>
      <w:r w:rsidR="00A131AD" w:rsidRPr="00155F80">
        <w:rPr>
          <w:rFonts w:ascii="Times New Roman" w:eastAsiaTheme="minorHAnsi" w:hAnsi="Times New Roman"/>
          <w:lang w:val="bs-Latn-BA"/>
        </w:rPr>
        <w:t xml:space="preserve"> </w:t>
      </w:r>
      <w:r w:rsidR="00030E44">
        <w:rPr>
          <w:rFonts w:ascii="Times New Roman" w:eastAsiaTheme="minorHAnsi" w:hAnsi="Times New Roman"/>
          <w:lang w:val="bs-Latn-BA"/>
        </w:rPr>
        <w:t>tjelesne</w:t>
      </w:r>
      <w:r w:rsidR="00A131AD" w:rsidRPr="00155F80">
        <w:rPr>
          <w:rFonts w:ascii="Times New Roman" w:eastAsiaTheme="minorHAnsi" w:hAnsi="Times New Roman"/>
          <w:lang w:val="bs-Latn-BA"/>
        </w:rPr>
        <w:t xml:space="preserve"> aktivnosti za 10%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Smanjenja prosječnog unosa soli za 30%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w:t>
      </w:r>
      <w:r w:rsidR="00030E44">
        <w:rPr>
          <w:rFonts w:ascii="Times New Roman" w:eastAsiaTheme="minorHAnsi" w:hAnsi="Times New Roman"/>
          <w:lang w:val="bs-Latn-BA"/>
        </w:rPr>
        <w:t>ij</w:t>
      </w:r>
      <w:r w:rsidRPr="00155F80">
        <w:rPr>
          <w:rFonts w:ascii="Times New Roman" w:eastAsiaTheme="minorHAnsi" w:hAnsi="Times New Roman"/>
          <w:lang w:val="bs-Latn-BA"/>
        </w:rPr>
        <w:t>e konzumacije duhana kod osoba starosti 15 i više godina za 30%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w:t>
      </w:r>
      <w:r w:rsidR="00030E44">
        <w:rPr>
          <w:rFonts w:ascii="Times New Roman" w:eastAsiaTheme="minorHAnsi" w:hAnsi="Times New Roman"/>
          <w:lang w:val="bs-Latn-BA"/>
        </w:rPr>
        <w:t>ij</w:t>
      </w:r>
      <w:r w:rsidRPr="00155F80">
        <w:rPr>
          <w:rFonts w:ascii="Times New Roman" w:eastAsiaTheme="minorHAnsi" w:hAnsi="Times New Roman"/>
          <w:lang w:val="bs-Latn-BA"/>
        </w:rPr>
        <w:t xml:space="preserve">e povišenog krvnog </w:t>
      </w:r>
      <w:r w:rsidR="00030E44">
        <w:rPr>
          <w:rFonts w:ascii="Times New Roman" w:eastAsiaTheme="minorHAnsi" w:hAnsi="Times New Roman"/>
          <w:lang w:val="bs-Latn-BA"/>
        </w:rPr>
        <w:t>tlaka</w:t>
      </w:r>
      <w:r w:rsidRPr="00155F80">
        <w:rPr>
          <w:rFonts w:ascii="Times New Roman" w:eastAsiaTheme="minorHAnsi" w:hAnsi="Times New Roman"/>
          <w:lang w:val="bs-Latn-BA"/>
        </w:rPr>
        <w:t xml:space="preserve"> za 10%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Zaustaviti porast dijabetesa i gojaznosti</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Najmanje 50% osoba dobija lijekove i ide na savjetovanje s ciljem spr</w:t>
      </w:r>
      <w:r w:rsidR="00030E44">
        <w:rPr>
          <w:rFonts w:ascii="Times New Roman" w:eastAsiaTheme="minorHAnsi" w:hAnsi="Times New Roman"/>
          <w:lang w:val="bs-Latn-BA"/>
        </w:rPr>
        <w:t>j</w:t>
      </w:r>
      <w:r w:rsidRPr="00155F80">
        <w:rPr>
          <w:rFonts w:ascii="Times New Roman" w:eastAsiaTheme="minorHAnsi" w:hAnsi="Times New Roman"/>
          <w:lang w:val="bs-Latn-BA"/>
        </w:rPr>
        <w:t>ečavanja srčanog i moždanog udara</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 xml:space="preserve">Dostupnost osnovnih tehnologija i osnovnih lijekova za vodeće </w:t>
      </w:r>
      <w:r w:rsidR="00030E44">
        <w:rPr>
          <w:rFonts w:ascii="Times New Roman" w:eastAsiaTheme="minorHAnsi" w:hAnsi="Times New Roman"/>
          <w:lang w:val="bs-Latn-BA"/>
        </w:rPr>
        <w:t>n</w:t>
      </w:r>
      <w:r w:rsidRPr="00155F80">
        <w:rPr>
          <w:rFonts w:ascii="Times New Roman" w:eastAsiaTheme="minorHAnsi" w:hAnsi="Times New Roman"/>
          <w:lang w:val="bs-Latn-BA"/>
        </w:rPr>
        <w:t xml:space="preserve">ezarazne bolesti na </w:t>
      </w:r>
      <w:r w:rsidR="002B489B">
        <w:rPr>
          <w:rFonts w:ascii="Times New Roman" w:eastAsiaTheme="minorHAnsi" w:hAnsi="Times New Roman"/>
          <w:lang w:val="bs-Latn-BA"/>
        </w:rPr>
        <w:t>nivou</w:t>
      </w:r>
      <w:r w:rsidRPr="00155F80">
        <w:rPr>
          <w:rFonts w:ascii="Times New Roman" w:eastAsiaTheme="minorHAnsi" w:hAnsi="Times New Roman"/>
          <w:lang w:val="bs-Latn-BA"/>
        </w:rPr>
        <w:t xml:space="preserve"> od 80%</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Kardiovaskularne bolesti</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Kardiovaskularne bolesti su vodeći uzrok umiranja stanovništva Federacije BiH već nekoliko decenija, a u strukturi obolijevanja su zastupljene sa 17,2%. Najčešća oboljenja iz ove grupe su hipertenzivna oboljenja (I10-I15) sa u</w:t>
      </w:r>
      <w:r w:rsidR="00243A26">
        <w:rPr>
          <w:rFonts w:ascii="Times New Roman" w:eastAsiaTheme="minorHAnsi" w:hAnsi="Times New Roman"/>
          <w:lang w:val="bs-Latn-BA"/>
        </w:rPr>
        <w:t>djelom</w:t>
      </w:r>
      <w:r w:rsidRPr="00155F80">
        <w:rPr>
          <w:rFonts w:ascii="Times New Roman" w:eastAsiaTheme="minorHAnsi" w:hAnsi="Times New Roman"/>
          <w:lang w:val="bs-Latn-BA"/>
        </w:rPr>
        <w:t xml:space="preserve"> od čak 72,8%.</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Na visoku stopu obolijevanja od kardiovaskularnih bolesti upućuju i rezultati Studije o stanju zdravlja stanovništva u Federaciji BiH, rađene 2012. godine koji su pokazali da 44,4% </w:t>
      </w:r>
      <w:r w:rsidR="009E48BE">
        <w:rPr>
          <w:rFonts w:ascii="Times New Roman" w:eastAsiaTheme="minorHAnsi" w:hAnsi="Times New Roman"/>
          <w:lang w:val="bs-Latn-BA"/>
        </w:rPr>
        <w:t xml:space="preserve">odraslog </w:t>
      </w:r>
      <w:r w:rsidRPr="00155F80">
        <w:rPr>
          <w:rFonts w:ascii="Times New Roman" w:eastAsiaTheme="minorHAnsi" w:hAnsi="Times New Roman"/>
          <w:lang w:val="bs-Latn-BA"/>
        </w:rPr>
        <w:t>stanovnika Federacije BiH ima povišenu vrijednost holesterola (=ili&gt;5mmol/l), a 21,2% imaju povišenu vrijednost triglicerida (=ili&gt;1,7mmol/l), bez značajnih razlika među ženama i muškarcima</w:t>
      </w:r>
      <w:r w:rsidR="00030E44">
        <w:rPr>
          <w:rFonts w:ascii="Times New Roman" w:eastAsiaTheme="minorHAnsi" w:hAnsi="Times New Roman"/>
          <w:lang w:val="bs-Latn-BA"/>
        </w:rPr>
        <w:t>.</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Rezultati ovog istraživanja su pokazali da 42,1% odraslih stanovnika ima potencijalnu hipertenziju (sistolni pritisak&gt;140, dijastolički&gt;90mmHg) i/ili koji uzimaju antihipertenzivnu terapiju. Hipertenzija je nešto više zastupljena među muškarcima (45,3%) nego među ženama (38</w:t>
      </w:r>
      <w:r w:rsidRPr="00F83CAD">
        <w:rPr>
          <w:rFonts w:ascii="Times New Roman" w:hAnsi="Times New Roman"/>
          <w:noProof/>
          <w:lang w:val="bs-Latn-BA"/>
        </w:rPr>
        <w:t>,9%). (</w:t>
      </w:r>
      <w:r w:rsidR="00CF430D" w:rsidRPr="00F83CAD">
        <w:rPr>
          <w:rFonts w:ascii="Times New Roman" w:hAnsi="Times New Roman"/>
          <w:noProof/>
          <w:lang w:val="bs-Latn-BA"/>
        </w:rPr>
        <w:t>9</w:t>
      </w:r>
      <w:r w:rsidRPr="00F83CAD">
        <w:rPr>
          <w:rFonts w:ascii="Times New Roman" w:hAnsi="Times New Roman"/>
          <w:noProof/>
          <w:lang w:val="bs-Latn-BA"/>
        </w:rPr>
        <w:t>)</w:t>
      </w:r>
    </w:p>
    <w:p w:rsidR="00CF430D" w:rsidRDefault="00CF430D" w:rsidP="000C0138">
      <w:pPr>
        <w:spacing w:after="160" w:line="276" w:lineRule="auto"/>
        <w:rPr>
          <w:rFonts w:ascii="Times New Roman" w:eastAsiaTheme="minorHAnsi" w:hAnsi="Times New Roman"/>
          <w:lang w:val="bs-Latn-BA"/>
        </w:rPr>
      </w:pPr>
    </w:p>
    <w:p w:rsidR="00A131AD" w:rsidRPr="00A06016" w:rsidRDefault="00A131AD" w:rsidP="00A06016">
      <w:pPr>
        <w:rPr>
          <w:rFonts w:ascii="Times New Roman" w:eastAsiaTheme="minorHAnsi" w:hAnsi="Times New Roman"/>
          <w:b/>
          <w:lang w:val="bs-Latn-BA"/>
        </w:rPr>
      </w:pPr>
      <w:r w:rsidRPr="00A06016">
        <w:rPr>
          <w:rFonts w:ascii="Times New Roman" w:eastAsiaTheme="minorHAnsi" w:hAnsi="Times New Roman"/>
          <w:b/>
          <w:lang w:val="bs-Latn-BA"/>
        </w:rPr>
        <w:t>Maligne neoplazme</w:t>
      </w:r>
    </w:p>
    <w:p w:rsidR="00A06016" w:rsidRPr="00155F80" w:rsidRDefault="00A06016" w:rsidP="00A06016">
      <w:pPr>
        <w:pStyle w:val="Poglavlje3"/>
        <w:ind w:left="1080"/>
        <w:rPr>
          <w:rFonts w:eastAsiaTheme="minorHAnsi"/>
          <w:lang w:val="bs-Latn-BA"/>
        </w:rPr>
      </w:pPr>
    </w:p>
    <w:p w:rsidR="00A131AD" w:rsidRPr="00155F80" w:rsidRDefault="00A131AD" w:rsidP="000C0138">
      <w:pPr>
        <w:spacing w:after="200" w:line="276" w:lineRule="auto"/>
        <w:contextualSpacing/>
        <w:rPr>
          <w:rFonts w:ascii="Times New Roman" w:eastAsia="Calibri" w:hAnsi="Times New Roman"/>
          <w:b/>
          <w:lang w:val="bs-Latn-BA"/>
        </w:rPr>
      </w:pPr>
      <w:r w:rsidRPr="00155F80">
        <w:rPr>
          <w:rFonts w:ascii="Times New Roman" w:eastAsia="Calibri" w:hAnsi="Times New Roman"/>
          <w:b/>
          <w:lang w:val="bs-Latn-BA"/>
        </w:rPr>
        <w:t xml:space="preserve">Trend malignih neoplazmi </w:t>
      </w:r>
    </w:p>
    <w:p w:rsidR="00CF430D" w:rsidRDefault="00CF430D" w:rsidP="000C0138">
      <w:pPr>
        <w:spacing w:after="200" w:line="276" w:lineRule="auto"/>
        <w:contextualSpacing/>
        <w:rPr>
          <w:rFonts w:ascii="Times New Roman" w:eastAsia="Calibri" w:hAnsi="Times New Roman"/>
          <w:b/>
          <w:lang w:val="bs-Latn-BA"/>
        </w:rPr>
      </w:pPr>
    </w:p>
    <w:p w:rsidR="00A131AD" w:rsidRPr="00155F80" w:rsidRDefault="00A131AD" w:rsidP="000C0138">
      <w:pPr>
        <w:spacing w:after="200" w:line="276" w:lineRule="auto"/>
        <w:contextualSpacing/>
        <w:rPr>
          <w:rFonts w:ascii="Times New Roman" w:eastAsia="Calibri" w:hAnsi="Times New Roman"/>
          <w:lang w:val="bs-Latn-BA"/>
        </w:rPr>
      </w:pPr>
      <w:r w:rsidRPr="00155F80">
        <w:rPr>
          <w:rFonts w:ascii="Times New Roman" w:eastAsia="Calibri" w:hAnsi="Times New Roman"/>
          <w:lang w:val="bs-Latn-BA"/>
        </w:rPr>
        <w:t>Registar za rak u Federaciji BiH je uspostavljen 2004. godine kao posebna djelatnost za prikupljanje, analizu i interpretiranje podataka o svakom novom slučaju raka na području FBiH, kroz da</w:t>
      </w:r>
      <w:r w:rsidR="00F751CC">
        <w:rPr>
          <w:rFonts w:ascii="Times New Roman" w:eastAsia="Calibri" w:hAnsi="Times New Roman"/>
          <w:lang w:val="bs-Latn-BA"/>
        </w:rPr>
        <w:t>n</w:t>
      </w:r>
      <w:r w:rsidRPr="00155F80">
        <w:rPr>
          <w:rFonts w:ascii="Times New Roman" w:eastAsia="Calibri" w:hAnsi="Times New Roman"/>
          <w:lang w:val="bs-Latn-BA"/>
        </w:rPr>
        <w:t xml:space="preserve">o vremensko </w:t>
      </w:r>
      <w:r w:rsidR="00F70FD4">
        <w:rPr>
          <w:rFonts w:ascii="Times New Roman" w:eastAsia="Calibri" w:hAnsi="Times New Roman"/>
          <w:lang w:val="bs-Latn-BA"/>
        </w:rPr>
        <w:t>period</w:t>
      </w:r>
      <w:r w:rsidRPr="00155F80">
        <w:rPr>
          <w:rFonts w:ascii="Times New Roman" w:eastAsia="Calibri" w:hAnsi="Times New Roman"/>
          <w:lang w:val="bs-Latn-BA"/>
        </w:rPr>
        <w:t>. Cilj izvješ</w:t>
      </w:r>
      <w:r w:rsidR="00F751CC">
        <w:rPr>
          <w:rFonts w:ascii="Times New Roman" w:eastAsia="Calibri" w:hAnsi="Times New Roman"/>
          <w:lang w:val="bs-Latn-BA"/>
        </w:rPr>
        <w:t>ć</w:t>
      </w:r>
      <w:r w:rsidRPr="00155F80">
        <w:rPr>
          <w:rFonts w:ascii="Times New Roman" w:eastAsia="Calibri" w:hAnsi="Times New Roman"/>
          <w:lang w:val="bs-Latn-BA"/>
        </w:rPr>
        <w:t>a je prikazati podatke obol</w:t>
      </w:r>
      <w:r w:rsidR="00F751CC">
        <w:rPr>
          <w:rFonts w:ascii="Times New Roman" w:eastAsia="Calibri" w:hAnsi="Times New Roman"/>
          <w:lang w:val="bs-Latn-BA"/>
        </w:rPr>
        <w:t>i</w:t>
      </w:r>
      <w:r w:rsidRPr="00155F80">
        <w:rPr>
          <w:rFonts w:ascii="Times New Roman" w:eastAsia="Calibri" w:hAnsi="Times New Roman"/>
          <w:lang w:val="bs-Latn-BA"/>
        </w:rPr>
        <w:t xml:space="preserve">jevanja i umiranja od raka u FBiH u </w:t>
      </w:r>
      <w:r w:rsidR="00F70FD4">
        <w:rPr>
          <w:rFonts w:ascii="Times New Roman" w:eastAsia="Calibri" w:hAnsi="Times New Roman"/>
          <w:lang w:val="bs-Latn-BA"/>
        </w:rPr>
        <w:t>periodu</w:t>
      </w:r>
      <w:r w:rsidRPr="00155F80">
        <w:rPr>
          <w:rFonts w:ascii="Times New Roman" w:eastAsia="Calibri" w:hAnsi="Times New Roman"/>
          <w:lang w:val="bs-Latn-BA"/>
        </w:rPr>
        <w:t xml:space="preserve"> 2004-2014.</w:t>
      </w:r>
      <w:r w:rsidR="009E48BE">
        <w:rPr>
          <w:rFonts w:ascii="Times New Roman" w:eastAsia="Calibri" w:hAnsi="Times New Roman"/>
          <w:lang w:val="bs-Latn-BA"/>
        </w:rPr>
        <w:t xml:space="preserve"> </w:t>
      </w:r>
      <w:r w:rsidRPr="00155F80">
        <w:rPr>
          <w:rFonts w:ascii="Times New Roman" w:eastAsia="Calibri" w:hAnsi="Times New Roman"/>
          <w:lang w:val="bs-Latn-BA"/>
        </w:rPr>
        <w:t xml:space="preserve">godine zatim kretanje incidencije malignih neoplazmi, </w:t>
      </w:r>
      <w:r w:rsidR="005901AB">
        <w:rPr>
          <w:rFonts w:ascii="Times New Roman" w:eastAsia="Calibri" w:hAnsi="Times New Roman"/>
          <w:lang w:val="bs-Latn-BA"/>
        </w:rPr>
        <w:t>zemljopisnu</w:t>
      </w:r>
      <w:r w:rsidRPr="00155F80">
        <w:rPr>
          <w:rFonts w:ascii="Times New Roman" w:eastAsia="Calibri" w:hAnsi="Times New Roman"/>
          <w:lang w:val="bs-Latn-BA"/>
        </w:rPr>
        <w:t xml:space="preserve"> distribuciju, spo</w:t>
      </w:r>
      <w:r w:rsidR="00280080" w:rsidRPr="00155F80">
        <w:rPr>
          <w:rFonts w:ascii="Times New Roman" w:eastAsia="Calibri" w:hAnsi="Times New Roman"/>
          <w:lang w:val="bs-Latn-BA"/>
        </w:rPr>
        <w:t>lnu i dobnu strukturu oboljelih</w:t>
      </w:r>
      <w:r w:rsidRPr="00155F80">
        <w:rPr>
          <w:rFonts w:ascii="Times New Roman" w:eastAsia="Calibri" w:hAnsi="Times New Roman"/>
          <w:lang w:val="bs-Latn-BA"/>
        </w:rPr>
        <w:t>.</w:t>
      </w:r>
      <w:r w:rsidR="009E48BE">
        <w:rPr>
          <w:rFonts w:ascii="Times New Roman" w:eastAsia="Calibri" w:hAnsi="Times New Roman"/>
          <w:lang w:val="bs-Latn-BA"/>
        </w:rPr>
        <w:t xml:space="preserve"> </w:t>
      </w:r>
      <w:r w:rsidRPr="00155F80">
        <w:rPr>
          <w:rFonts w:ascii="Times New Roman" w:eastAsia="Calibri" w:hAnsi="Times New Roman"/>
          <w:lang w:val="bs-Latn-BA"/>
        </w:rPr>
        <w:t>U izvješ</w:t>
      </w:r>
      <w:r w:rsidR="00F751CC">
        <w:rPr>
          <w:rFonts w:ascii="Times New Roman" w:eastAsia="Calibri" w:hAnsi="Times New Roman"/>
          <w:lang w:val="bs-Latn-BA"/>
        </w:rPr>
        <w:t>ć</w:t>
      </w:r>
      <w:r w:rsidRPr="00155F80">
        <w:rPr>
          <w:rFonts w:ascii="Times New Roman" w:eastAsia="Calibri" w:hAnsi="Times New Roman"/>
          <w:lang w:val="bs-Latn-BA"/>
        </w:rPr>
        <w:t xml:space="preserve">u su korišteni </w:t>
      </w:r>
      <w:r w:rsidR="002B489B">
        <w:rPr>
          <w:rFonts w:ascii="Times New Roman" w:eastAsia="Calibri" w:hAnsi="Times New Roman"/>
          <w:lang w:val="bs-Latn-BA"/>
        </w:rPr>
        <w:t>podaci</w:t>
      </w:r>
      <w:r w:rsidRPr="00155F80">
        <w:rPr>
          <w:rFonts w:ascii="Times New Roman" w:eastAsia="Calibri" w:hAnsi="Times New Roman"/>
          <w:lang w:val="bs-Latn-BA"/>
        </w:rPr>
        <w:t xml:space="preserve"> Registra za rak o osobama kojima je dijagnoza raka (bez raka kože) postavljena u </w:t>
      </w:r>
      <w:r w:rsidR="00F70FD4">
        <w:rPr>
          <w:rFonts w:ascii="Times New Roman" w:eastAsia="Calibri" w:hAnsi="Times New Roman"/>
          <w:lang w:val="bs-Latn-BA"/>
        </w:rPr>
        <w:t>periodu</w:t>
      </w:r>
      <w:r w:rsidRPr="00155F80">
        <w:rPr>
          <w:rFonts w:ascii="Times New Roman" w:eastAsia="Calibri" w:hAnsi="Times New Roman"/>
          <w:lang w:val="bs-Latn-BA"/>
        </w:rPr>
        <w:t xml:space="preserve"> od 2004. do 2014. godine. Zbog mnogobrojnih izvora podataka u </w:t>
      </w:r>
      <w:r w:rsidR="000E56ED">
        <w:rPr>
          <w:rFonts w:ascii="Times New Roman" w:eastAsia="Calibri" w:hAnsi="Times New Roman"/>
          <w:lang w:val="bs-Latn-BA"/>
        </w:rPr>
        <w:t>vezi</w:t>
      </w:r>
      <w:r w:rsidRPr="00155F80">
        <w:rPr>
          <w:rFonts w:ascii="Times New Roman" w:eastAsia="Calibri" w:hAnsi="Times New Roman"/>
          <w:lang w:val="bs-Latn-BA"/>
        </w:rPr>
        <w:t xml:space="preserve"> prikupljanja malignih neoplazmi njihovo objavljivanje je prilično dugotrajan proces (ne samo kod nas nego i u svijetu i obično traje dvije do tri godine).</w:t>
      </w:r>
    </w:p>
    <w:p w:rsidR="00280080" w:rsidRPr="00155F80" w:rsidRDefault="00280080" w:rsidP="000C0138">
      <w:pPr>
        <w:spacing w:after="200" w:line="276" w:lineRule="auto"/>
        <w:contextualSpacing/>
        <w:rPr>
          <w:rFonts w:ascii="Times New Roman" w:eastAsia="Calibri" w:hAnsi="Times New Roman"/>
          <w:lang w:val="bs-Latn-BA"/>
        </w:rPr>
      </w:pPr>
    </w:p>
    <w:p w:rsidR="00A131AD" w:rsidRPr="00155F80" w:rsidRDefault="00280080" w:rsidP="000C0138">
      <w:pPr>
        <w:spacing w:after="200" w:line="276" w:lineRule="auto"/>
        <w:contextualSpacing/>
        <w:rPr>
          <w:rFonts w:ascii="Times New Roman" w:eastAsia="Calibri" w:hAnsi="Times New Roman"/>
          <w:lang w:val="bs-Latn-BA"/>
        </w:rPr>
      </w:pPr>
      <w:r w:rsidRPr="00155F80">
        <w:rPr>
          <w:rFonts w:ascii="Times New Roman" w:eastAsia="Calibri" w:hAnsi="Times New Roman"/>
          <w:lang w:val="bs-Latn-BA"/>
        </w:rPr>
        <w:t>P</w:t>
      </w:r>
      <w:r w:rsidR="00A131AD" w:rsidRPr="00155F80">
        <w:rPr>
          <w:rFonts w:ascii="Times New Roman" w:eastAsia="Calibri" w:hAnsi="Times New Roman"/>
          <w:lang w:val="bs-Latn-BA"/>
        </w:rPr>
        <w:t xml:space="preserve">rosječna stopa pojavnosti raka u </w:t>
      </w:r>
      <w:r w:rsidR="00F70FD4">
        <w:rPr>
          <w:rFonts w:ascii="Times New Roman" w:eastAsia="Calibri" w:hAnsi="Times New Roman"/>
          <w:lang w:val="bs-Latn-BA"/>
        </w:rPr>
        <w:t>periodu</w:t>
      </w:r>
      <w:r w:rsidR="00A131AD" w:rsidRPr="00155F80">
        <w:rPr>
          <w:rFonts w:ascii="Times New Roman" w:eastAsia="Calibri" w:hAnsi="Times New Roman"/>
          <w:lang w:val="bs-Latn-BA"/>
        </w:rPr>
        <w:t xml:space="preserve"> 2004</w:t>
      </w:r>
      <w:r w:rsidR="00F751CC">
        <w:rPr>
          <w:rFonts w:ascii="Times New Roman" w:eastAsia="Calibri" w:hAnsi="Times New Roman"/>
          <w:lang w:val="bs-Latn-BA"/>
        </w:rPr>
        <w:t>.</w:t>
      </w:r>
      <w:r w:rsidR="00A131AD" w:rsidRPr="00155F80">
        <w:rPr>
          <w:rFonts w:ascii="Times New Roman" w:eastAsia="Calibri" w:hAnsi="Times New Roman"/>
          <w:lang w:val="bs-Latn-BA"/>
        </w:rPr>
        <w:t>-2014. godine u muškaraca iznosi 209,9/</w:t>
      </w:r>
      <w:r w:rsidR="001A2977">
        <w:rPr>
          <w:rFonts w:ascii="Times New Roman" w:eastAsia="Calibri" w:hAnsi="Times New Roman"/>
          <w:lang w:val="bs-Latn-BA"/>
        </w:rPr>
        <w:t xml:space="preserve">100000, a u žena 186,9/100000. </w:t>
      </w:r>
    </w:p>
    <w:p w:rsidR="00A131AD" w:rsidRPr="00155F80" w:rsidRDefault="00A131AD" w:rsidP="00EB7CC7">
      <w:pPr>
        <w:pStyle w:val="refererere"/>
        <w:rPr>
          <w:rFonts w:eastAsia="Calibri"/>
          <w:lang w:val="bs-Latn-BA"/>
        </w:rPr>
      </w:pPr>
      <w:r w:rsidRPr="00155F80">
        <w:rPr>
          <w:rFonts w:eastAsia="Calibri"/>
          <w:lang w:val="bs-Latn-BA"/>
        </w:rPr>
        <w:t>Grafikon 28: Kretanje stope oboljevanja od raka (bez raka kože) po spolu u Federaciji BiH, za period 2004.- 2014.godina</w:t>
      </w:r>
    </w:p>
    <w:p w:rsidR="00A131AD" w:rsidRPr="00155F80" w:rsidRDefault="008D56DE" w:rsidP="000C0138">
      <w:pPr>
        <w:spacing w:after="200" w:line="276" w:lineRule="auto"/>
        <w:jc w:val="left"/>
        <w:rPr>
          <w:rFonts w:ascii="Times New Roman" w:eastAsia="Calibri" w:hAnsi="Times New Roman"/>
          <w:lang w:val="hr-HR"/>
        </w:rPr>
      </w:pPr>
      <w:r>
        <w:rPr>
          <w:noProof/>
          <w:lang w:eastAsia="en-GB"/>
        </w:rPr>
        <w:drawing>
          <wp:inline distT="0" distB="0" distL="0" distR="0" wp14:anchorId="434A6AA4" wp14:editId="18E9FF28">
            <wp:extent cx="5760720" cy="2131060"/>
            <wp:effectExtent l="0" t="0" r="11430" b="254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131AD" w:rsidRPr="00155F80" w:rsidRDefault="00A131AD" w:rsidP="000C0138">
      <w:pPr>
        <w:spacing w:after="200" w:line="276" w:lineRule="auto"/>
        <w:jc w:val="left"/>
        <w:rPr>
          <w:rFonts w:ascii="Times New Roman" w:eastAsia="Calibri" w:hAnsi="Times New Roman"/>
          <w:lang w:val="bs-Latn-BA"/>
        </w:rPr>
      </w:pPr>
      <w:r w:rsidRPr="00155F80">
        <w:rPr>
          <w:rFonts w:ascii="Times New Roman" w:eastAsia="Calibri" w:hAnsi="Times New Roman"/>
          <w:lang w:val="bs-Latn-BA"/>
        </w:rPr>
        <w:t>Broj novo</w:t>
      </w:r>
      <w:r w:rsidR="00A80006">
        <w:rPr>
          <w:rFonts w:ascii="Times New Roman" w:eastAsia="Calibri" w:hAnsi="Times New Roman"/>
          <w:lang w:val="bs-Latn-BA"/>
        </w:rPr>
        <w:t>registrovanih</w:t>
      </w:r>
      <w:r w:rsidRPr="00155F80">
        <w:rPr>
          <w:rFonts w:ascii="Times New Roman" w:eastAsia="Calibri" w:hAnsi="Times New Roman"/>
          <w:lang w:val="bs-Latn-BA"/>
        </w:rPr>
        <w:t xml:space="preserve"> malignih neoplazmi </w:t>
      </w:r>
      <w:r w:rsidR="002B489B">
        <w:rPr>
          <w:rFonts w:ascii="Times New Roman" w:eastAsia="Calibri" w:hAnsi="Times New Roman"/>
          <w:lang w:val="bs-Latn-BA"/>
        </w:rPr>
        <w:t>redovno</w:t>
      </w:r>
      <w:r w:rsidRPr="00155F80">
        <w:rPr>
          <w:rFonts w:ascii="Times New Roman" w:eastAsia="Calibri" w:hAnsi="Times New Roman"/>
          <w:lang w:val="bs-Latn-BA"/>
        </w:rPr>
        <w:t xml:space="preserve"> je ve</w:t>
      </w:r>
      <w:r w:rsidR="00280080" w:rsidRPr="00155F80">
        <w:rPr>
          <w:rFonts w:ascii="Times New Roman" w:eastAsia="Calibri" w:hAnsi="Times New Roman"/>
          <w:lang w:val="bs-Latn-BA"/>
        </w:rPr>
        <w:t>ći u muškaraca nego u žena. (51,</w:t>
      </w:r>
      <w:r w:rsidRPr="00155F80">
        <w:rPr>
          <w:rFonts w:ascii="Times New Roman" w:eastAsia="Calibri" w:hAnsi="Times New Roman"/>
          <w:lang w:val="bs-Latn-BA"/>
        </w:rPr>
        <w:t>7% : 48,3% u 2014.</w:t>
      </w:r>
      <w:r w:rsidR="00280080" w:rsidRPr="00155F80">
        <w:rPr>
          <w:rFonts w:ascii="Times New Roman" w:eastAsia="Calibri" w:hAnsi="Times New Roman"/>
          <w:lang w:val="bs-Latn-BA"/>
        </w:rPr>
        <w:t xml:space="preserve"> </w:t>
      </w:r>
      <w:r w:rsidRPr="00155F80">
        <w:rPr>
          <w:rFonts w:ascii="Times New Roman" w:eastAsia="Calibri" w:hAnsi="Times New Roman"/>
          <w:lang w:val="bs-Latn-BA"/>
        </w:rPr>
        <w:t>godini).</w:t>
      </w:r>
    </w:p>
    <w:p w:rsidR="00A131AD" w:rsidRPr="00155F80" w:rsidRDefault="00A131AD" w:rsidP="000C0138">
      <w:pPr>
        <w:spacing w:after="200" w:line="276" w:lineRule="auto"/>
        <w:jc w:val="left"/>
        <w:rPr>
          <w:rFonts w:ascii="Times New Roman" w:eastAsia="Calibri" w:hAnsi="Times New Roman"/>
          <w:lang w:val="bs-Latn-BA"/>
        </w:rPr>
      </w:pPr>
      <w:r w:rsidRPr="00155F80">
        <w:rPr>
          <w:rFonts w:ascii="Times New Roman" w:eastAsia="Calibri" w:hAnsi="Times New Roman"/>
          <w:lang w:val="bs-Latn-BA"/>
        </w:rPr>
        <w:t xml:space="preserve">Prosječna dob </w:t>
      </w:r>
      <w:r w:rsidR="00A80006">
        <w:rPr>
          <w:rFonts w:ascii="Times New Roman" w:eastAsia="Calibri" w:hAnsi="Times New Roman"/>
          <w:lang w:val="bs-Latn-BA"/>
        </w:rPr>
        <w:t>registrovanih</w:t>
      </w:r>
      <w:r w:rsidRPr="00155F80">
        <w:rPr>
          <w:rFonts w:ascii="Times New Roman" w:eastAsia="Calibri" w:hAnsi="Times New Roman"/>
          <w:lang w:val="bs-Latn-BA"/>
        </w:rPr>
        <w:t xml:space="preserve"> oboljelih je 63 godine (64 kod muškaraca, 62 godine kod žena).</w:t>
      </w:r>
    </w:p>
    <w:p w:rsidR="00A131AD" w:rsidRPr="00155F80" w:rsidRDefault="00A131AD" w:rsidP="00EB7CC7">
      <w:pPr>
        <w:pStyle w:val="refererere"/>
        <w:rPr>
          <w:rFonts w:eastAsia="Calibri"/>
          <w:lang w:val="bs-Latn-BA"/>
        </w:rPr>
      </w:pPr>
      <w:r w:rsidRPr="00155F80">
        <w:rPr>
          <w:rFonts w:eastAsia="Calibri"/>
          <w:lang w:val="bs-Latn-BA"/>
        </w:rPr>
        <w:t>Grafikon 29: Incidenc</w:t>
      </w:r>
      <w:r w:rsidR="00F751CC">
        <w:rPr>
          <w:rFonts w:eastAsia="Calibri"/>
          <w:lang w:val="bs-Latn-BA"/>
        </w:rPr>
        <w:t>ij</w:t>
      </w:r>
      <w:r w:rsidRPr="00155F80">
        <w:rPr>
          <w:rFonts w:eastAsia="Calibri"/>
          <w:lang w:val="bs-Latn-BA"/>
        </w:rPr>
        <w:t>a obol</w:t>
      </w:r>
      <w:r w:rsidR="00F751CC">
        <w:rPr>
          <w:rFonts w:eastAsia="Calibri"/>
          <w:lang w:val="bs-Latn-BA"/>
        </w:rPr>
        <w:t>i</w:t>
      </w:r>
      <w:r w:rsidRPr="00155F80">
        <w:rPr>
          <w:rFonts w:eastAsia="Calibri"/>
          <w:lang w:val="bs-Latn-BA"/>
        </w:rPr>
        <w:t xml:space="preserve">jevanja od raka prema spolu i </w:t>
      </w:r>
      <w:r w:rsidR="00526FD0">
        <w:rPr>
          <w:rFonts w:eastAsia="Calibri"/>
          <w:lang w:val="bs-Latn-BA"/>
        </w:rPr>
        <w:t>starosnim</w:t>
      </w:r>
      <w:r w:rsidRPr="00155F80">
        <w:rPr>
          <w:rFonts w:eastAsia="Calibri"/>
          <w:lang w:val="bs-Latn-BA"/>
        </w:rPr>
        <w:t xml:space="preserve"> </w:t>
      </w:r>
      <w:r w:rsidR="00D21A46">
        <w:rPr>
          <w:rFonts w:eastAsia="Calibri"/>
          <w:lang w:val="bs-Latn-BA"/>
        </w:rPr>
        <w:t>grupa</w:t>
      </w:r>
      <w:r w:rsidRPr="00155F80">
        <w:rPr>
          <w:rFonts w:eastAsia="Calibri"/>
          <w:lang w:val="bs-Latn-BA"/>
        </w:rPr>
        <w:t>ma u Federaciji BiH, 2014.godina</w:t>
      </w:r>
    </w:p>
    <w:p w:rsidR="00A131AD" w:rsidRPr="00155F80" w:rsidRDefault="00172ABA" w:rsidP="000C0138">
      <w:pPr>
        <w:spacing w:after="200" w:line="276" w:lineRule="auto"/>
        <w:jc w:val="left"/>
        <w:rPr>
          <w:rFonts w:ascii="Times New Roman" w:eastAsia="Calibri" w:hAnsi="Times New Roman"/>
          <w:lang w:val="hr-HR"/>
        </w:rPr>
      </w:pPr>
      <w:r>
        <w:rPr>
          <w:noProof/>
          <w:lang w:eastAsia="en-GB"/>
        </w:rPr>
        <w:drawing>
          <wp:inline distT="0" distB="0" distL="0" distR="0" wp14:anchorId="63EE5262" wp14:editId="48DB63ED">
            <wp:extent cx="5666740" cy="2000250"/>
            <wp:effectExtent l="0" t="0" r="1016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131AD" w:rsidRPr="00155F80" w:rsidRDefault="00A131AD" w:rsidP="000C0138">
      <w:pPr>
        <w:spacing w:after="200" w:line="276" w:lineRule="auto"/>
        <w:jc w:val="left"/>
        <w:rPr>
          <w:rFonts w:ascii="Times New Roman" w:eastAsia="Calibri" w:hAnsi="Times New Roman"/>
          <w:noProof/>
          <w:lang w:val="en-US"/>
        </w:rPr>
      </w:pPr>
      <w:r w:rsidRPr="00155F80">
        <w:rPr>
          <w:rFonts w:ascii="Times New Roman" w:eastAsia="Calibri" w:hAnsi="Times New Roman"/>
          <w:noProof/>
          <w:lang w:val="en-US"/>
        </w:rPr>
        <w:t>Najniža stopa obol</w:t>
      </w:r>
      <w:r w:rsidR="00F751CC">
        <w:rPr>
          <w:rFonts w:ascii="Times New Roman" w:eastAsia="Calibri" w:hAnsi="Times New Roman"/>
          <w:noProof/>
          <w:lang w:val="en-US"/>
        </w:rPr>
        <w:t>i</w:t>
      </w:r>
      <w:r w:rsidRPr="00155F80">
        <w:rPr>
          <w:rFonts w:ascii="Times New Roman" w:eastAsia="Calibri" w:hAnsi="Times New Roman"/>
          <w:noProof/>
          <w:lang w:val="en-US"/>
        </w:rPr>
        <w:t>jevanja od raka registrira s</w:t>
      </w:r>
      <w:r w:rsidR="00F2242B">
        <w:rPr>
          <w:rFonts w:ascii="Times New Roman" w:eastAsia="Calibri" w:hAnsi="Times New Roman"/>
          <w:noProof/>
          <w:lang w:val="en-US"/>
        </w:rPr>
        <w:t xml:space="preserve">e u </w:t>
      </w:r>
      <w:r w:rsidR="00A80006">
        <w:rPr>
          <w:rFonts w:ascii="Times New Roman" w:eastAsia="Calibri" w:hAnsi="Times New Roman"/>
          <w:noProof/>
          <w:lang w:val="en-US"/>
        </w:rPr>
        <w:t>starosnoj</w:t>
      </w:r>
      <w:r w:rsidR="00F2242B">
        <w:rPr>
          <w:rFonts w:ascii="Times New Roman" w:eastAsia="Calibri" w:hAnsi="Times New Roman"/>
          <w:noProof/>
          <w:lang w:val="en-US"/>
        </w:rPr>
        <w:t xml:space="preserve"> </w:t>
      </w:r>
      <w:r w:rsidR="00A80006">
        <w:rPr>
          <w:rFonts w:ascii="Times New Roman" w:eastAsia="Calibri" w:hAnsi="Times New Roman"/>
          <w:noProof/>
          <w:lang w:val="en-US"/>
        </w:rPr>
        <w:t>grupi</w:t>
      </w:r>
      <w:r w:rsidR="00F2242B">
        <w:rPr>
          <w:rFonts w:ascii="Times New Roman" w:eastAsia="Calibri" w:hAnsi="Times New Roman"/>
          <w:noProof/>
          <w:lang w:val="en-US"/>
        </w:rPr>
        <w:t xml:space="preserve"> od 0-14, raste starošću,</w:t>
      </w:r>
      <w:r w:rsidRPr="00155F80">
        <w:rPr>
          <w:rFonts w:ascii="Times New Roman" w:eastAsia="Calibri" w:hAnsi="Times New Roman"/>
          <w:noProof/>
          <w:lang w:val="en-US"/>
        </w:rPr>
        <w:t xml:space="preserve"> te dosežu najveću </w:t>
      </w:r>
      <w:r w:rsidR="00F2242B">
        <w:rPr>
          <w:rFonts w:ascii="Times New Roman" w:eastAsia="Calibri" w:hAnsi="Times New Roman"/>
          <w:noProof/>
          <w:lang w:val="en-US"/>
        </w:rPr>
        <w:t>vrijednost</w:t>
      </w:r>
      <w:r w:rsidRPr="00155F80">
        <w:rPr>
          <w:rFonts w:ascii="Times New Roman" w:eastAsia="Calibri" w:hAnsi="Times New Roman"/>
          <w:noProof/>
          <w:lang w:val="en-US"/>
        </w:rPr>
        <w:t xml:space="preserve"> u </w:t>
      </w:r>
      <w:r w:rsidR="00A80006">
        <w:rPr>
          <w:rFonts w:ascii="Times New Roman" w:eastAsia="Calibri" w:hAnsi="Times New Roman"/>
          <w:noProof/>
          <w:lang w:val="en-US"/>
        </w:rPr>
        <w:t>starosnoj</w:t>
      </w:r>
      <w:r w:rsidRPr="00155F80">
        <w:rPr>
          <w:rFonts w:ascii="Times New Roman" w:eastAsia="Calibri" w:hAnsi="Times New Roman"/>
          <w:noProof/>
          <w:lang w:val="en-US"/>
        </w:rPr>
        <w:t xml:space="preserve"> </w:t>
      </w:r>
      <w:r w:rsidR="00A80006">
        <w:rPr>
          <w:rFonts w:ascii="Times New Roman" w:eastAsia="Calibri" w:hAnsi="Times New Roman"/>
          <w:noProof/>
          <w:lang w:val="en-US"/>
        </w:rPr>
        <w:t>grupi</w:t>
      </w:r>
      <w:r w:rsidRPr="00155F80">
        <w:rPr>
          <w:rFonts w:ascii="Times New Roman" w:eastAsia="Calibri" w:hAnsi="Times New Roman"/>
          <w:noProof/>
          <w:lang w:val="en-US"/>
        </w:rPr>
        <w:t xml:space="preserve"> 65 i više godina. U dobi od 25 do 54 primjetna je veća stopa obol</w:t>
      </w:r>
      <w:r w:rsidR="00F751CC">
        <w:rPr>
          <w:rFonts w:ascii="Times New Roman" w:eastAsia="Calibri" w:hAnsi="Times New Roman"/>
          <w:noProof/>
          <w:lang w:val="en-US"/>
        </w:rPr>
        <w:t>i</w:t>
      </w:r>
      <w:r w:rsidRPr="00155F80">
        <w:rPr>
          <w:rFonts w:ascii="Times New Roman" w:eastAsia="Calibri" w:hAnsi="Times New Roman"/>
          <w:noProof/>
          <w:lang w:val="en-US"/>
        </w:rPr>
        <w:t>jevanja žena u odnosu na muškarce.</w:t>
      </w:r>
    </w:p>
    <w:p w:rsidR="00A131AD" w:rsidRPr="00155F80" w:rsidRDefault="00A131AD" w:rsidP="00EB7CC7">
      <w:pPr>
        <w:pStyle w:val="refererere"/>
        <w:rPr>
          <w:rFonts w:eastAsia="Calibri"/>
          <w:noProof/>
          <w:lang w:val="en-US"/>
        </w:rPr>
      </w:pPr>
      <w:r w:rsidRPr="00155F80">
        <w:rPr>
          <w:rFonts w:eastAsia="Calibri"/>
          <w:noProof/>
          <w:lang w:val="en-US"/>
        </w:rPr>
        <w:t>Grafikon 30: Incidenc</w:t>
      </w:r>
      <w:r w:rsidR="00F751CC">
        <w:rPr>
          <w:rFonts w:eastAsia="Calibri"/>
          <w:noProof/>
          <w:lang w:val="en-US"/>
        </w:rPr>
        <w:t>ij</w:t>
      </w:r>
      <w:r w:rsidRPr="00155F80">
        <w:rPr>
          <w:rFonts w:eastAsia="Calibri"/>
          <w:noProof/>
          <w:lang w:val="en-US"/>
        </w:rPr>
        <w:t>a obol</w:t>
      </w:r>
      <w:r w:rsidR="00F751CC">
        <w:rPr>
          <w:rFonts w:eastAsia="Calibri"/>
          <w:noProof/>
          <w:lang w:val="en-US"/>
        </w:rPr>
        <w:t>i</w:t>
      </w:r>
      <w:r w:rsidRPr="00155F80">
        <w:rPr>
          <w:rFonts w:eastAsia="Calibri"/>
          <w:noProof/>
          <w:lang w:val="en-US"/>
        </w:rPr>
        <w:t>jevanja od raka kod muškaraca po kantonima u Federaciji BiH, 2014.godina,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23954B46" wp14:editId="31757D8B">
            <wp:extent cx="5722620" cy="19145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8739" cy="1916572"/>
                    </a:xfrm>
                    <a:prstGeom prst="rect">
                      <a:avLst/>
                    </a:prstGeom>
                    <a:noFill/>
                  </pic:spPr>
                </pic:pic>
              </a:graphicData>
            </a:graphic>
          </wp:inline>
        </w:drawing>
      </w:r>
    </w:p>
    <w:p w:rsidR="00A131AD" w:rsidRPr="00155F80" w:rsidRDefault="00A131AD" w:rsidP="00FB3114">
      <w:pPr>
        <w:spacing w:after="200" w:line="276" w:lineRule="auto"/>
        <w:jc w:val="left"/>
        <w:rPr>
          <w:rFonts w:ascii="Times New Roman" w:eastAsia="Calibri" w:hAnsi="Times New Roman"/>
          <w:noProof/>
          <w:lang w:val="en-US"/>
        </w:rPr>
      </w:pPr>
      <w:r w:rsidRPr="00155F80">
        <w:rPr>
          <w:rFonts w:ascii="Times New Roman" w:eastAsia="Calibri" w:hAnsi="Times New Roman"/>
          <w:noProof/>
          <w:lang w:val="en-US"/>
        </w:rPr>
        <w:t xml:space="preserve">U odnosu na </w:t>
      </w:r>
      <w:r w:rsidR="005901AB">
        <w:rPr>
          <w:rFonts w:ascii="Times New Roman" w:eastAsia="Calibri" w:hAnsi="Times New Roman"/>
          <w:noProof/>
          <w:lang w:val="en-US"/>
        </w:rPr>
        <w:t>zemljopisnu</w:t>
      </w:r>
      <w:r w:rsidRPr="00155F80">
        <w:rPr>
          <w:rFonts w:ascii="Times New Roman" w:eastAsia="Calibri" w:hAnsi="Times New Roman"/>
          <w:noProof/>
          <w:lang w:val="en-US"/>
        </w:rPr>
        <w:t xml:space="preserve"> distribuciju </w:t>
      </w:r>
      <w:r w:rsidR="00A80006">
        <w:rPr>
          <w:rFonts w:ascii="Times New Roman" w:eastAsia="Calibri" w:hAnsi="Times New Roman"/>
          <w:noProof/>
          <w:lang w:val="en-US"/>
        </w:rPr>
        <w:t>registrovanih</w:t>
      </w:r>
      <w:r w:rsidR="004727C8" w:rsidRPr="00155F80">
        <w:rPr>
          <w:rFonts w:ascii="Times New Roman" w:eastAsia="Calibri" w:hAnsi="Times New Roman"/>
          <w:noProof/>
          <w:lang w:val="en-US"/>
        </w:rPr>
        <w:t xml:space="preserve"> malignih neoplazmi, najveć</w:t>
      </w:r>
      <w:r w:rsidRPr="00155F80">
        <w:rPr>
          <w:rFonts w:ascii="Times New Roman" w:eastAsia="Calibri" w:hAnsi="Times New Roman"/>
          <w:noProof/>
          <w:lang w:val="en-US"/>
        </w:rPr>
        <w:t xml:space="preserve">a stopa </w:t>
      </w:r>
      <w:r w:rsidR="004727C8" w:rsidRPr="00155F80">
        <w:rPr>
          <w:rFonts w:ascii="Times New Roman" w:eastAsia="Calibri" w:hAnsi="Times New Roman"/>
          <w:noProof/>
          <w:lang w:val="en-US"/>
        </w:rPr>
        <w:t xml:space="preserve">obolijevanja kod </w:t>
      </w:r>
      <w:r w:rsidRPr="00155F80">
        <w:rPr>
          <w:rFonts w:ascii="Times New Roman" w:eastAsia="Calibri" w:hAnsi="Times New Roman"/>
          <w:noProof/>
          <w:lang w:val="en-US"/>
        </w:rPr>
        <w:t xml:space="preserve"> muškaraca je u Hercegovačko-neretvan</w:t>
      </w:r>
      <w:r w:rsidR="004727C8" w:rsidRPr="00155F80">
        <w:rPr>
          <w:rFonts w:ascii="Times New Roman" w:eastAsia="Calibri" w:hAnsi="Times New Roman"/>
          <w:noProof/>
          <w:lang w:val="en-US"/>
        </w:rPr>
        <w:t>skom kantonu (371,2/100000), a kod</w:t>
      </w:r>
      <w:r w:rsidRPr="00155F80">
        <w:rPr>
          <w:rFonts w:ascii="Times New Roman" w:eastAsia="Calibri" w:hAnsi="Times New Roman"/>
          <w:noProof/>
          <w:lang w:val="en-US"/>
        </w:rPr>
        <w:t xml:space="preserve"> žena u Posavskom kantonu (299,8/100000). </w:t>
      </w:r>
      <w:r w:rsidR="004727C8" w:rsidRPr="00155F80">
        <w:rPr>
          <w:rFonts w:ascii="Times New Roman" w:eastAsia="Calibri" w:hAnsi="Times New Roman"/>
          <w:noProof/>
          <w:lang w:val="en-US"/>
        </w:rPr>
        <w:t>Nasuprot tome, najmanja stopa obolijevanja kod</w:t>
      </w:r>
      <w:r w:rsidRPr="00155F80">
        <w:rPr>
          <w:rFonts w:ascii="Times New Roman" w:eastAsia="Calibri" w:hAnsi="Times New Roman"/>
          <w:noProof/>
          <w:lang w:val="en-US"/>
        </w:rPr>
        <w:t xml:space="preserve"> muškaraca (84,7/100</w:t>
      </w:r>
      <w:r w:rsidR="00E8761D" w:rsidRPr="00155F80">
        <w:rPr>
          <w:rFonts w:ascii="Times New Roman" w:eastAsia="Calibri" w:hAnsi="Times New Roman"/>
          <w:noProof/>
          <w:lang w:val="en-US"/>
        </w:rPr>
        <w:t>.</w:t>
      </w:r>
      <w:r w:rsidRPr="00155F80">
        <w:rPr>
          <w:rFonts w:ascii="Times New Roman" w:eastAsia="Calibri" w:hAnsi="Times New Roman"/>
          <w:noProof/>
          <w:lang w:val="en-US"/>
        </w:rPr>
        <w:t xml:space="preserve">000) i </w:t>
      </w:r>
      <w:r w:rsidR="004727C8" w:rsidRPr="00155F80">
        <w:rPr>
          <w:rFonts w:ascii="Times New Roman" w:eastAsia="Calibri" w:hAnsi="Times New Roman"/>
          <w:noProof/>
          <w:lang w:val="en-US"/>
        </w:rPr>
        <w:t xml:space="preserve">kod </w:t>
      </w:r>
      <w:r w:rsidRPr="00155F80">
        <w:rPr>
          <w:rFonts w:ascii="Times New Roman" w:eastAsia="Calibri" w:hAnsi="Times New Roman"/>
          <w:noProof/>
          <w:lang w:val="en-US"/>
        </w:rPr>
        <w:t xml:space="preserve">žena </w:t>
      </w:r>
      <w:r w:rsidR="00E8761D" w:rsidRPr="00155F80">
        <w:rPr>
          <w:rFonts w:ascii="Times New Roman" w:eastAsia="Calibri" w:hAnsi="Times New Roman"/>
          <w:noProof/>
          <w:lang w:val="en-US"/>
        </w:rPr>
        <w:t>(51,9/100.000) je u Herceg-bosanskom kantonu</w:t>
      </w:r>
      <w:r w:rsidR="00FB3114">
        <w:rPr>
          <w:rFonts w:ascii="Times New Roman" w:eastAsia="Calibri" w:hAnsi="Times New Roman"/>
          <w:noProof/>
          <w:lang w:val="en-US"/>
        </w:rPr>
        <w:t>.</w:t>
      </w:r>
    </w:p>
    <w:p w:rsidR="00F2242B" w:rsidRDefault="00A131AD" w:rsidP="00FB3114">
      <w:pPr>
        <w:pStyle w:val="refererere"/>
        <w:rPr>
          <w:rFonts w:eastAsia="Calibri"/>
          <w:noProof/>
          <w:lang w:val="bs-Latn-BA" w:eastAsia="bs-Latn-BA"/>
        </w:rPr>
      </w:pPr>
      <w:r w:rsidRPr="00155F80">
        <w:rPr>
          <w:rFonts w:eastAsia="Calibri"/>
          <w:noProof/>
          <w:lang w:val="en-US"/>
        </w:rPr>
        <w:t>Grafikon 31: Incidenc</w:t>
      </w:r>
      <w:r w:rsidR="00F751CC">
        <w:rPr>
          <w:rFonts w:eastAsia="Calibri"/>
          <w:noProof/>
          <w:lang w:val="en-US"/>
        </w:rPr>
        <w:t>ij</w:t>
      </w:r>
      <w:r w:rsidRPr="00155F80">
        <w:rPr>
          <w:rFonts w:eastAsia="Calibri"/>
          <w:noProof/>
          <w:lang w:val="en-US"/>
        </w:rPr>
        <w:t>a obol</w:t>
      </w:r>
      <w:r w:rsidR="00F751CC">
        <w:rPr>
          <w:rFonts w:eastAsia="Calibri"/>
          <w:noProof/>
          <w:lang w:val="en-US"/>
        </w:rPr>
        <w:t>i</w:t>
      </w:r>
      <w:r w:rsidRPr="00155F80">
        <w:rPr>
          <w:rFonts w:eastAsia="Calibri"/>
          <w:noProof/>
          <w:lang w:val="en-US"/>
        </w:rPr>
        <w:t>jevanja od raka kod žena po kantonima u Federaciji BiH, 2014.godina,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035E116B" wp14:editId="4ACEFA21">
            <wp:extent cx="5724525" cy="208577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704" cy="2097134"/>
                    </a:xfrm>
                    <a:prstGeom prst="rect">
                      <a:avLst/>
                    </a:prstGeom>
                    <a:noFill/>
                  </pic:spPr>
                </pic:pic>
              </a:graphicData>
            </a:graphic>
          </wp:inline>
        </w:drawing>
      </w:r>
    </w:p>
    <w:p w:rsidR="00F2242B" w:rsidRPr="00155F80"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noProof/>
          <w:lang w:val="en-US"/>
        </w:rPr>
        <w:t>Deset najčešćih lokalizacija raka u muškaraca u FBiH u 2014.</w:t>
      </w:r>
      <w:r>
        <w:rPr>
          <w:rFonts w:ascii="Times New Roman" w:eastAsia="Calibri" w:hAnsi="Times New Roman"/>
          <w:noProof/>
          <w:lang w:val="en-US"/>
        </w:rPr>
        <w:t xml:space="preserve"> </w:t>
      </w:r>
      <w:r w:rsidRPr="00155F80">
        <w:rPr>
          <w:rFonts w:ascii="Times New Roman" w:eastAsia="Calibri" w:hAnsi="Times New Roman"/>
          <w:noProof/>
          <w:lang w:val="en-US"/>
        </w:rPr>
        <w:t>g</w:t>
      </w:r>
      <w:r>
        <w:rPr>
          <w:rFonts w:ascii="Times New Roman" w:eastAsia="Calibri" w:hAnsi="Times New Roman"/>
          <w:noProof/>
          <w:lang w:val="en-US"/>
        </w:rPr>
        <w:t>odini čine 66,9% svih</w:t>
      </w:r>
      <w:r w:rsidRPr="00155F80">
        <w:rPr>
          <w:rFonts w:ascii="Times New Roman" w:eastAsia="Calibri" w:hAnsi="Times New Roman"/>
          <w:noProof/>
          <w:lang w:val="en-US"/>
        </w:rPr>
        <w:t xml:space="preserve"> </w:t>
      </w:r>
      <w:r w:rsidR="00A80006">
        <w:rPr>
          <w:rFonts w:ascii="Times New Roman" w:eastAsia="Calibri" w:hAnsi="Times New Roman"/>
          <w:noProof/>
          <w:lang w:val="en-US"/>
        </w:rPr>
        <w:t>registrovanih</w:t>
      </w:r>
      <w:r w:rsidRPr="00155F80">
        <w:rPr>
          <w:rFonts w:ascii="Times New Roman" w:eastAsia="Calibri" w:hAnsi="Times New Roman"/>
          <w:noProof/>
          <w:lang w:val="en-US"/>
        </w:rPr>
        <w:t xml:space="preserve"> slučajeva raka u muškaraca. Vodeći, prema lokalizaciji su rak di</w:t>
      </w:r>
      <w:r w:rsidR="00C861DA">
        <w:rPr>
          <w:rFonts w:ascii="Times New Roman" w:eastAsia="Calibri" w:hAnsi="Times New Roman"/>
          <w:noProof/>
          <w:lang w:val="en-US"/>
        </w:rPr>
        <w:t>šnog</w:t>
      </w:r>
      <w:r w:rsidRPr="00155F80">
        <w:rPr>
          <w:rFonts w:ascii="Times New Roman" w:eastAsia="Calibri" w:hAnsi="Times New Roman"/>
          <w:noProof/>
          <w:lang w:val="en-US"/>
        </w:rPr>
        <w:t xml:space="preserve"> </w:t>
      </w:r>
      <w:r w:rsidR="00512E30">
        <w:rPr>
          <w:rFonts w:ascii="Times New Roman" w:eastAsia="Calibri" w:hAnsi="Times New Roman"/>
          <w:noProof/>
          <w:lang w:val="en-US"/>
        </w:rPr>
        <w:t>sistem</w:t>
      </w:r>
      <w:r w:rsidR="00C651BA">
        <w:rPr>
          <w:rFonts w:ascii="Times New Roman" w:eastAsia="Calibri" w:hAnsi="Times New Roman"/>
          <w:noProof/>
          <w:lang w:val="en-US"/>
        </w:rPr>
        <w:t>a</w:t>
      </w:r>
      <w:r w:rsidRPr="00155F80">
        <w:rPr>
          <w:rFonts w:ascii="Times New Roman" w:eastAsia="Calibri" w:hAnsi="Times New Roman"/>
          <w:noProof/>
          <w:lang w:val="en-US"/>
        </w:rPr>
        <w:t xml:space="preserve"> (p</w:t>
      </w:r>
      <w:r w:rsidRPr="00155F80">
        <w:rPr>
          <w:rFonts w:ascii="Times New Roman" w:hAnsi="Times New Roman"/>
          <w:color w:val="000000"/>
          <w:lang w:val="en-US"/>
        </w:rPr>
        <w:t xml:space="preserve">luća, bronh, traheja) koji čine (24,8%), zatim rak prostate (9,4%), rak želuca (5,7%) svih novodijagnosticiranih neoplazmi u muškaraca. </w:t>
      </w:r>
    </w:p>
    <w:p w:rsidR="00A131AD" w:rsidRPr="00155F80" w:rsidRDefault="00A80006" w:rsidP="00EB7CC7">
      <w:pPr>
        <w:pStyle w:val="refererere"/>
        <w:rPr>
          <w:rFonts w:eastAsia="Calibri"/>
          <w:noProof/>
          <w:lang w:val="en-US"/>
        </w:rPr>
      </w:pPr>
      <w:r>
        <w:rPr>
          <w:rFonts w:eastAsia="Calibri"/>
          <w:noProof/>
          <w:lang w:val="en-US"/>
        </w:rPr>
        <w:t>Tabela</w:t>
      </w:r>
      <w:r w:rsidR="00A131AD" w:rsidRPr="00155F80">
        <w:rPr>
          <w:rFonts w:eastAsia="Calibri"/>
          <w:noProof/>
          <w:lang w:val="en-US"/>
        </w:rPr>
        <w:t xml:space="preserve"> 1: Najčešće lokalizacije raka u muškaraca u Federaciji BiH, 2014.godina</w:t>
      </w:r>
    </w:p>
    <w:tbl>
      <w:tblPr>
        <w:tblW w:w="8539" w:type="dxa"/>
        <w:tblInd w:w="93" w:type="dxa"/>
        <w:tblLook w:val="04A0" w:firstRow="1" w:lastRow="0" w:firstColumn="1" w:lastColumn="0" w:noHBand="0" w:noVBand="1"/>
      </w:tblPr>
      <w:tblGrid>
        <w:gridCol w:w="723"/>
        <w:gridCol w:w="1082"/>
        <w:gridCol w:w="1978"/>
        <w:gridCol w:w="1698"/>
        <w:gridCol w:w="1361"/>
        <w:gridCol w:w="1697"/>
      </w:tblGrid>
      <w:tr w:rsidR="00A131AD" w:rsidRPr="00FB3114" w:rsidTr="001911A6">
        <w:trPr>
          <w:trHeight w:val="578"/>
        </w:trPr>
        <w:tc>
          <w:tcPr>
            <w:tcW w:w="723" w:type="dxa"/>
            <w:tcBorders>
              <w:top w:val="single" w:sz="12" w:space="0" w:color="7F7F7F"/>
              <w:left w:val="single" w:sz="12" w:space="0" w:color="7F7F7F"/>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Rang</w:t>
            </w:r>
          </w:p>
        </w:tc>
        <w:tc>
          <w:tcPr>
            <w:tcW w:w="1082" w:type="dxa"/>
            <w:tcBorders>
              <w:top w:val="single" w:sz="12" w:space="0" w:color="7F7F7F"/>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MKB-10</w:t>
            </w:r>
          </w:p>
        </w:tc>
        <w:tc>
          <w:tcPr>
            <w:tcW w:w="1978" w:type="dxa"/>
            <w:tcBorders>
              <w:top w:val="single" w:sz="12" w:space="0" w:color="7F7F7F"/>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Lokalizacija</w:t>
            </w:r>
          </w:p>
        </w:tc>
        <w:tc>
          <w:tcPr>
            <w:tcW w:w="1698" w:type="dxa"/>
            <w:tcBorders>
              <w:top w:val="single" w:sz="12" w:space="0" w:color="7F7F7F"/>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 xml:space="preserve">Broj </w:t>
            </w:r>
            <w:r w:rsidR="00A80006">
              <w:rPr>
                <w:sz w:val="22"/>
                <w:szCs w:val="22"/>
                <w:lang w:val="en-US"/>
              </w:rPr>
              <w:t>registrovanih</w:t>
            </w:r>
            <w:r w:rsidRPr="00FB3114">
              <w:rPr>
                <w:sz w:val="22"/>
                <w:szCs w:val="22"/>
                <w:lang w:val="en-US"/>
              </w:rPr>
              <w:t xml:space="preserve"> oboljenja</w:t>
            </w:r>
          </w:p>
        </w:tc>
        <w:tc>
          <w:tcPr>
            <w:tcW w:w="1361" w:type="dxa"/>
            <w:tcBorders>
              <w:top w:val="single" w:sz="12" w:space="0" w:color="7F7F7F"/>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Indeks strukture</w:t>
            </w:r>
          </w:p>
        </w:tc>
        <w:tc>
          <w:tcPr>
            <w:tcW w:w="1697" w:type="dxa"/>
            <w:tcBorders>
              <w:top w:val="single" w:sz="12" w:space="0" w:color="7F7F7F"/>
              <w:left w:val="single" w:sz="4" w:space="0" w:color="auto"/>
              <w:bottom w:val="single" w:sz="4" w:space="0" w:color="auto"/>
              <w:right w:val="single" w:sz="12" w:space="0" w:color="7F7F7F"/>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Mb/100000</w:t>
            </w:r>
          </w:p>
        </w:tc>
      </w:tr>
      <w:tr w:rsidR="00A131AD" w:rsidRPr="00FB3114" w:rsidTr="001911A6">
        <w:trPr>
          <w:trHeight w:val="372"/>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C33-34</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Pluća bronh, traheja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621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24,8</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53,4</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2</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C61</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Prostata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236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9,4</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20,3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3</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Želudac</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5,7</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12,2</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4</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C18</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Debelo crijevo</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131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5,2</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C19-20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Rektum</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128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11,1</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6</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C67</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Mokraćni mjehur</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4,3</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7</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Dušnik</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8,8</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8</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C70-72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 xml:space="preserve">Mozak, živčani </w:t>
            </w:r>
            <w:r w:rsidR="00512E30">
              <w:rPr>
                <w:sz w:val="22"/>
                <w:szCs w:val="22"/>
                <w:lang w:val="en-US"/>
              </w:rPr>
              <w:t>sistem</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6,5</w:t>
            </w:r>
          </w:p>
        </w:tc>
      </w:tr>
      <w:tr w:rsidR="00A131AD" w:rsidRPr="00FB3114" w:rsidTr="001911A6">
        <w:trPr>
          <w:trHeight w:val="264"/>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9</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Jetra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2,7</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5,9</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Gušterača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2,5</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5,4</w:t>
            </w:r>
          </w:p>
        </w:tc>
      </w:tr>
      <w:tr w:rsidR="00A131AD" w:rsidRPr="00FB3114" w:rsidTr="001911A6">
        <w:trPr>
          <w:trHeight w:val="95"/>
        </w:trPr>
        <w:tc>
          <w:tcPr>
            <w:tcW w:w="3783" w:type="dxa"/>
            <w:gridSpan w:val="3"/>
            <w:tcBorders>
              <w:top w:val="single" w:sz="4" w:space="0" w:color="auto"/>
              <w:left w:val="single" w:sz="12" w:space="0" w:color="7F7F7F"/>
              <w:bottom w:val="single" w:sz="4" w:space="0" w:color="auto"/>
              <w:right w:val="single" w:sz="4" w:space="0" w:color="auto"/>
            </w:tcBorders>
            <w:shd w:val="clear" w:color="auto" w:fill="FFFFFF" w:themeFill="background1"/>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Ostali (bez raka kože)</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822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33,1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71,5</w:t>
            </w:r>
          </w:p>
        </w:tc>
      </w:tr>
      <w:tr w:rsidR="00A131AD" w:rsidRPr="00FB3114" w:rsidTr="001911A6">
        <w:trPr>
          <w:trHeight w:val="183"/>
        </w:trPr>
        <w:tc>
          <w:tcPr>
            <w:tcW w:w="3783" w:type="dxa"/>
            <w:gridSpan w:val="3"/>
            <w:tcBorders>
              <w:top w:val="single" w:sz="4" w:space="0" w:color="auto"/>
              <w:left w:val="single" w:sz="12" w:space="0" w:color="7F7F7F"/>
              <w:bottom w:val="single" w:sz="12" w:space="0" w:color="7F7F7F"/>
              <w:right w:val="single" w:sz="4" w:space="0" w:color="auto"/>
            </w:tcBorders>
            <w:shd w:val="clear" w:color="000000" w:fill="BFBFBF"/>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Ukupno (bez raka kože)</w:t>
            </w:r>
          </w:p>
        </w:tc>
        <w:tc>
          <w:tcPr>
            <w:tcW w:w="1698" w:type="dxa"/>
            <w:tcBorders>
              <w:top w:val="single" w:sz="4" w:space="0" w:color="auto"/>
              <w:left w:val="single" w:sz="4" w:space="0" w:color="auto"/>
              <w:bottom w:val="single" w:sz="12" w:space="0" w:color="7F7F7F"/>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2497</w:t>
            </w:r>
          </w:p>
        </w:tc>
        <w:tc>
          <w:tcPr>
            <w:tcW w:w="1361" w:type="dxa"/>
            <w:tcBorders>
              <w:top w:val="single" w:sz="4" w:space="0" w:color="auto"/>
              <w:left w:val="single" w:sz="4" w:space="0" w:color="auto"/>
              <w:bottom w:val="single" w:sz="12" w:space="0" w:color="7F7F7F"/>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100</w:t>
            </w:r>
          </w:p>
        </w:tc>
        <w:tc>
          <w:tcPr>
            <w:tcW w:w="1697" w:type="dxa"/>
            <w:tcBorders>
              <w:top w:val="single" w:sz="4" w:space="0" w:color="auto"/>
              <w:left w:val="single" w:sz="4" w:space="0" w:color="auto"/>
              <w:bottom w:val="single" w:sz="12" w:space="0" w:color="7F7F7F"/>
              <w:right w:val="single" w:sz="12" w:space="0" w:color="7F7F7F"/>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215,7</w:t>
            </w:r>
          </w:p>
        </w:tc>
      </w:tr>
    </w:tbl>
    <w:p w:rsidR="00A131AD" w:rsidRPr="00155F80" w:rsidRDefault="00A131AD" w:rsidP="000C0138">
      <w:pPr>
        <w:spacing w:after="200" w:line="276" w:lineRule="auto"/>
        <w:contextualSpacing/>
        <w:jc w:val="left"/>
        <w:rPr>
          <w:rFonts w:ascii="Times New Roman" w:eastAsia="Calibri" w:hAnsi="Times New Roman"/>
          <w:noProof/>
          <w:lang w:val="en-US"/>
        </w:rPr>
      </w:pPr>
    </w:p>
    <w:p w:rsidR="00F2242B" w:rsidRPr="00F2242B"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noProof/>
          <w:lang w:val="en-US"/>
        </w:rPr>
        <w:t>Deset najčešćih lokalizacija raka u žena u FBiH u 2014.</w:t>
      </w:r>
      <w:r w:rsidR="00AB7271">
        <w:rPr>
          <w:rFonts w:ascii="Times New Roman" w:eastAsia="Calibri" w:hAnsi="Times New Roman"/>
          <w:noProof/>
          <w:lang w:val="en-US"/>
        </w:rPr>
        <w:t xml:space="preserve"> </w:t>
      </w:r>
      <w:r w:rsidRPr="00155F80">
        <w:rPr>
          <w:rFonts w:ascii="Times New Roman" w:eastAsia="Calibri" w:hAnsi="Times New Roman"/>
          <w:noProof/>
          <w:lang w:val="en-US"/>
        </w:rPr>
        <w:t xml:space="preserve">godini čine 68,1% svih </w:t>
      </w:r>
      <w:r w:rsidR="00A80006">
        <w:rPr>
          <w:rFonts w:ascii="Times New Roman" w:eastAsia="Calibri" w:hAnsi="Times New Roman"/>
          <w:noProof/>
          <w:lang w:val="en-US"/>
        </w:rPr>
        <w:t>registrovanih</w:t>
      </w:r>
      <w:r w:rsidRPr="00155F80">
        <w:rPr>
          <w:rFonts w:ascii="Times New Roman" w:eastAsia="Calibri" w:hAnsi="Times New Roman"/>
          <w:noProof/>
          <w:lang w:val="en-US"/>
        </w:rPr>
        <w:t xml:space="preserve"> slučajeva raka u muškaraca. Vodeći, prema lokalizaciji su rak dojke (23,6%</w:t>
      </w:r>
      <w:r w:rsidRPr="00155F80">
        <w:rPr>
          <w:rFonts w:ascii="Times New Roman" w:hAnsi="Times New Roman"/>
          <w:color w:val="000000"/>
          <w:lang w:val="en-US"/>
        </w:rPr>
        <w:t xml:space="preserve">) koji čine 24,8%, zatim rak </w:t>
      </w:r>
      <w:r w:rsidRPr="00155F80">
        <w:rPr>
          <w:rFonts w:ascii="Times New Roman" w:eastAsia="Calibri" w:hAnsi="Times New Roman"/>
          <w:noProof/>
          <w:lang w:val="en-US"/>
        </w:rPr>
        <w:t>p</w:t>
      </w:r>
      <w:r w:rsidRPr="00155F80">
        <w:rPr>
          <w:rFonts w:ascii="Times New Roman" w:hAnsi="Times New Roman"/>
          <w:color w:val="000000"/>
          <w:lang w:val="en-US"/>
        </w:rPr>
        <w:t xml:space="preserve">luća, bronh, traheja (7,3%), rak tijela maternice (7,2%) svih novodijagnosticiranih neoplazmi u žena. </w:t>
      </w:r>
    </w:p>
    <w:p w:rsidR="00874E9B" w:rsidRDefault="00874E9B">
      <w:pPr>
        <w:spacing w:after="160" w:line="259" w:lineRule="auto"/>
        <w:jc w:val="left"/>
        <w:rPr>
          <w:rFonts w:ascii="Times New Roman" w:eastAsia="Calibri" w:hAnsi="Times New Roman"/>
          <w:noProof/>
          <w:sz w:val="20"/>
          <w:szCs w:val="20"/>
          <w:lang w:val="en-US"/>
        </w:rPr>
      </w:pPr>
      <w:r>
        <w:rPr>
          <w:rFonts w:eastAsia="Calibri"/>
          <w:noProof/>
          <w:lang w:val="en-US"/>
        </w:rPr>
        <w:br w:type="page"/>
      </w:r>
    </w:p>
    <w:p w:rsidR="00A131AD" w:rsidRPr="00155F80" w:rsidRDefault="00A80006" w:rsidP="00EB7CC7">
      <w:pPr>
        <w:pStyle w:val="refererere"/>
        <w:rPr>
          <w:rFonts w:eastAsia="Calibri"/>
          <w:noProof/>
          <w:lang w:val="en-US"/>
        </w:rPr>
      </w:pPr>
      <w:r>
        <w:rPr>
          <w:rFonts w:eastAsia="Calibri"/>
          <w:noProof/>
          <w:lang w:val="en-US"/>
        </w:rPr>
        <w:t>Tabela</w:t>
      </w:r>
      <w:r w:rsidR="00A131AD" w:rsidRPr="00155F80">
        <w:rPr>
          <w:rFonts w:eastAsia="Calibri"/>
          <w:noProof/>
          <w:lang w:val="en-US"/>
        </w:rPr>
        <w:t xml:space="preserve"> 2: Najčešće lokalizacije raka u žena u Federaciji BiH, 2014.godina</w:t>
      </w:r>
    </w:p>
    <w:tbl>
      <w:tblPr>
        <w:tblW w:w="842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1"/>
        <w:gridCol w:w="1048"/>
        <w:gridCol w:w="1915"/>
        <w:gridCol w:w="1644"/>
        <w:gridCol w:w="1319"/>
        <w:gridCol w:w="1879"/>
      </w:tblGrid>
      <w:tr w:rsidR="00A131AD" w:rsidRPr="00FB3114" w:rsidTr="001911A6">
        <w:trPr>
          <w:trHeight w:val="419"/>
        </w:trPr>
        <w:tc>
          <w:tcPr>
            <w:tcW w:w="614" w:type="dxa"/>
            <w:tcBorders>
              <w:top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Rang</w:t>
            </w:r>
          </w:p>
        </w:tc>
        <w:tc>
          <w:tcPr>
            <w:tcW w:w="104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MKB-10</w:t>
            </w:r>
          </w:p>
        </w:tc>
        <w:tc>
          <w:tcPr>
            <w:tcW w:w="191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Lokalizacija</w:t>
            </w:r>
          </w:p>
        </w:tc>
        <w:tc>
          <w:tcPr>
            <w:tcW w:w="164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 xml:space="preserve">Broj </w:t>
            </w:r>
            <w:r w:rsidR="00A80006">
              <w:rPr>
                <w:sz w:val="22"/>
                <w:szCs w:val="22"/>
                <w:lang w:val="en-US"/>
              </w:rPr>
              <w:t>registrovanih</w:t>
            </w:r>
            <w:r w:rsidRPr="00FB3114">
              <w:rPr>
                <w:sz w:val="22"/>
                <w:szCs w:val="22"/>
                <w:lang w:val="en-US"/>
              </w:rPr>
              <w:t xml:space="preserve"> oboljenja</w:t>
            </w:r>
          </w:p>
        </w:tc>
        <w:tc>
          <w:tcPr>
            <w:tcW w:w="131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Indeks strukture</w:t>
            </w:r>
          </w:p>
        </w:tc>
        <w:tc>
          <w:tcPr>
            <w:tcW w:w="1879" w:type="dxa"/>
            <w:tcBorders>
              <w:top w:val="single" w:sz="4" w:space="0" w:color="auto"/>
              <w:left w:val="single" w:sz="4" w:space="0" w:color="auto"/>
              <w:bottom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Mb/100000</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C50</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Dojka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568</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23,6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47,4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C33-34</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Pluća bronh, traheja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177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7,3</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15,1</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3</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C54</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Tijelo maternice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172</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7,2</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14,7</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4</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C53</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Grlić maternice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169</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7,1</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5</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C19-20</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Rektum</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133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5,5</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11,3</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6</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C56</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Jajnik</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4,9</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9,9</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7</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C16</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Želudac</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109</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4,5</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9,3</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8</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C18</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Debelo crijevo</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9</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C22</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Jetra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10</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C25</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Gušterača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42</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1,8</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3,6</w:t>
            </w:r>
          </w:p>
        </w:tc>
      </w:tr>
      <w:tr w:rsidR="00A131AD" w:rsidRPr="00FB3114" w:rsidTr="001911A6">
        <w:trPr>
          <w:trHeight w:val="275"/>
        </w:trPr>
        <w:tc>
          <w:tcPr>
            <w:tcW w:w="3578" w:type="dxa"/>
            <w:gridSpan w:val="3"/>
            <w:tcBorders>
              <w:top w:val="single" w:sz="4" w:space="0" w:color="auto"/>
              <w:bottom w:val="single" w:sz="4" w:space="0" w:color="auto"/>
              <w:right w:val="single" w:sz="4" w:space="0" w:color="auto"/>
            </w:tcBorders>
            <w:shd w:val="clear" w:color="auto" w:fill="FFFFFF" w:themeFill="background1"/>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Ostali (bez raka kože)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773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31,9</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63,8</w:t>
            </w:r>
          </w:p>
        </w:tc>
      </w:tr>
      <w:tr w:rsidR="00A131AD" w:rsidRPr="00FB3114" w:rsidTr="001911A6">
        <w:trPr>
          <w:trHeight w:val="288"/>
        </w:trPr>
        <w:tc>
          <w:tcPr>
            <w:tcW w:w="3578" w:type="dxa"/>
            <w:gridSpan w:val="3"/>
            <w:tcBorders>
              <w:top w:val="single" w:sz="4" w:space="0" w:color="auto"/>
              <w:bottom w:val="single" w:sz="4" w:space="0" w:color="auto"/>
              <w:right w:val="single" w:sz="4" w:space="0" w:color="auto"/>
            </w:tcBorders>
            <w:shd w:val="clear" w:color="000000" w:fill="BFBFBF"/>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Ukupno (bez raka kože)</w:t>
            </w:r>
          </w:p>
        </w:tc>
        <w:tc>
          <w:tcPr>
            <w:tcW w:w="164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2410</w:t>
            </w:r>
          </w:p>
        </w:tc>
        <w:tc>
          <w:tcPr>
            <w:tcW w:w="131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100</w:t>
            </w:r>
          </w:p>
        </w:tc>
        <w:tc>
          <w:tcPr>
            <w:tcW w:w="1879" w:type="dxa"/>
            <w:tcBorders>
              <w:top w:val="single" w:sz="4" w:space="0" w:color="auto"/>
              <w:left w:val="single" w:sz="4" w:space="0" w:color="auto"/>
              <w:bottom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201,3</w:t>
            </w:r>
          </w:p>
        </w:tc>
      </w:tr>
    </w:tbl>
    <w:p w:rsidR="00A131AD" w:rsidRPr="00155F80" w:rsidRDefault="00A131AD" w:rsidP="000C0138">
      <w:pPr>
        <w:spacing w:after="200" w:line="276" w:lineRule="auto"/>
        <w:contextualSpacing/>
        <w:jc w:val="left"/>
        <w:rPr>
          <w:rFonts w:ascii="Times New Roman" w:eastAsia="Calibri" w:hAnsi="Times New Roman"/>
          <w:noProof/>
          <w:lang w:val="en-US"/>
        </w:rPr>
      </w:pPr>
    </w:p>
    <w:p w:rsidR="00F2242B" w:rsidRPr="00155F80" w:rsidRDefault="00F2242B" w:rsidP="00F2242B">
      <w:pPr>
        <w:spacing w:after="200" w:line="276" w:lineRule="auto"/>
        <w:contextualSpacing/>
        <w:rPr>
          <w:rFonts w:ascii="Times New Roman" w:eastAsia="Calibri" w:hAnsi="Times New Roman"/>
          <w:lang w:val="hr-HR"/>
        </w:rPr>
      </w:pPr>
      <w:r w:rsidRPr="00155F80">
        <w:rPr>
          <w:rFonts w:ascii="Times New Roman" w:eastAsia="Calibri" w:hAnsi="Times New Roman"/>
          <w:lang w:val="hr-HR"/>
        </w:rPr>
        <w:t xml:space="preserve">Struktura vodećih lokalizacija raka u muškaraca u FBiH u 2014. je neznatno izmjenjena u odnosu na 2013. godinu. Rak želuca je na trećem mjestu (u 2013. na četvrtom mjestu), a rak debelog crijeva je znatno umanjen i sada je na četvrtom mjestu. Vodeći su: rak dišnih organa (traheja, bronhi, pluća), zatim prostate, želuca i debelog crijeva. </w:t>
      </w:r>
    </w:p>
    <w:p w:rsidR="00A131AD" w:rsidRPr="00155F80" w:rsidRDefault="00A131AD" w:rsidP="00EB7CC7">
      <w:pPr>
        <w:pStyle w:val="refererere"/>
        <w:rPr>
          <w:rFonts w:eastAsia="Calibri"/>
          <w:noProof/>
          <w:lang w:val="en-US"/>
        </w:rPr>
      </w:pPr>
      <w:r w:rsidRPr="00155F80">
        <w:rPr>
          <w:rFonts w:eastAsia="Calibri"/>
          <w:noProof/>
          <w:lang w:val="en-US"/>
        </w:rPr>
        <w:t>Grafikon 32: Vodeće lokalizacije raka kod muškaraca u Federaciji BiH, u</w:t>
      </w:r>
      <w:r w:rsidR="00AB7271">
        <w:rPr>
          <w:rFonts w:eastAsia="Calibri"/>
          <w:noProof/>
          <w:lang w:val="en-US"/>
        </w:rPr>
        <w:t>s</w:t>
      </w:r>
      <w:r w:rsidRPr="00155F80">
        <w:rPr>
          <w:rFonts w:eastAsia="Calibri"/>
          <w:noProof/>
          <w:lang w:val="en-US"/>
        </w:rPr>
        <w:t>poredba 2014. i 2013.godina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015EB00A" wp14:editId="28942043">
            <wp:extent cx="5734050" cy="2838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03571" cy="2872864"/>
                    </a:xfrm>
                    <a:prstGeom prst="rect">
                      <a:avLst/>
                    </a:prstGeom>
                    <a:noFill/>
                  </pic:spPr>
                </pic:pic>
              </a:graphicData>
            </a:graphic>
          </wp:inline>
        </w:drawing>
      </w:r>
    </w:p>
    <w:p w:rsidR="00F2242B" w:rsidRPr="00F2242B"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lang w:val="hr-HR"/>
        </w:rPr>
        <w:t>I struktura vodećih lokalizacija raka u žena u FBiH u 2014. je neznatno izmjenjena u odnosu na 2013. godinu. Veći udio u strukturi, u odnosu na 2013. godinu, imaju rak dojke, tijela maternice, grlića maternice i rektuma. Rak dojke je daleko najčešća lokalizacija raka u žena. Rak pluća, iako s manjim udjelom u strukturi u odnosu na 2013. godinu, ima visok rang (drugo mjesto).</w:t>
      </w:r>
    </w:p>
    <w:p w:rsidR="00874E9B" w:rsidRDefault="00874E9B">
      <w:pPr>
        <w:spacing w:after="160" w:line="259" w:lineRule="auto"/>
        <w:jc w:val="left"/>
        <w:rPr>
          <w:rFonts w:ascii="Times New Roman" w:eastAsia="Calibri" w:hAnsi="Times New Roman"/>
          <w:noProof/>
          <w:sz w:val="20"/>
          <w:szCs w:val="20"/>
          <w:lang w:val="en-US"/>
        </w:rPr>
      </w:pPr>
      <w:r>
        <w:rPr>
          <w:rFonts w:eastAsia="Calibri"/>
          <w:noProof/>
          <w:lang w:val="en-US"/>
        </w:rPr>
        <w:br w:type="page"/>
      </w:r>
    </w:p>
    <w:p w:rsidR="00A131AD" w:rsidRPr="00155F80" w:rsidRDefault="00A131AD" w:rsidP="00EB7CC7">
      <w:pPr>
        <w:pStyle w:val="refererere"/>
        <w:rPr>
          <w:rFonts w:eastAsia="Calibri"/>
          <w:noProof/>
          <w:lang w:val="en-US"/>
        </w:rPr>
      </w:pPr>
      <w:r w:rsidRPr="00155F80">
        <w:rPr>
          <w:rFonts w:eastAsia="Calibri"/>
          <w:noProof/>
          <w:lang w:val="en-US"/>
        </w:rPr>
        <w:t>Grafikon 33: Vodeće lokalizacije raka kod žena u Federaciji BiH, u</w:t>
      </w:r>
      <w:r w:rsidR="00AB7271">
        <w:rPr>
          <w:rFonts w:eastAsia="Calibri"/>
          <w:noProof/>
          <w:lang w:val="en-US"/>
        </w:rPr>
        <w:t>s</w:t>
      </w:r>
      <w:r w:rsidRPr="00155F80">
        <w:rPr>
          <w:rFonts w:eastAsia="Calibri"/>
          <w:noProof/>
          <w:lang w:val="en-US"/>
        </w:rPr>
        <w:t>poredba 2014. i 2013.godina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55A67FC2" wp14:editId="6F801D83">
            <wp:extent cx="5695950" cy="25336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9500" cy="2539677"/>
                    </a:xfrm>
                    <a:prstGeom prst="rect">
                      <a:avLst/>
                    </a:prstGeom>
                    <a:noFill/>
                  </pic:spPr>
                </pic:pic>
              </a:graphicData>
            </a:graphic>
          </wp:inline>
        </w:drawing>
      </w:r>
    </w:p>
    <w:p w:rsidR="00A131AD" w:rsidRPr="00F2242B" w:rsidRDefault="00F2242B" w:rsidP="000C0138">
      <w:pPr>
        <w:spacing w:after="200" w:line="276" w:lineRule="auto"/>
        <w:contextualSpacing/>
        <w:rPr>
          <w:rFonts w:ascii="Times New Roman" w:eastAsia="Calibri" w:hAnsi="Times New Roman"/>
          <w:lang w:val="hr-HR"/>
        </w:rPr>
      </w:pPr>
      <w:r>
        <w:rPr>
          <w:rFonts w:ascii="Times New Roman" w:eastAsia="Calibri" w:hAnsi="Times New Roman"/>
          <w:lang w:val="hr-HR"/>
        </w:rPr>
        <w:t>Specifič</w:t>
      </w:r>
      <w:r w:rsidRPr="00155F80">
        <w:rPr>
          <w:rFonts w:ascii="Times New Roman" w:eastAsia="Calibri" w:hAnsi="Times New Roman"/>
          <w:lang w:val="hr-HR"/>
        </w:rPr>
        <w:t xml:space="preserve">ni mortalitet od malignoma je kontinuirano rastao do 2013.godine, </w:t>
      </w:r>
      <w:r>
        <w:rPr>
          <w:rFonts w:ascii="Times New Roman" w:eastAsia="Calibri" w:hAnsi="Times New Roman"/>
          <w:lang w:val="hr-HR"/>
        </w:rPr>
        <w:t>kada je</w:t>
      </w:r>
      <w:r w:rsidRPr="00155F80">
        <w:rPr>
          <w:rFonts w:ascii="Times New Roman" w:eastAsia="Calibri" w:hAnsi="Times New Roman"/>
          <w:lang w:val="hr-HR"/>
        </w:rPr>
        <w:t xml:space="preserve"> ukupan broj umrlih bio smanjen na 4.136. U 2014. godini specifični mortalitet je znatno veći u odnosu na prethodnu godinu i iznosi 4.327.</w:t>
      </w:r>
    </w:p>
    <w:p w:rsidR="00FB3114" w:rsidRDefault="00FB3114" w:rsidP="00EB7CC7">
      <w:pPr>
        <w:pStyle w:val="refererere"/>
        <w:rPr>
          <w:rFonts w:eastAsia="Calibri"/>
          <w:noProof/>
          <w:lang w:val="en-US"/>
        </w:rPr>
      </w:pPr>
    </w:p>
    <w:p w:rsidR="00FB3114" w:rsidRDefault="00FB3114" w:rsidP="00EB7CC7">
      <w:pPr>
        <w:pStyle w:val="refererere"/>
        <w:rPr>
          <w:rFonts w:eastAsia="Calibri"/>
          <w:noProof/>
          <w:lang w:val="en-US"/>
        </w:rPr>
      </w:pPr>
    </w:p>
    <w:p w:rsidR="00A131AD" w:rsidRPr="00155F80" w:rsidRDefault="00A131AD" w:rsidP="00EB7CC7">
      <w:pPr>
        <w:pStyle w:val="refererere"/>
        <w:rPr>
          <w:rFonts w:eastAsia="Calibri"/>
          <w:lang w:val="bs-Latn-BA"/>
        </w:rPr>
      </w:pPr>
      <w:r w:rsidRPr="00155F80">
        <w:rPr>
          <w:rFonts w:eastAsia="Calibri"/>
          <w:noProof/>
          <w:lang w:val="en-US"/>
        </w:rPr>
        <w:t>Grafikon 34: Broj umrlih</w:t>
      </w:r>
      <w:r w:rsidRPr="00155F80">
        <w:rPr>
          <w:rFonts w:eastAsia="Calibri"/>
          <w:lang w:val="bs-Latn-BA"/>
        </w:rPr>
        <w:t xml:space="preserve"> od raka u Federaciji BiH, za </w:t>
      </w:r>
      <w:r w:rsidR="00F70FD4">
        <w:rPr>
          <w:rFonts w:eastAsia="Calibri"/>
          <w:lang w:val="bs-Latn-BA"/>
        </w:rPr>
        <w:t>period</w:t>
      </w:r>
      <w:r w:rsidRPr="00155F80">
        <w:rPr>
          <w:rFonts w:eastAsia="Calibri"/>
          <w:lang w:val="bs-Latn-BA"/>
        </w:rPr>
        <w:t xml:space="preserve"> 2010.-2014.godina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20F91FA1" wp14:editId="103F32B1">
            <wp:extent cx="5676900" cy="167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6845" cy="1691149"/>
                    </a:xfrm>
                    <a:prstGeom prst="rect">
                      <a:avLst/>
                    </a:prstGeom>
                    <a:noFill/>
                  </pic:spPr>
                </pic:pic>
              </a:graphicData>
            </a:graphic>
          </wp:inline>
        </w:drawing>
      </w:r>
    </w:p>
    <w:p w:rsidR="00834139" w:rsidRDefault="00834139" w:rsidP="000C0138">
      <w:pPr>
        <w:spacing w:after="200" w:line="276" w:lineRule="auto"/>
        <w:contextualSpacing/>
        <w:rPr>
          <w:rFonts w:ascii="Times New Roman" w:eastAsia="Calibri" w:hAnsi="Times New Roman"/>
          <w:lang w:val="hr-HR"/>
        </w:rPr>
      </w:pPr>
    </w:p>
    <w:p w:rsidR="00834139" w:rsidRPr="00155F80" w:rsidRDefault="00C45324" w:rsidP="000C0138">
      <w:pPr>
        <w:spacing w:after="200" w:line="276" w:lineRule="auto"/>
        <w:contextualSpacing/>
        <w:rPr>
          <w:rFonts w:ascii="Times New Roman" w:eastAsia="Calibri" w:hAnsi="Times New Roman"/>
          <w:lang w:val="hr-HR"/>
        </w:rPr>
      </w:pPr>
      <w:r w:rsidRPr="00155F80">
        <w:rPr>
          <w:rFonts w:ascii="Times New Roman" w:eastAsia="Calibri" w:hAnsi="Times New Roman"/>
          <w:bCs/>
          <w:lang w:val="hr-HR"/>
        </w:rPr>
        <w:t xml:space="preserve">Prema </w:t>
      </w:r>
      <w:r w:rsidR="002B489B">
        <w:rPr>
          <w:rFonts w:ascii="Times New Roman" w:eastAsia="Calibri" w:hAnsi="Times New Roman"/>
          <w:bCs/>
          <w:lang w:val="hr-HR"/>
        </w:rPr>
        <w:t>podaci</w:t>
      </w:r>
      <w:r w:rsidRPr="00155F80">
        <w:rPr>
          <w:rFonts w:ascii="Times New Roman" w:eastAsia="Calibri" w:hAnsi="Times New Roman"/>
          <w:bCs/>
          <w:lang w:val="hr-HR"/>
        </w:rPr>
        <w:t>ma Zavoda za statistiku, udio mortaliteta od malignoma u ukupnom mortalitetu u 2014.</w:t>
      </w:r>
      <w:r>
        <w:rPr>
          <w:rFonts w:ascii="Times New Roman" w:eastAsia="Calibri" w:hAnsi="Times New Roman"/>
          <w:bCs/>
          <w:lang w:val="hr-HR"/>
        </w:rPr>
        <w:t xml:space="preserve"> </w:t>
      </w:r>
      <w:r w:rsidRPr="00155F80">
        <w:rPr>
          <w:rFonts w:ascii="Times New Roman" w:eastAsia="Calibri" w:hAnsi="Times New Roman"/>
          <w:bCs/>
          <w:lang w:val="hr-HR"/>
        </w:rPr>
        <w:t xml:space="preserve">godini iznosio je 21,6, te zauzima drugo mjesto, odmah iza bolesti srca i krvnih </w:t>
      </w:r>
      <w:r w:rsidR="000E56ED">
        <w:rPr>
          <w:rFonts w:ascii="Times New Roman" w:eastAsia="Calibri" w:hAnsi="Times New Roman"/>
          <w:bCs/>
          <w:lang w:val="hr-HR"/>
        </w:rPr>
        <w:t>sudova</w:t>
      </w:r>
      <w:r w:rsidRPr="00155F80">
        <w:rPr>
          <w:rFonts w:ascii="Times New Roman" w:eastAsia="Calibri" w:hAnsi="Times New Roman"/>
          <w:bCs/>
          <w:lang w:val="hr-HR"/>
        </w:rPr>
        <w:t xml:space="preserve">. U proteklom petogodišnjem </w:t>
      </w:r>
      <w:r w:rsidR="00F70FD4">
        <w:rPr>
          <w:rFonts w:ascii="Times New Roman" w:eastAsia="Calibri" w:hAnsi="Times New Roman"/>
          <w:bCs/>
          <w:lang w:val="hr-HR"/>
        </w:rPr>
        <w:t>periodu</w:t>
      </w:r>
      <w:r w:rsidRPr="00155F80">
        <w:rPr>
          <w:rFonts w:ascii="Times New Roman" w:eastAsia="Calibri" w:hAnsi="Times New Roman"/>
          <w:bCs/>
          <w:lang w:val="hr-HR"/>
        </w:rPr>
        <w:t>, udio mortaliteta od raka u ukupnom mortalitetu se kontinuirano povećavao od 20,01% (2009.) do 21,4% (2012.).</w:t>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80006" w:rsidP="00EB7CC7">
      <w:pPr>
        <w:pStyle w:val="refererere"/>
        <w:rPr>
          <w:rFonts w:eastAsia="Calibri"/>
          <w:lang w:val="hr-HR"/>
        </w:rPr>
      </w:pPr>
      <w:r>
        <w:rPr>
          <w:rFonts w:eastAsia="Calibri"/>
          <w:lang w:val="hr-HR"/>
        </w:rPr>
        <w:t>Tabela</w:t>
      </w:r>
      <w:r w:rsidR="00A131AD" w:rsidRPr="00155F80">
        <w:rPr>
          <w:rFonts w:eastAsia="Calibri"/>
          <w:lang w:val="hr-HR"/>
        </w:rPr>
        <w:t xml:space="preserve"> 3: Udio mortaliteta raka u ukupnom mortalitetu u Federaciji BiH, za </w:t>
      </w:r>
      <w:r w:rsidR="00F70FD4">
        <w:rPr>
          <w:rFonts w:eastAsia="Calibri"/>
          <w:lang w:val="hr-HR"/>
        </w:rPr>
        <w:t>period</w:t>
      </w:r>
      <w:r w:rsidR="00A131AD" w:rsidRPr="00155F80">
        <w:rPr>
          <w:rFonts w:eastAsia="Calibri"/>
          <w:lang w:val="hr-HR"/>
        </w:rPr>
        <w:t xml:space="preserve"> 2010.-2014.godina</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88"/>
        <w:gridCol w:w="892"/>
        <w:gridCol w:w="892"/>
        <w:gridCol w:w="893"/>
        <w:gridCol w:w="892"/>
        <w:gridCol w:w="893"/>
        <w:gridCol w:w="892"/>
        <w:gridCol w:w="893"/>
        <w:gridCol w:w="892"/>
        <w:gridCol w:w="893"/>
      </w:tblGrid>
      <w:tr w:rsidR="00A131AD" w:rsidRPr="00FB3114" w:rsidTr="00284F26">
        <w:trPr>
          <w:trHeight w:val="367"/>
          <w:jc w:val="center"/>
        </w:trPr>
        <w:tc>
          <w:tcPr>
            <w:tcW w:w="988" w:type="dxa"/>
            <w:vMerge w:val="restart"/>
            <w:shd w:val="clear" w:color="auto" w:fill="E7E6E6" w:themeFill="background2"/>
            <w:noWrap/>
            <w:hideMark/>
          </w:tcPr>
          <w:p w:rsidR="00A131AD" w:rsidRPr="00284F26" w:rsidRDefault="00A131AD" w:rsidP="000C0138">
            <w:pPr>
              <w:pStyle w:val="NoSpacing"/>
              <w:spacing w:line="276" w:lineRule="auto"/>
              <w:rPr>
                <w:b/>
                <w:sz w:val="22"/>
                <w:szCs w:val="22"/>
                <w:lang w:val="hr-HR" w:eastAsia="hr-HR"/>
              </w:rPr>
            </w:pPr>
            <w:r w:rsidRPr="00284F26">
              <w:rPr>
                <w:b/>
                <w:sz w:val="22"/>
                <w:szCs w:val="22"/>
                <w:lang w:val="bs-Latn-BA" w:eastAsia="hr-HR"/>
              </w:rPr>
              <w:t>Godina</w:t>
            </w:r>
          </w:p>
        </w:tc>
        <w:tc>
          <w:tcPr>
            <w:tcW w:w="2677"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MUŠKARCI</w:t>
            </w:r>
          </w:p>
        </w:tc>
        <w:tc>
          <w:tcPr>
            <w:tcW w:w="2677"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ŽENE</w:t>
            </w:r>
          </w:p>
        </w:tc>
        <w:tc>
          <w:tcPr>
            <w:tcW w:w="2678"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UKUPNO</w:t>
            </w:r>
          </w:p>
        </w:tc>
      </w:tr>
      <w:tr w:rsidR="00A131AD" w:rsidRPr="00FB3114" w:rsidTr="00284F26">
        <w:trPr>
          <w:trHeight w:val="966"/>
          <w:jc w:val="center"/>
        </w:trPr>
        <w:tc>
          <w:tcPr>
            <w:tcW w:w="988" w:type="dxa"/>
            <w:vMerge/>
            <w:shd w:val="clear" w:color="auto" w:fill="E7E6E6" w:themeFill="background2"/>
            <w:hideMark/>
          </w:tcPr>
          <w:p w:rsidR="00A131AD" w:rsidRPr="00284F26" w:rsidRDefault="00A131AD" w:rsidP="000C0138">
            <w:pPr>
              <w:pStyle w:val="NoSpacing"/>
              <w:spacing w:line="276" w:lineRule="auto"/>
              <w:rPr>
                <w:b/>
                <w:sz w:val="22"/>
                <w:szCs w:val="22"/>
                <w:lang w:val="hr-HR" w:eastAsia="hr-HR"/>
              </w:rPr>
            </w:pP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2010</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10220</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2361</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10036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1732</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20256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4093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2011</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10234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2468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9745</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1673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19979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4141</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20,7</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2012</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10591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2546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10010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1859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20601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4405</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21,4</w:t>
            </w:r>
          </w:p>
        </w:tc>
      </w:tr>
      <w:tr w:rsidR="00A131AD" w:rsidRPr="00FB3114" w:rsidTr="001911A6">
        <w:trPr>
          <w:trHeight w:val="82"/>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2013</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10237</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2354</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10019</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1782</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20246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4136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20,4</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2014</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10176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2573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9840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1770</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20016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4327</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21,6</w:t>
            </w:r>
          </w:p>
        </w:tc>
      </w:tr>
      <w:tr w:rsidR="00A131AD" w:rsidRPr="00FB3114" w:rsidTr="001911A6">
        <w:trPr>
          <w:trHeight w:val="162"/>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2010-14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51458</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12302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23,9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49650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8816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17,7</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101098</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21102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20,9</w:t>
            </w:r>
          </w:p>
        </w:tc>
      </w:tr>
    </w:tbl>
    <w:p w:rsidR="00A131AD" w:rsidRPr="00155F80" w:rsidRDefault="00A131AD" w:rsidP="000C0138">
      <w:pPr>
        <w:spacing w:after="200" w:line="276" w:lineRule="auto"/>
        <w:jc w:val="left"/>
        <w:rPr>
          <w:rFonts w:ascii="Times New Roman" w:eastAsia="Calibri" w:hAnsi="Times New Roman"/>
          <w:bCs/>
          <w:lang w:val="hr-HR"/>
        </w:rPr>
      </w:pPr>
      <w:r w:rsidRPr="00155F80">
        <w:rPr>
          <w:rFonts w:ascii="Times New Roman" w:eastAsia="Calibri" w:hAnsi="Times New Roman"/>
          <w:bCs/>
          <w:lang w:val="hr-HR"/>
        </w:rPr>
        <w:t>Izvor: Federalni zavod za statistiku</w:t>
      </w:r>
    </w:p>
    <w:p w:rsidR="00C45324" w:rsidRPr="00155F80" w:rsidRDefault="00C45324" w:rsidP="00C45324">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 xml:space="preserve">U 2014.godini je od raka umrlo više muškaraca (57,8%) nego žena (42,2%). Najveća stopa umiranja od karcinoma (za oba spola) je zabilježena u </w:t>
      </w:r>
      <w:r w:rsidR="00A80006">
        <w:rPr>
          <w:rFonts w:ascii="Times New Roman" w:eastAsia="Calibri" w:hAnsi="Times New Roman"/>
          <w:bCs/>
          <w:lang w:val="hr-HR"/>
        </w:rPr>
        <w:t>starosnoj</w:t>
      </w:r>
      <w:r w:rsidRPr="00155F80">
        <w:rPr>
          <w:rFonts w:ascii="Times New Roman" w:eastAsia="Calibri" w:hAnsi="Times New Roman"/>
          <w:bCs/>
          <w:lang w:val="hr-HR"/>
        </w:rPr>
        <w:t xml:space="preserve"> </w:t>
      </w:r>
      <w:r w:rsidR="00A80006">
        <w:rPr>
          <w:rFonts w:ascii="Times New Roman" w:eastAsia="Calibri" w:hAnsi="Times New Roman"/>
          <w:bCs/>
          <w:lang w:val="hr-HR"/>
        </w:rPr>
        <w:t>grupi</w:t>
      </w:r>
      <w:r w:rsidRPr="00155F80">
        <w:rPr>
          <w:rFonts w:ascii="Times New Roman" w:eastAsia="Calibri" w:hAnsi="Times New Roman"/>
          <w:bCs/>
          <w:lang w:val="hr-HR"/>
        </w:rPr>
        <w:t xml:space="preserve"> iznad 65 godina.</w:t>
      </w:r>
    </w:p>
    <w:p w:rsidR="00A131AD" w:rsidRPr="00155F80" w:rsidRDefault="00A131AD" w:rsidP="00EB7CC7">
      <w:pPr>
        <w:pStyle w:val="refererere"/>
        <w:rPr>
          <w:rFonts w:eastAsia="Calibri"/>
          <w:lang w:val="hr-HR"/>
        </w:rPr>
      </w:pPr>
      <w:r w:rsidRPr="00155F80">
        <w:rPr>
          <w:rFonts w:eastAsia="Calibri"/>
          <w:lang w:val="hr-HR"/>
        </w:rPr>
        <w:t xml:space="preserve">Grafikon 35: Mortalitet raka u Federaciji BiH, po </w:t>
      </w:r>
      <w:r w:rsidR="00526FD0">
        <w:rPr>
          <w:rFonts w:eastAsia="Calibri"/>
          <w:lang w:val="hr-HR"/>
        </w:rPr>
        <w:t>starosnim</w:t>
      </w:r>
      <w:r w:rsidRPr="00155F80">
        <w:rPr>
          <w:rFonts w:eastAsia="Calibri"/>
          <w:lang w:val="hr-HR"/>
        </w:rPr>
        <w:t xml:space="preserve"> </w:t>
      </w:r>
      <w:r w:rsidR="00D21A46">
        <w:rPr>
          <w:rFonts w:eastAsia="Calibri"/>
          <w:lang w:val="hr-HR"/>
        </w:rPr>
        <w:t>grupa</w:t>
      </w:r>
      <w:r w:rsidRPr="00155F80">
        <w:rPr>
          <w:rFonts w:eastAsia="Calibri"/>
          <w:lang w:val="hr-HR"/>
        </w:rPr>
        <w:t>ma i spolu, 2014. 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6388638D" wp14:editId="025FFB5B">
            <wp:extent cx="5676900" cy="19526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1952625"/>
                    </a:xfrm>
                    <a:prstGeom prst="rect">
                      <a:avLst/>
                    </a:prstGeom>
                    <a:noFill/>
                  </pic:spPr>
                </pic:pic>
              </a:graphicData>
            </a:graphic>
          </wp:inline>
        </w:drawing>
      </w:r>
    </w:p>
    <w:p w:rsidR="00C45324" w:rsidRDefault="00A131AD" w:rsidP="000C0138">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Redoslijed vodećih lokalizacija raka kod muškaraca je znatnije izmjenjen u odnosu na 2013.godinu. Rak jetre (na šestom mjestu) je u 2013.godini imao viši rang (četvrto mjesto). Rak debelog crijeva na četvrtom mjestu sa većim udjelom u odnosu na 2013.godinu. Rak prostate je na drugom mjestu sa većim udjelom u odnosu na 2013.godinu, a rak bubrega u 2014.godini nije među vodećim lokalizacijama raka. Rak pluća,bronha i traheja je vodeći uzrok smrti kod muškaraca od raka u 2014.</w:t>
      </w:r>
    </w:p>
    <w:p w:rsidR="00C45324" w:rsidRDefault="00A131AD" w:rsidP="000C0138">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godini.</w:t>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80006" w:rsidP="00EB7CC7">
      <w:pPr>
        <w:pStyle w:val="refererere"/>
        <w:rPr>
          <w:rFonts w:eastAsia="Calibri"/>
          <w:lang w:val="hr-HR"/>
        </w:rPr>
      </w:pPr>
      <w:r>
        <w:rPr>
          <w:rFonts w:eastAsia="Calibri"/>
          <w:lang w:val="hr-HR"/>
        </w:rPr>
        <w:t>Tabela</w:t>
      </w:r>
      <w:r w:rsidR="00A131AD" w:rsidRPr="00155F80">
        <w:rPr>
          <w:rFonts w:eastAsia="Calibri"/>
          <w:lang w:val="hr-HR"/>
        </w:rPr>
        <w:t xml:space="preserve"> 4: Deset vodećih uzroka smrti od raka kod muškaraca u Federaciji BiH, 2014. i 2013.godina</w:t>
      </w:r>
    </w:p>
    <w:tbl>
      <w:tblPr>
        <w:tblW w:w="87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733"/>
        <w:gridCol w:w="1598"/>
        <w:gridCol w:w="649"/>
        <w:gridCol w:w="923"/>
        <w:gridCol w:w="1408"/>
        <w:gridCol w:w="649"/>
      </w:tblGrid>
      <w:tr w:rsidR="00A131AD" w:rsidRPr="00284F26" w:rsidTr="00284F26">
        <w:trPr>
          <w:trHeight w:val="288"/>
        </w:trPr>
        <w:tc>
          <w:tcPr>
            <w:tcW w:w="2800" w:type="dxa"/>
            <w:vMerge w:val="restart"/>
            <w:shd w:val="clear" w:color="auto" w:fill="E7E6E6" w:themeFill="background2"/>
            <w:vAlign w:val="center"/>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Lokalizacija</w:t>
            </w:r>
          </w:p>
        </w:tc>
        <w:tc>
          <w:tcPr>
            <w:tcW w:w="2980" w:type="dxa"/>
            <w:gridSpan w:val="3"/>
            <w:shd w:val="clear" w:color="auto" w:fill="E7E6E6" w:themeFill="background2"/>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2014.</w:t>
            </w:r>
          </w:p>
        </w:tc>
        <w:tc>
          <w:tcPr>
            <w:tcW w:w="2980" w:type="dxa"/>
            <w:gridSpan w:val="3"/>
            <w:shd w:val="clear" w:color="auto" w:fill="E7E6E6" w:themeFill="background2"/>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2013.</w:t>
            </w:r>
          </w:p>
        </w:tc>
      </w:tr>
      <w:tr w:rsidR="00A131AD" w:rsidRPr="00284F26" w:rsidTr="00284F26">
        <w:trPr>
          <w:trHeight w:val="288"/>
        </w:trPr>
        <w:tc>
          <w:tcPr>
            <w:tcW w:w="2800" w:type="dxa"/>
            <w:vMerge/>
            <w:shd w:val="clear" w:color="auto" w:fill="E7E6E6" w:themeFill="background2"/>
            <w:vAlign w:val="center"/>
            <w:hideMark/>
          </w:tcPr>
          <w:p w:rsidR="00A131AD" w:rsidRPr="00284F26" w:rsidRDefault="00A131AD" w:rsidP="000C0138">
            <w:pPr>
              <w:spacing w:line="276" w:lineRule="auto"/>
              <w:jc w:val="left"/>
              <w:rPr>
                <w:rFonts w:ascii="Times New Roman" w:hAnsi="Times New Roman"/>
                <w:b/>
                <w:lang w:val="hr-HR" w:eastAsia="hr-HR"/>
              </w:rPr>
            </w:pPr>
          </w:p>
        </w:tc>
        <w:tc>
          <w:tcPr>
            <w:tcW w:w="733"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Rang</w:t>
            </w:r>
          </w:p>
        </w:tc>
        <w:tc>
          <w:tcPr>
            <w:tcW w:w="1598"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Broj umrlih</w:t>
            </w:r>
          </w:p>
        </w:tc>
        <w:tc>
          <w:tcPr>
            <w:tcW w:w="649"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w:t>
            </w:r>
          </w:p>
        </w:tc>
        <w:tc>
          <w:tcPr>
            <w:tcW w:w="923"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Rang</w:t>
            </w:r>
          </w:p>
        </w:tc>
        <w:tc>
          <w:tcPr>
            <w:tcW w:w="1408"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Broj umrlih</w:t>
            </w:r>
          </w:p>
        </w:tc>
        <w:tc>
          <w:tcPr>
            <w:tcW w:w="649"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Pluća, bronh i traheja (C33-C34)</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660</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26,4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809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34,4</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Prostata (C61)</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191</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169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Želudac (C16)</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161</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175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7,4</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Debelo crijevo (C18)</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131</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5,2</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145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Rektum (C19-20)</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123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4,9</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138</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5,9</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Jetra (C22)</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115</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152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6,5</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Gušterača (C25)</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3,8</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xml:space="preserve">Mozak, živčani </w:t>
            </w:r>
            <w:r w:rsidR="00512E30">
              <w:rPr>
                <w:rFonts w:ascii="Times New Roman" w:hAnsi="Times New Roman"/>
                <w:color w:val="000000"/>
                <w:lang w:val="hr-HR" w:eastAsia="hr-HR"/>
              </w:rPr>
              <w:t>sistem</w:t>
            </w:r>
            <w:r w:rsidRPr="00284F26">
              <w:rPr>
                <w:rFonts w:ascii="Times New Roman" w:hAnsi="Times New Roman"/>
                <w:color w:val="000000"/>
                <w:lang w:val="hr-HR" w:eastAsia="hr-HR"/>
              </w:rPr>
              <w:t xml:space="preserve"> (C70-72)</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86</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112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4,8</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Dušnik (C 32)</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2,7</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649"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Mokraćni mjehur (C67)</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65</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78</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3,3</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Bubreg (C64)</w:t>
            </w:r>
          </w:p>
        </w:tc>
        <w:tc>
          <w:tcPr>
            <w:tcW w:w="73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649"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2,3</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Ostali</w:t>
            </w:r>
          </w:p>
        </w:tc>
        <w:tc>
          <w:tcPr>
            <w:tcW w:w="733" w:type="dxa"/>
            <w:shd w:val="clear" w:color="000000" w:fill="FFFFFF"/>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806</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32,4</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423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18</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UKUPNO (bez kože)</w:t>
            </w:r>
          </w:p>
        </w:tc>
        <w:tc>
          <w:tcPr>
            <w:tcW w:w="73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2502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2354</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r>
    </w:tbl>
    <w:p w:rsidR="00A131AD" w:rsidRPr="00155F80" w:rsidRDefault="00A131AD" w:rsidP="000C0138">
      <w:pPr>
        <w:spacing w:after="200" w:line="276" w:lineRule="auto"/>
        <w:jc w:val="left"/>
        <w:rPr>
          <w:rFonts w:ascii="Times New Roman" w:eastAsia="Calibri" w:hAnsi="Times New Roman"/>
          <w:lang w:val="hr-HR"/>
        </w:rPr>
      </w:pPr>
    </w:p>
    <w:p w:rsidR="00A131AD" w:rsidRPr="00155F80" w:rsidRDefault="00A131AD" w:rsidP="00EB7CC7">
      <w:pPr>
        <w:pStyle w:val="refererere"/>
        <w:rPr>
          <w:rFonts w:eastAsia="Calibri"/>
          <w:lang w:val="hr-HR"/>
        </w:rPr>
      </w:pPr>
      <w:r w:rsidRPr="00155F80">
        <w:rPr>
          <w:rFonts w:eastAsia="Calibri"/>
          <w:lang w:val="hr-HR"/>
        </w:rPr>
        <w:t>Grafikon 36: Dese</w:t>
      </w:r>
      <w:r w:rsidR="00590EC7">
        <w:rPr>
          <w:rFonts w:eastAsia="Calibri"/>
          <w:lang w:val="hr-HR"/>
        </w:rPr>
        <w:t>t vodećih uzroka smrti od raka kod</w:t>
      </w:r>
      <w:r w:rsidRPr="00155F80">
        <w:rPr>
          <w:rFonts w:eastAsia="Calibri"/>
          <w:lang w:val="hr-HR"/>
        </w:rPr>
        <w:t xml:space="preserve"> muškaraca u Federaciji BiH, 2014. i 2013.godina, indeks strukture</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373A9173" wp14:editId="5CEAB5E1">
            <wp:extent cx="5695315" cy="3342640"/>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5315" cy="3342640"/>
                    </a:xfrm>
                    <a:prstGeom prst="rect">
                      <a:avLst/>
                    </a:prstGeom>
                    <a:noFill/>
                  </pic:spPr>
                </pic:pic>
              </a:graphicData>
            </a:graphic>
          </wp:inline>
        </w:drawing>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80006" w:rsidP="00EB7CC7">
      <w:pPr>
        <w:pStyle w:val="refererere"/>
        <w:rPr>
          <w:rFonts w:eastAsia="Calibri"/>
          <w:lang w:val="hr-HR"/>
        </w:rPr>
      </w:pPr>
      <w:r>
        <w:rPr>
          <w:rFonts w:eastAsia="Calibri"/>
          <w:lang w:val="hr-HR"/>
        </w:rPr>
        <w:t>Tabela</w:t>
      </w:r>
      <w:r w:rsidR="00A131AD" w:rsidRPr="00155F80">
        <w:rPr>
          <w:rFonts w:eastAsia="Calibri"/>
          <w:lang w:val="hr-HR"/>
        </w:rPr>
        <w:t xml:space="preserve"> 5: Deset vodećih uzroka smrti od raka kod žena u FederacijiBiH, 2014. i 2013.godina</w:t>
      </w:r>
    </w:p>
    <w:tbl>
      <w:tblPr>
        <w:tblW w:w="87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733"/>
        <w:gridCol w:w="1598"/>
        <w:gridCol w:w="649"/>
        <w:gridCol w:w="733"/>
        <w:gridCol w:w="1598"/>
        <w:gridCol w:w="649"/>
      </w:tblGrid>
      <w:tr w:rsidR="00A131AD" w:rsidRPr="00155F80" w:rsidTr="001911A6">
        <w:trPr>
          <w:trHeight w:val="288"/>
        </w:trPr>
        <w:tc>
          <w:tcPr>
            <w:tcW w:w="2800" w:type="dxa"/>
            <w:vMerge w:val="restart"/>
            <w:shd w:val="clear" w:color="000000" w:fill="F2F2F2"/>
            <w:vAlign w:val="center"/>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Lokalizacija</w:t>
            </w:r>
          </w:p>
        </w:tc>
        <w:tc>
          <w:tcPr>
            <w:tcW w:w="2980" w:type="dxa"/>
            <w:gridSpan w:val="3"/>
            <w:shd w:val="clear" w:color="000000" w:fill="F2F2F2"/>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2014.</w:t>
            </w:r>
          </w:p>
        </w:tc>
        <w:tc>
          <w:tcPr>
            <w:tcW w:w="2980" w:type="dxa"/>
            <w:gridSpan w:val="3"/>
            <w:shd w:val="clear" w:color="000000" w:fill="F2F2F2"/>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2013.</w:t>
            </w:r>
          </w:p>
        </w:tc>
      </w:tr>
      <w:tr w:rsidR="00A131AD" w:rsidRPr="00155F80" w:rsidTr="001911A6">
        <w:trPr>
          <w:trHeight w:val="288"/>
        </w:trPr>
        <w:tc>
          <w:tcPr>
            <w:tcW w:w="2800" w:type="dxa"/>
            <w:vMerge/>
            <w:vAlign w:val="center"/>
            <w:hideMark/>
          </w:tcPr>
          <w:p w:rsidR="00A131AD" w:rsidRPr="00155F80" w:rsidRDefault="00A131AD" w:rsidP="000C0138">
            <w:pPr>
              <w:spacing w:line="276" w:lineRule="auto"/>
              <w:jc w:val="left"/>
              <w:rPr>
                <w:rFonts w:ascii="Times New Roman" w:hAnsi="Times New Roman"/>
                <w:lang w:val="hr-HR" w:eastAsia="hr-HR"/>
              </w:rPr>
            </w:pP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Rang</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Broj umrlih</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Rang</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Broj umrlih</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w:t>
            </w:r>
          </w:p>
        </w:tc>
      </w:tr>
      <w:tr w:rsidR="00A131AD" w:rsidRPr="00155F80" w:rsidTr="001911A6">
        <w:trPr>
          <w:trHeight w:val="288"/>
        </w:trPr>
        <w:tc>
          <w:tcPr>
            <w:tcW w:w="2800" w:type="dxa"/>
            <w:shd w:val="clear" w:color="000000" w:fill="F2F2F2"/>
            <w:vAlign w:val="center"/>
            <w:hideMark/>
          </w:tcPr>
          <w:p w:rsidR="00A131AD" w:rsidRPr="00155F80" w:rsidRDefault="00A131AD" w:rsidP="000C0138">
            <w:pPr>
              <w:spacing w:line="276" w:lineRule="auto"/>
              <w:jc w:val="left"/>
              <w:rPr>
                <w:rFonts w:ascii="Times New Roman" w:hAnsi="Times New Roman"/>
                <w:lang w:val="hr-HR" w:eastAsia="hr-HR"/>
              </w:rPr>
            </w:pPr>
            <w:r w:rsidRPr="00155F80">
              <w:rPr>
                <w:rFonts w:ascii="Times New Roman" w:hAnsi="Times New Roman"/>
                <w:lang w:val="hr-HR" w:eastAsia="hr-HR"/>
              </w:rPr>
              <w:t>Dojka (C50)</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254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13,9</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265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14,9</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Pluća, bronh i traheja (C33-C34)</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171</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9,36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237</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13,3</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Jajnik (C56)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3</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113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7</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5,8</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Želudac (C16)</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4</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106</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3</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115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6,5</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Jetra (C22)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109</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6,1</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Debelo crijevo (C18)</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6</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106</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107</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Rektum (C19-20)</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7</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5,1</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5,9</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Gušterača (C25)</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8</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84</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5,3</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 xml:space="preserve">Mozak, živčani </w:t>
            </w:r>
            <w:r w:rsidR="00512E30">
              <w:rPr>
                <w:rFonts w:ascii="Times New Roman" w:hAnsi="Times New Roman"/>
                <w:color w:val="000000"/>
                <w:lang w:val="hr-HR" w:eastAsia="hr-HR"/>
              </w:rPr>
              <w:t>sistem</w:t>
            </w:r>
            <w:r w:rsidRPr="00155F80">
              <w:rPr>
                <w:rFonts w:ascii="Times New Roman" w:hAnsi="Times New Roman"/>
                <w:color w:val="000000"/>
                <w:lang w:val="hr-HR" w:eastAsia="hr-HR"/>
              </w:rPr>
              <w:t xml:space="preserve"> (C70-72)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9</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3,5</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4,8</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Bilijarni trakt (C23-C24)</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50</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2,8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3,6</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Ostali</w:t>
            </w:r>
          </w:p>
        </w:tc>
        <w:tc>
          <w:tcPr>
            <w:tcW w:w="733"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 </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678</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37,2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496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27,8</w:t>
            </w:r>
          </w:p>
        </w:tc>
      </w:tr>
      <w:tr w:rsidR="00A131AD" w:rsidRPr="00155F80" w:rsidTr="001911A6">
        <w:trPr>
          <w:trHeight w:val="400"/>
        </w:trPr>
        <w:tc>
          <w:tcPr>
            <w:tcW w:w="2800"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UKUPNO (bez kože)</w:t>
            </w:r>
          </w:p>
        </w:tc>
        <w:tc>
          <w:tcPr>
            <w:tcW w:w="733"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p>
        </w:tc>
        <w:tc>
          <w:tcPr>
            <w:tcW w:w="1598"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1825</w:t>
            </w:r>
          </w:p>
        </w:tc>
        <w:tc>
          <w:tcPr>
            <w:tcW w:w="649"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100</w:t>
            </w:r>
          </w:p>
        </w:tc>
        <w:tc>
          <w:tcPr>
            <w:tcW w:w="733"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p>
        </w:tc>
        <w:tc>
          <w:tcPr>
            <w:tcW w:w="1598"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1782</w:t>
            </w:r>
          </w:p>
        </w:tc>
        <w:tc>
          <w:tcPr>
            <w:tcW w:w="649"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100</w:t>
            </w:r>
          </w:p>
        </w:tc>
      </w:tr>
    </w:tbl>
    <w:p w:rsidR="00A131AD" w:rsidRPr="00155F80" w:rsidRDefault="00A131AD" w:rsidP="000C0138">
      <w:pPr>
        <w:spacing w:after="200" w:line="276" w:lineRule="auto"/>
        <w:jc w:val="left"/>
        <w:rPr>
          <w:rFonts w:ascii="Times New Roman" w:eastAsia="Calibri" w:hAnsi="Times New Roman"/>
          <w:lang w:val="hr-HR"/>
        </w:rPr>
      </w:pPr>
    </w:p>
    <w:p w:rsidR="00A131AD" w:rsidRPr="00155F80" w:rsidRDefault="00A131AD" w:rsidP="00EB7CC7">
      <w:pPr>
        <w:pStyle w:val="refererere"/>
        <w:rPr>
          <w:rFonts w:eastAsia="Calibri"/>
          <w:lang w:val="hr-HR"/>
        </w:rPr>
      </w:pPr>
      <w:r w:rsidRPr="00155F80">
        <w:rPr>
          <w:rFonts w:eastAsia="Calibri"/>
          <w:lang w:val="hr-HR"/>
        </w:rPr>
        <w:t>Grafikon 37: Dese</w:t>
      </w:r>
      <w:r w:rsidR="00590EC7">
        <w:rPr>
          <w:rFonts w:eastAsia="Calibri"/>
          <w:lang w:val="hr-HR"/>
        </w:rPr>
        <w:t>t vodećih uzroka smrti od raka kod</w:t>
      </w:r>
      <w:r w:rsidRPr="00155F80">
        <w:rPr>
          <w:rFonts w:eastAsia="Calibri"/>
          <w:lang w:val="hr-HR"/>
        </w:rPr>
        <w:t xml:space="preserve"> žena u Federaciji BiH, 2014. i 2013.godina, indeks strukture</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eastAsia="en-GB"/>
        </w:rPr>
        <w:drawing>
          <wp:inline distT="0" distB="0" distL="0" distR="0" wp14:anchorId="3350660F" wp14:editId="2E6827D0">
            <wp:extent cx="5761990" cy="31521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1990" cy="3152140"/>
                    </a:xfrm>
                    <a:prstGeom prst="rect">
                      <a:avLst/>
                    </a:prstGeom>
                    <a:noFill/>
                  </pic:spPr>
                </pic:pic>
              </a:graphicData>
            </a:graphic>
          </wp:inline>
        </w:drawing>
      </w:r>
    </w:p>
    <w:p w:rsidR="00A131AD" w:rsidRPr="00155F80" w:rsidRDefault="002B489B" w:rsidP="00834139">
      <w:pPr>
        <w:spacing w:after="200" w:line="276" w:lineRule="auto"/>
        <w:contextualSpacing/>
        <w:rPr>
          <w:rFonts w:ascii="Times New Roman" w:eastAsia="Calibri" w:hAnsi="Times New Roman"/>
          <w:lang w:val="hr-HR"/>
        </w:rPr>
      </w:pPr>
      <w:r>
        <w:rPr>
          <w:rFonts w:ascii="Times New Roman" w:eastAsia="Calibri" w:hAnsi="Times New Roman"/>
          <w:lang w:val="hr-HR"/>
        </w:rPr>
        <w:t>Podaci</w:t>
      </w:r>
      <w:r w:rsidR="00A131AD" w:rsidRPr="00155F80">
        <w:rPr>
          <w:rFonts w:ascii="Times New Roman" w:eastAsia="Calibri" w:hAnsi="Times New Roman"/>
          <w:lang w:val="hr-HR"/>
        </w:rPr>
        <w:t xml:space="preserve"> Populacijskog registra raka koji se vodi u Zavodu za javno zdravstvo FBiH su rezultat analize podataka sa terena, zdravstvenih ustanova (uglavnom kantonalnih zavoda za javno zdravstvo). S obzirom na znatan udio </w:t>
      </w:r>
      <w:r w:rsidR="00A80006">
        <w:rPr>
          <w:rFonts w:ascii="Times New Roman" w:eastAsia="Calibri" w:hAnsi="Times New Roman"/>
          <w:lang w:val="hr-HR"/>
        </w:rPr>
        <w:t>registrovanih</w:t>
      </w:r>
      <w:r w:rsidR="00A131AD" w:rsidRPr="00155F80">
        <w:rPr>
          <w:rFonts w:ascii="Times New Roman" w:eastAsia="Calibri" w:hAnsi="Times New Roman"/>
          <w:lang w:val="hr-HR"/>
        </w:rPr>
        <w:t xml:space="preserve"> samo na osnovu potvrde o smrti, mali broj mikroskopski verificiranih tumora, veliki broj umrlih od raka (</w:t>
      </w:r>
      <w:r>
        <w:rPr>
          <w:rFonts w:ascii="Times New Roman" w:eastAsia="Calibri" w:hAnsi="Times New Roman"/>
          <w:lang w:val="hr-HR"/>
        </w:rPr>
        <w:t>podaci</w:t>
      </w:r>
      <w:r w:rsidR="00A131AD" w:rsidRPr="00155F80">
        <w:rPr>
          <w:rFonts w:ascii="Times New Roman" w:eastAsia="Calibri" w:hAnsi="Times New Roman"/>
          <w:lang w:val="hr-HR"/>
        </w:rPr>
        <w:t xml:space="preserve"> Federalnog zavoda za statistiku) u odnosu na prijavljene oboljele Registru za rak FBiH, kašnjenja u prijavljivanju i nedovoljnu svijest zdravstvenih </w:t>
      </w:r>
      <w:r w:rsidR="00950A64">
        <w:rPr>
          <w:rFonts w:ascii="Times New Roman" w:eastAsia="Calibri" w:hAnsi="Times New Roman"/>
          <w:lang w:val="hr-HR"/>
        </w:rPr>
        <w:t>radnika</w:t>
      </w:r>
      <w:r w:rsidR="00A131AD" w:rsidRPr="00155F80">
        <w:rPr>
          <w:rFonts w:ascii="Times New Roman" w:eastAsia="Calibri" w:hAnsi="Times New Roman"/>
          <w:lang w:val="hr-HR"/>
        </w:rPr>
        <w:t xml:space="preserve"> o potrebi/obvezi prijavljivanja malignih neoplazmi, podatke u Populacijskom registru raka treba uzeti s rezervom jer ne odražavaju pravu sliku pojavnosti raka u Federaciji BiH.</w:t>
      </w:r>
    </w:p>
    <w:p w:rsidR="00A131AD" w:rsidRDefault="00A131AD" w:rsidP="000C0138">
      <w:pPr>
        <w:spacing w:after="160" w:line="276" w:lineRule="auto"/>
        <w:rPr>
          <w:rFonts w:ascii="Times New Roman" w:eastAsiaTheme="minorHAnsi" w:hAnsi="Times New Roman"/>
          <w:b/>
          <w:lang w:val="bs-Latn-BA"/>
        </w:rPr>
      </w:pP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Šećerna bolest</w:t>
      </w:r>
    </w:p>
    <w:p w:rsidR="00A131AD" w:rsidRPr="00155F80" w:rsidRDefault="00A131AD" w:rsidP="00284F26">
      <w:pPr>
        <w:spacing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Šećerna bolest ima sve veći javnozdravstveni značaj zbog sve većg broja oboljelih i umrlih, kao i rasta troškova u procesu liječenja. </w:t>
      </w:r>
    </w:p>
    <w:p w:rsidR="00284F26" w:rsidRDefault="00A131AD" w:rsidP="00284F26">
      <w:pPr>
        <w:tabs>
          <w:tab w:val="left" w:pos="550"/>
        </w:tabs>
        <w:spacing w:line="276" w:lineRule="auto"/>
        <w:rPr>
          <w:rFonts w:ascii="Times New Roman" w:hAnsi="Times New Roman"/>
          <w:noProof/>
          <w:lang w:val="bs-Latn-BA"/>
        </w:rPr>
      </w:pPr>
      <w:r w:rsidRPr="00155F80">
        <w:rPr>
          <w:rFonts w:ascii="Times New Roman" w:hAnsi="Times New Roman"/>
          <w:noProof/>
          <w:lang w:val="bs-Latn-BA"/>
        </w:rPr>
        <w:t xml:space="preserve">Prema ambulantno-polikliničkom morbiditetu, u 2015. godini je </w:t>
      </w:r>
      <w:r w:rsidR="00A80006">
        <w:rPr>
          <w:rFonts w:ascii="Times New Roman" w:hAnsi="Times New Roman"/>
          <w:noProof/>
          <w:lang w:val="bs-Latn-BA"/>
        </w:rPr>
        <w:t>registrovano</w:t>
      </w:r>
      <w:r w:rsidR="00AB7271">
        <w:rPr>
          <w:rFonts w:ascii="Times New Roman" w:hAnsi="Times New Roman"/>
          <w:noProof/>
          <w:lang w:val="bs-Latn-BA"/>
        </w:rPr>
        <w:t xml:space="preserve"> </w:t>
      </w:r>
      <w:r w:rsidRPr="00155F80">
        <w:rPr>
          <w:rFonts w:ascii="Times New Roman" w:hAnsi="Times New Roman"/>
          <w:noProof/>
          <w:lang w:val="bs-Latn-BA"/>
        </w:rPr>
        <w:t xml:space="preserve">samo 70.620 oboljenja, što se smatra podcijenjenim. </w:t>
      </w:r>
    </w:p>
    <w:p w:rsidR="00A131AD" w:rsidRPr="00155F80" w:rsidRDefault="00A131AD" w:rsidP="004975B7">
      <w:pPr>
        <w:tabs>
          <w:tab w:val="left" w:pos="550"/>
        </w:tabs>
        <w:spacing w:line="276" w:lineRule="auto"/>
        <w:rPr>
          <w:rFonts w:ascii="Times New Roman" w:hAnsi="Times New Roman"/>
          <w:noProof/>
          <w:lang w:val="bs-Latn-BA"/>
        </w:rPr>
      </w:pPr>
      <w:r w:rsidRPr="00155F80">
        <w:rPr>
          <w:rFonts w:ascii="Times New Roman" w:hAnsi="Times New Roman"/>
          <w:noProof/>
          <w:lang w:val="bs-Latn-BA"/>
        </w:rPr>
        <w:t xml:space="preserve">Rezultati Studije o stanju zdravlja stanovništva u Federaciji BiH su pokazali da je 9,6% stanovnika starijih od 18 godina izjavilo da im je doktor bilo kada u životu dijagnosticirao šećernu bolest, a da preko petine stanovništva starijeg od 18 godina (21,7%) ima vrijednost šećera u krvi =ili&gt;6,1mmol/l. </w:t>
      </w:r>
      <w:r w:rsidR="00C45324">
        <w:rPr>
          <w:rFonts w:ascii="Times New Roman" w:hAnsi="Times New Roman"/>
          <w:noProof/>
          <w:lang w:val="bs-Latn-BA"/>
        </w:rPr>
        <w:t>U</w:t>
      </w:r>
      <w:r w:rsidR="00AB7271">
        <w:rPr>
          <w:rFonts w:ascii="Times New Roman" w:hAnsi="Times New Roman"/>
          <w:noProof/>
          <w:lang w:val="bs-Latn-BA"/>
        </w:rPr>
        <w:t>dio</w:t>
      </w:r>
      <w:r w:rsidRPr="00155F80">
        <w:rPr>
          <w:rFonts w:ascii="Times New Roman" w:hAnsi="Times New Roman"/>
          <w:noProof/>
          <w:lang w:val="bs-Latn-BA"/>
        </w:rPr>
        <w:t xml:space="preserve"> šećerne bolesti (E10-E14) u mortalitetu raste, pa je u 2015. godini iznosio 5,4% i dva puta je veće nego u zemljama okruženja.</w:t>
      </w:r>
    </w:p>
    <w:p w:rsidR="00A131AD" w:rsidRPr="00155F80" w:rsidRDefault="00F70FD4" w:rsidP="000C0138">
      <w:pPr>
        <w:tabs>
          <w:tab w:val="left" w:pos="550"/>
        </w:tabs>
        <w:spacing w:before="120" w:line="276" w:lineRule="auto"/>
        <w:rPr>
          <w:rFonts w:ascii="Times New Roman" w:hAnsi="Times New Roman"/>
          <w:b/>
          <w:noProof/>
          <w:lang w:val="bs-Latn-BA"/>
        </w:rPr>
      </w:pPr>
      <w:r>
        <w:rPr>
          <w:rFonts w:ascii="Times New Roman" w:hAnsi="Times New Roman"/>
          <w:b/>
          <w:noProof/>
          <w:lang w:val="bs-Latn-BA"/>
        </w:rPr>
        <w:t>Hronične</w:t>
      </w:r>
      <w:r w:rsidR="00A131AD" w:rsidRPr="00155F80">
        <w:rPr>
          <w:rFonts w:ascii="Times New Roman" w:hAnsi="Times New Roman"/>
          <w:b/>
          <w:noProof/>
          <w:lang w:val="bs-Latn-BA"/>
        </w:rPr>
        <w:t xml:space="preserve"> opstruktivne plućne bolesti</w:t>
      </w:r>
    </w:p>
    <w:p w:rsidR="00B4366E" w:rsidRPr="00155F80" w:rsidRDefault="00A131AD" w:rsidP="00993848">
      <w:pPr>
        <w:tabs>
          <w:tab w:val="left" w:pos="550"/>
        </w:tabs>
        <w:spacing w:before="120" w:line="276" w:lineRule="auto"/>
        <w:rPr>
          <w:rFonts w:ascii="Times New Roman" w:hAnsi="Times New Roman"/>
          <w:b/>
          <w:noProof/>
          <w:lang w:val="bs-Latn-BA"/>
        </w:rPr>
      </w:pPr>
      <w:r w:rsidRPr="00155F80">
        <w:rPr>
          <w:rFonts w:ascii="Times New Roman" w:hAnsi="Times New Roman"/>
          <w:noProof/>
          <w:lang w:val="bs-Latn-BA"/>
        </w:rPr>
        <w:t xml:space="preserve">Oboljenja </w:t>
      </w:r>
      <w:r w:rsidR="00512E30">
        <w:rPr>
          <w:rFonts w:ascii="Times New Roman" w:hAnsi="Times New Roman"/>
          <w:noProof/>
          <w:lang w:val="bs-Latn-BA"/>
        </w:rPr>
        <w:t>sistem</w:t>
      </w:r>
      <w:r w:rsidR="00AB7271">
        <w:rPr>
          <w:rFonts w:ascii="Times New Roman" w:hAnsi="Times New Roman"/>
          <w:noProof/>
          <w:lang w:val="bs-Latn-BA"/>
        </w:rPr>
        <w:t>a</w:t>
      </w:r>
      <w:r w:rsidRPr="00155F80">
        <w:rPr>
          <w:rFonts w:ascii="Times New Roman" w:hAnsi="Times New Roman"/>
          <w:noProof/>
          <w:lang w:val="bs-Latn-BA"/>
        </w:rPr>
        <w:t xml:space="preserve"> za disanje su najčešći razlog zbog čega se stanovnici javljaju u zdravstvene ustanove primarn</w:t>
      </w:r>
      <w:r w:rsidR="00AB7271">
        <w:rPr>
          <w:rFonts w:ascii="Times New Roman" w:hAnsi="Times New Roman"/>
          <w:noProof/>
          <w:lang w:val="bs-Latn-BA"/>
        </w:rPr>
        <w:t>e</w:t>
      </w:r>
      <w:r w:rsidRPr="00155F80">
        <w:rPr>
          <w:rFonts w:ascii="Times New Roman" w:hAnsi="Times New Roman"/>
          <w:noProof/>
          <w:lang w:val="bs-Latn-BA"/>
        </w:rPr>
        <w:t xml:space="preserve"> </w:t>
      </w:r>
      <w:r w:rsidR="00AB7271">
        <w:rPr>
          <w:rFonts w:ascii="Times New Roman" w:hAnsi="Times New Roman"/>
          <w:noProof/>
          <w:lang w:val="bs-Latn-BA"/>
        </w:rPr>
        <w:t>razine</w:t>
      </w:r>
      <w:r w:rsidRPr="00155F80">
        <w:rPr>
          <w:rFonts w:ascii="Times New Roman" w:hAnsi="Times New Roman"/>
          <w:noProof/>
          <w:lang w:val="bs-Latn-BA"/>
        </w:rPr>
        <w:t xml:space="preserve"> zdravstvene zaštite i u ukupnom morbiditetu učestvuju sa 29,6% u 2015. godini</w:t>
      </w:r>
      <w:r w:rsidR="00C60658">
        <w:rPr>
          <w:rFonts w:ascii="Times New Roman" w:hAnsi="Times New Roman"/>
          <w:noProof/>
          <w:lang w:val="bs-Latn-BA"/>
        </w:rPr>
        <w:t>.</w:t>
      </w:r>
      <w:r w:rsidRPr="00155F80">
        <w:rPr>
          <w:rFonts w:ascii="Times New Roman" w:hAnsi="Times New Roman"/>
          <w:noProof/>
          <w:lang w:val="bs-Latn-BA"/>
        </w:rPr>
        <w:t xml:space="preserve"> </w:t>
      </w:r>
      <w:r w:rsidR="00F70FD4">
        <w:rPr>
          <w:rFonts w:ascii="Times New Roman" w:hAnsi="Times New Roman"/>
          <w:noProof/>
          <w:lang w:val="bs-Latn-BA"/>
        </w:rPr>
        <w:t>Hronične</w:t>
      </w:r>
      <w:r w:rsidRPr="00155F80">
        <w:rPr>
          <w:rFonts w:ascii="Times New Roman" w:hAnsi="Times New Roman"/>
          <w:noProof/>
          <w:lang w:val="bs-Latn-BA"/>
        </w:rPr>
        <w:t xml:space="preserve"> opstruktivne bolesti pluća (J40-J46) </w:t>
      </w:r>
      <w:r w:rsidR="00AB7271">
        <w:rPr>
          <w:rFonts w:ascii="Times New Roman" w:hAnsi="Times New Roman"/>
          <w:noProof/>
          <w:lang w:val="bs-Latn-BA"/>
        </w:rPr>
        <w:t>sudjeluju</w:t>
      </w:r>
      <w:r w:rsidRPr="00155F80">
        <w:rPr>
          <w:rFonts w:ascii="Times New Roman" w:hAnsi="Times New Roman"/>
          <w:noProof/>
          <w:lang w:val="bs-Latn-BA"/>
        </w:rPr>
        <w:t xml:space="preserve"> sa 6,</w:t>
      </w:r>
      <w:r w:rsidR="00C60658">
        <w:rPr>
          <w:rFonts w:ascii="Times New Roman" w:hAnsi="Times New Roman"/>
          <w:noProof/>
          <w:lang w:val="bs-Latn-BA"/>
        </w:rPr>
        <w:t xml:space="preserve">6% oboljenja respiratornog </w:t>
      </w:r>
      <w:r w:rsidR="00512E30">
        <w:rPr>
          <w:rFonts w:ascii="Times New Roman" w:hAnsi="Times New Roman"/>
          <w:noProof/>
          <w:lang w:val="bs-Latn-BA"/>
        </w:rPr>
        <w:t>sistem</w:t>
      </w:r>
      <w:r w:rsidR="00AB7271">
        <w:rPr>
          <w:rFonts w:ascii="Times New Roman" w:hAnsi="Times New Roman"/>
          <w:noProof/>
          <w:lang w:val="bs-Latn-BA"/>
        </w:rPr>
        <w:t>a</w:t>
      </w:r>
      <w:r w:rsidR="00C60658">
        <w:rPr>
          <w:rFonts w:ascii="Times New Roman" w:hAnsi="Times New Roman"/>
          <w:noProof/>
          <w:lang w:val="bs-Latn-BA"/>
        </w:rPr>
        <w:t xml:space="preserve">, </w:t>
      </w:r>
      <w:r w:rsidR="00AB7271">
        <w:rPr>
          <w:rFonts w:ascii="Times New Roman" w:hAnsi="Times New Roman"/>
          <w:noProof/>
          <w:lang w:val="bs-Latn-BA"/>
        </w:rPr>
        <w:t>udio</w:t>
      </w:r>
      <w:r w:rsidR="00C60658" w:rsidRPr="00155F80">
        <w:rPr>
          <w:rFonts w:ascii="Times New Roman" w:hAnsi="Times New Roman"/>
          <w:noProof/>
          <w:lang w:val="bs-Latn-BA"/>
        </w:rPr>
        <w:t xml:space="preserve"> u mortalitetu </w:t>
      </w:r>
      <w:r w:rsidR="00C60658">
        <w:rPr>
          <w:rFonts w:ascii="Times New Roman" w:hAnsi="Times New Roman"/>
          <w:noProof/>
          <w:lang w:val="bs-Latn-BA"/>
        </w:rPr>
        <w:t>iznosi</w:t>
      </w:r>
      <w:r w:rsidR="00C60658" w:rsidRPr="00155F80">
        <w:rPr>
          <w:rFonts w:ascii="Times New Roman" w:hAnsi="Times New Roman"/>
          <w:noProof/>
          <w:lang w:val="bs-Latn-BA"/>
        </w:rPr>
        <w:t xml:space="preserve"> 3,4%</w:t>
      </w:r>
      <w:r w:rsidR="00C60658">
        <w:rPr>
          <w:rFonts w:ascii="Times New Roman" w:hAnsi="Times New Roman"/>
          <w:noProof/>
          <w:lang w:val="bs-Latn-BA"/>
        </w:rPr>
        <w:t>. Imajući u vidu</w:t>
      </w:r>
      <w:r w:rsidR="00C60658" w:rsidRPr="00155F80">
        <w:rPr>
          <w:rFonts w:ascii="Times New Roman" w:hAnsi="Times New Roman"/>
          <w:noProof/>
          <w:lang w:val="bs-Latn-BA"/>
        </w:rPr>
        <w:t xml:space="preserve"> </w:t>
      </w:r>
      <w:r w:rsidR="00C60658">
        <w:rPr>
          <w:rFonts w:ascii="Times New Roman" w:hAnsi="Times New Roman"/>
          <w:noProof/>
          <w:lang w:val="bs-Latn-BA"/>
        </w:rPr>
        <w:t>visoku prevalenc</w:t>
      </w:r>
      <w:r w:rsidR="00AB7271">
        <w:rPr>
          <w:rFonts w:ascii="Times New Roman" w:hAnsi="Times New Roman"/>
          <w:noProof/>
          <w:lang w:val="bs-Latn-BA"/>
        </w:rPr>
        <w:t>ij</w:t>
      </w:r>
      <w:r w:rsidR="00C60658">
        <w:rPr>
          <w:rFonts w:ascii="Times New Roman" w:hAnsi="Times New Roman"/>
          <w:noProof/>
          <w:lang w:val="bs-Latn-BA"/>
        </w:rPr>
        <w:t>u</w:t>
      </w:r>
      <w:r w:rsidRPr="00155F80">
        <w:rPr>
          <w:rFonts w:ascii="Times New Roman" w:hAnsi="Times New Roman"/>
          <w:noProof/>
          <w:lang w:val="bs-Latn-BA"/>
        </w:rPr>
        <w:t xml:space="preserve"> pušenja među stanovnicima (44,1%)</w:t>
      </w:r>
      <w:r w:rsidR="00C60658">
        <w:rPr>
          <w:rFonts w:ascii="Times New Roman" w:hAnsi="Times New Roman"/>
          <w:noProof/>
          <w:lang w:val="bs-Latn-BA"/>
        </w:rPr>
        <w:t xml:space="preserve">, uz sve veće </w:t>
      </w:r>
      <w:r w:rsidR="00AB7271">
        <w:rPr>
          <w:rFonts w:ascii="Times New Roman" w:hAnsi="Times New Roman"/>
          <w:noProof/>
          <w:lang w:val="bs-Latn-BA"/>
        </w:rPr>
        <w:t>onečišćenje</w:t>
      </w:r>
      <w:r w:rsidR="00C60658">
        <w:rPr>
          <w:rFonts w:ascii="Times New Roman" w:hAnsi="Times New Roman"/>
          <w:noProof/>
          <w:lang w:val="bs-Latn-BA"/>
        </w:rPr>
        <w:t xml:space="preserve"> </w:t>
      </w:r>
      <w:r w:rsidR="00AB7271">
        <w:rPr>
          <w:rFonts w:ascii="Times New Roman" w:hAnsi="Times New Roman"/>
          <w:noProof/>
          <w:lang w:val="bs-Latn-BA"/>
        </w:rPr>
        <w:t>zraka</w:t>
      </w:r>
      <w:r w:rsidR="00C60658">
        <w:rPr>
          <w:rFonts w:ascii="Times New Roman" w:hAnsi="Times New Roman"/>
          <w:noProof/>
          <w:lang w:val="bs-Latn-BA"/>
        </w:rPr>
        <w:t xml:space="preserve">, praćenje </w:t>
      </w:r>
      <w:r w:rsidR="00512E30">
        <w:rPr>
          <w:rFonts w:ascii="Times New Roman" w:hAnsi="Times New Roman"/>
          <w:noProof/>
          <w:lang w:val="bs-Latn-BA"/>
        </w:rPr>
        <w:t>hronični</w:t>
      </w:r>
      <w:r w:rsidR="00C60658">
        <w:rPr>
          <w:rFonts w:ascii="Times New Roman" w:hAnsi="Times New Roman"/>
          <w:noProof/>
          <w:lang w:val="bs-Latn-BA"/>
        </w:rPr>
        <w:t>h opstruktivnih bolesti ima sve veći značaj.</w:t>
      </w:r>
    </w:p>
    <w:p w:rsidR="00284F26" w:rsidRDefault="00A131AD" w:rsidP="00284F26">
      <w:pPr>
        <w:tabs>
          <w:tab w:val="left" w:pos="550"/>
        </w:tabs>
        <w:spacing w:before="120" w:line="276" w:lineRule="auto"/>
        <w:rPr>
          <w:rFonts w:ascii="Times New Roman" w:hAnsi="Times New Roman"/>
          <w:b/>
          <w:noProof/>
          <w:lang w:val="bs-Latn-BA"/>
        </w:rPr>
      </w:pPr>
      <w:r w:rsidRPr="00155F80">
        <w:rPr>
          <w:rFonts w:ascii="Times New Roman" w:hAnsi="Times New Roman"/>
          <w:b/>
          <w:noProof/>
          <w:lang w:val="bs-Latn-BA"/>
        </w:rPr>
        <w:t>Mentalno zdravlje</w:t>
      </w:r>
    </w:p>
    <w:p w:rsidR="00A131AD" w:rsidRPr="00155F80" w:rsidRDefault="00C60658" w:rsidP="004975B7">
      <w:pPr>
        <w:tabs>
          <w:tab w:val="left" w:pos="550"/>
        </w:tabs>
        <w:spacing w:before="120" w:line="276" w:lineRule="auto"/>
        <w:rPr>
          <w:rFonts w:ascii="Times New Roman" w:hAnsi="Times New Roman"/>
        </w:rPr>
      </w:pPr>
      <w:r>
        <w:rPr>
          <w:rFonts w:ascii="Times New Roman" w:hAnsi="Times New Roman"/>
        </w:rPr>
        <w:t xml:space="preserve">Mentalno </w:t>
      </w:r>
      <w:r w:rsidR="00A131AD" w:rsidRPr="00155F80">
        <w:rPr>
          <w:rFonts w:ascii="Times New Roman" w:hAnsi="Times New Roman"/>
        </w:rPr>
        <w:t xml:space="preserve">zdravlje predstavlja važan izvor snage i sigurnosti za pojedinca i za </w:t>
      </w:r>
      <w:r w:rsidR="00B85430">
        <w:rPr>
          <w:rFonts w:ascii="Times New Roman" w:hAnsi="Times New Roman"/>
        </w:rPr>
        <w:t>obitelj</w:t>
      </w:r>
      <w:r w:rsidR="00A131AD" w:rsidRPr="00155F80">
        <w:rPr>
          <w:rFonts w:ascii="Times New Roman" w:hAnsi="Times New Roman"/>
        </w:rPr>
        <w:t xml:space="preserve">. Osoba koja je dobrog mentalnog zdravlja je zadovoljna, pozitivna, sposobna zasnovati </w:t>
      </w:r>
      <w:r w:rsidR="00B85430">
        <w:rPr>
          <w:rFonts w:ascii="Times New Roman" w:hAnsi="Times New Roman"/>
        </w:rPr>
        <w:t>obitelj</w:t>
      </w:r>
      <w:r w:rsidR="00A131AD" w:rsidRPr="00155F80">
        <w:rPr>
          <w:rFonts w:ascii="Times New Roman" w:hAnsi="Times New Roman"/>
        </w:rPr>
        <w:t xml:space="preserve"> i biti sretna u njoj, prihvaća druge ljude, sposobna je s</w:t>
      </w:r>
      <w:r w:rsidR="00D21A46">
        <w:rPr>
          <w:rFonts w:ascii="Times New Roman" w:hAnsi="Times New Roman"/>
        </w:rPr>
        <w:t>materija</w:t>
      </w:r>
      <w:r w:rsidR="00A131AD" w:rsidRPr="00155F80">
        <w:rPr>
          <w:rFonts w:ascii="Times New Roman" w:hAnsi="Times New Roman"/>
        </w:rPr>
        <w:t xml:space="preserve">ati i održavati prijateljstva, produktivna je na radnom mjestu, i dobro se nosi sa životnim </w:t>
      </w:r>
      <w:r w:rsidR="00B85430">
        <w:rPr>
          <w:rFonts w:ascii="Times New Roman" w:hAnsi="Times New Roman"/>
        </w:rPr>
        <w:t>poteškoćama</w:t>
      </w:r>
      <w:r w:rsidR="00A131AD" w:rsidRPr="00155F80">
        <w:rPr>
          <w:rFonts w:ascii="Times New Roman" w:hAnsi="Times New Roman"/>
        </w:rPr>
        <w:t xml:space="preserve"> i stresovima.</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Stoga ne treba zanemarivati probleme mentalnog zdravlja u odnosu na probleme tjelesnog zdravlja. Osobito treba istaknuti čestu međupovezanost </w:t>
      </w:r>
      <w:r w:rsidR="00751A8F">
        <w:rPr>
          <w:rFonts w:ascii="Times New Roman" w:hAnsi="Times New Roman"/>
        </w:rPr>
        <w:t>tjelesnih</w:t>
      </w:r>
      <w:r w:rsidRPr="00155F80">
        <w:rPr>
          <w:rFonts w:ascii="Times New Roman" w:hAnsi="Times New Roman"/>
        </w:rPr>
        <w:t xml:space="preserve"> bolesti sa narušenim mentalnim zdravljem, što znači da bilo koja </w:t>
      </w:r>
      <w:r w:rsidR="00751A8F">
        <w:rPr>
          <w:rFonts w:ascii="Times New Roman" w:hAnsi="Times New Roman"/>
        </w:rPr>
        <w:t>tjelesna</w:t>
      </w:r>
      <w:r w:rsidRPr="00155F80">
        <w:rPr>
          <w:rFonts w:ascii="Times New Roman" w:hAnsi="Times New Roman"/>
        </w:rPr>
        <w:t xml:space="preserve"> bolest može imati za posljedicu mentalne zdravstvene probleme; s druge strane, mnoge poznate nam bolesti razvile su se zbog poremećenog mentalnog zdravlja i nesposobnosti osobe da se uspješno nosi sa stresovima koji su naša svakidašnjost. Povezanost dobrog mentalnog i </w:t>
      </w:r>
      <w:r w:rsidR="00751A8F">
        <w:rPr>
          <w:rFonts w:ascii="Times New Roman" w:hAnsi="Times New Roman"/>
        </w:rPr>
        <w:t>tjelesnog</w:t>
      </w:r>
      <w:r w:rsidRPr="00155F80">
        <w:rPr>
          <w:rFonts w:ascii="Times New Roman" w:hAnsi="Times New Roman"/>
        </w:rPr>
        <w:t xml:space="preserve"> zdravlja</w:t>
      </w:r>
      <w:r w:rsidR="00C60658">
        <w:rPr>
          <w:rFonts w:ascii="Times New Roman" w:hAnsi="Times New Roman"/>
        </w:rPr>
        <w:t xml:space="preserve"> </w:t>
      </w:r>
      <w:r w:rsidR="00B85430">
        <w:rPr>
          <w:rFonts w:ascii="Times New Roman" w:hAnsi="Times New Roman"/>
        </w:rPr>
        <w:t>važna</w:t>
      </w:r>
      <w:r w:rsidR="00C60658">
        <w:rPr>
          <w:rFonts w:ascii="Times New Roman" w:hAnsi="Times New Roman"/>
        </w:rPr>
        <w:t xml:space="preserve"> je za uspješan </w:t>
      </w:r>
      <w:r w:rsidRPr="00155F80">
        <w:rPr>
          <w:rFonts w:ascii="Times New Roman" w:hAnsi="Times New Roman"/>
        </w:rPr>
        <w:t>razvoj u svakoj životnoj dobi.</w:t>
      </w:r>
    </w:p>
    <w:p w:rsidR="00A131AD" w:rsidRPr="00155F80" w:rsidRDefault="00A131AD" w:rsidP="000C0138">
      <w:pPr>
        <w:spacing w:line="276" w:lineRule="auto"/>
        <w:rPr>
          <w:rFonts w:ascii="Times New Roman" w:hAnsi="Times New Roman"/>
        </w:rPr>
      </w:pPr>
      <w:r w:rsidRPr="00155F80">
        <w:rPr>
          <w:rFonts w:ascii="Times New Roman" w:hAnsi="Times New Roman"/>
        </w:rPr>
        <w:t>Zbog česte pojavnosti i sve veće učestalosti, čestog početka u mlađoj odrasloj dobi, narušavanja kvalitet</w:t>
      </w:r>
      <w:r w:rsidR="00B85430">
        <w:rPr>
          <w:rFonts w:ascii="Times New Roman" w:hAnsi="Times New Roman"/>
        </w:rPr>
        <w:t>a</w:t>
      </w:r>
      <w:r w:rsidRPr="00155F80">
        <w:rPr>
          <w:rFonts w:ascii="Times New Roman" w:hAnsi="Times New Roman"/>
        </w:rPr>
        <w:t xml:space="preserve"> života kako bolesnika tako i njegove </w:t>
      </w:r>
      <w:r w:rsidR="00F0369C">
        <w:rPr>
          <w:rFonts w:ascii="Times New Roman" w:hAnsi="Times New Roman"/>
        </w:rPr>
        <w:t>porodici</w:t>
      </w:r>
      <w:r w:rsidRPr="00155F80">
        <w:rPr>
          <w:rFonts w:ascii="Times New Roman" w:hAnsi="Times New Roman"/>
        </w:rPr>
        <w:t xml:space="preserve">, duševne bolesti i mentalni poremećaji predstavljaju jedan od važnijih javnozdravstvenih problema i u svijetu i kod nas, i sve više pažnje se polaže na očuvanje i unapređenje mentalnog zdravlja. </w:t>
      </w:r>
    </w:p>
    <w:p w:rsidR="00C60658" w:rsidRDefault="00A131AD" w:rsidP="000C0138">
      <w:pPr>
        <w:spacing w:line="276" w:lineRule="auto"/>
        <w:rPr>
          <w:rFonts w:ascii="Times New Roman" w:hAnsi="Times New Roman"/>
        </w:rPr>
      </w:pPr>
      <w:r w:rsidRPr="00155F80">
        <w:rPr>
          <w:rFonts w:ascii="Times New Roman" w:hAnsi="Times New Roman"/>
        </w:rPr>
        <w:t>U Federaciji Bosne i Hercegovine iz godine u godinu se bilježi porast obol</w:t>
      </w:r>
      <w:r w:rsidR="00B85430">
        <w:rPr>
          <w:rFonts w:ascii="Times New Roman" w:hAnsi="Times New Roman"/>
        </w:rPr>
        <w:t>i</w:t>
      </w:r>
      <w:r w:rsidRPr="00155F80">
        <w:rPr>
          <w:rFonts w:ascii="Times New Roman" w:hAnsi="Times New Roman"/>
        </w:rPr>
        <w:t xml:space="preserve">jevanja stanovništva u </w:t>
      </w:r>
      <w:r w:rsidR="00F70FD4">
        <w:rPr>
          <w:rFonts w:ascii="Times New Roman" w:hAnsi="Times New Roman"/>
        </w:rPr>
        <w:t>periodu</w:t>
      </w:r>
      <w:r w:rsidRPr="00155F80">
        <w:rPr>
          <w:rFonts w:ascii="Times New Roman" w:hAnsi="Times New Roman"/>
        </w:rPr>
        <w:t xml:space="preserve"> od 2010.-2014.godine, sa blagim padom u 2015.godini.</w:t>
      </w:r>
    </w:p>
    <w:p w:rsidR="00284F26" w:rsidRPr="00155F80" w:rsidRDefault="00284F26" w:rsidP="000C0138">
      <w:pPr>
        <w:spacing w:line="276" w:lineRule="auto"/>
        <w:rPr>
          <w:rFonts w:ascii="Times New Roman" w:hAnsi="Times New Roman"/>
          <w:color w:val="000000"/>
          <w:lang w:eastAsia="bs-Latn-BA"/>
        </w:rPr>
      </w:pPr>
    </w:p>
    <w:p w:rsidR="00A131AD" w:rsidRPr="00155F80" w:rsidRDefault="00A131AD" w:rsidP="00EB7CC7">
      <w:pPr>
        <w:pStyle w:val="refererere"/>
        <w:rPr>
          <w:lang w:eastAsia="bs-Latn-BA"/>
        </w:rPr>
      </w:pPr>
      <w:r w:rsidRPr="005861C0">
        <w:rPr>
          <w:lang w:eastAsia="bs-Latn-BA"/>
        </w:rPr>
        <w:t xml:space="preserve">Grafikon 38: Obolijevanje stanovništva Federacije BiH od mentalnih poremećaja i poremećaja ponašanja za </w:t>
      </w:r>
      <w:r w:rsidR="00F70FD4">
        <w:rPr>
          <w:lang w:eastAsia="bs-Latn-BA"/>
        </w:rPr>
        <w:t>period</w:t>
      </w:r>
      <w:r w:rsidRPr="005861C0">
        <w:rPr>
          <w:lang w:eastAsia="bs-Latn-BA"/>
        </w:rPr>
        <w:t xml:space="preserve"> 2010.-2015.godina, </w:t>
      </w:r>
      <w:r w:rsidRPr="005861C0">
        <w:rPr>
          <w:rFonts w:eastAsiaTheme="minorHAnsi"/>
          <w:lang w:val="bs-Latn-BA"/>
        </w:rPr>
        <w:t>stopa na 10.000 stanovnika</w:t>
      </w:r>
    </w:p>
    <w:p w:rsidR="00A131AD" w:rsidRPr="00155F80" w:rsidRDefault="00793494" w:rsidP="000C0138">
      <w:pPr>
        <w:spacing w:line="276" w:lineRule="auto"/>
        <w:rPr>
          <w:rFonts w:ascii="Times New Roman" w:hAnsi="Times New Roman"/>
        </w:rPr>
      </w:pPr>
      <w:r>
        <w:rPr>
          <w:noProof/>
          <w:lang w:eastAsia="en-GB"/>
        </w:rPr>
        <w:drawing>
          <wp:inline distT="0" distB="0" distL="0" distR="0" wp14:anchorId="6CCC32A6" wp14:editId="70BFED35">
            <wp:extent cx="5686425" cy="1590675"/>
            <wp:effectExtent l="0" t="0" r="9525" b="952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131AD" w:rsidRDefault="00A131AD" w:rsidP="00993848">
      <w:pPr>
        <w:spacing w:line="276" w:lineRule="auto"/>
        <w:rPr>
          <w:rFonts w:ascii="Times New Roman" w:hAnsi="Times New Roman"/>
          <w:lang w:eastAsia="bs-Latn-BA"/>
        </w:rPr>
      </w:pPr>
      <w:r w:rsidRPr="00155F80">
        <w:rPr>
          <w:rFonts w:ascii="Times New Roman" w:hAnsi="Times New Roman"/>
          <w:lang w:eastAsia="bs-Latn-BA"/>
        </w:rPr>
        <w:t xml:space="preserve">Najčešći poremećaji mentalnog zdravlja u </w:t>
      </w:r>
      <w:r w:rsidR="00F70FD4">
        <w:rPr>
          <w:rFonts w:ascii="Times New Roman" w:hAnsi="Times New Roman"/>
          <w:lang w:eastAsia="bs-Latn-BA"/>
        </w:rPr>
        <w:t>periodu</w:t>
      </w:r>
      <w:r w:rsidRPr="00155F80">
        <w:rPr>
          <w:rFonts w:ascii="Times New Roman" w:hAnsi="Times New Roman"/>
          <w:lang w:eastAsia="bs-Latn-BA"/>
        </w:rPr>
        <w:t xml:space="preserve"> od 2010.</w:t>
      </w:r>
      <w:r w:rsidR="00B85430">
        <w:rPr>
          <w:rFonts w:ascii="Times New Roman" w:hAnsi="Times New Roman"/>
          <w:lang w:eastAsia="bs-Latn-BA"/>
        </w:rPr>
        <w:t xml:space="preserve"> do </w:t>
      </w:r>
      <w:r w:rsidRPr="00155F80">
        <w:rPr>
          <w:rFonts w:ascii="Times New Roman" w:hAnsi="Times New Roman"/>
          <w:lang w:eastAsia="bs-Latn-BA"/>
        </w:rPr>
        <w:t>2015. godine jesu neurotski, sa stresom povezani i somatski poremećaji (F40-F48) kod kojih se uočava blagi pad u 2015. godini, slijede poremećaji raspoloženja (F30-F39)</w:t>
      </w:r>
      <w:r w:rsidR="00D83848">
        <w:rPr>
          <w:rFonts w:ascii="Times New Roman" w:hAnsi="Times New Roman"/>
          <w:lang w:eastAsia="bs-Latn-BA"/>
        </w:rPr>
        <w:t xml:space="preserve"> koji su imali lagani porast</w:t>
      </w:r>
      <w:r w:rsidRPr="00155F80">
        <w:rPr>
          <w:rFonts w:ascii="Times New Roman" w:hAnsi="Times New Roman"/>
          <w:lang w:eastAsia="bs-Latn-BA"/>
        </w:rPr>
        <w:t xml:space="preserve">, na trećem mjestu su shizofrenija, shizotipalni i sumanuti poremećaji te drugi mentalni poremećaji i poremećaji ponašanja.  </w:t>
      </w:r>
    </w:p>
    <w:p w:rsidR="00993848" w:rsidRPr="00155F80" w:rsidRDefault="00993848" w:rsidP="00993848">
      <w:pPr>
        <w:spacing w:line="276" w:lineRule="auto"/>
        <w:rPr>
          <w:rFonts w:ascii="Times New Roman" w:hAnsi="Times New Roman"/>
          <w:lang w:eastAsia="bs-Latn-BA"/>
        </w:rPr>
      </w:pPr>
    </w:p>
    <w:p w:rsidR="00A131AD" w:rsidRPr="00155F80" w:rsidRDefault="00A131AD" w:rsidP="00EB7CC7">
      <w:pPr>
        <w:pStyle w:val="refererere"/>
        <w:rPr>
          <w:lang w:eastAsia="bs-Latn-BA"/>
        </w:rPr>
      </w:pPr>
      <w:r w:rsidRPr="005861C0">
        <w:rPr>
          <w:lang w:eastAsia="bs-Latn-BA"/>
        </w:rPr>
        <w:t xml:space="preserve">Grafikon 39: Vodeći mentalni poremećaji i poremećaji ponašanja </w:t>
      </w:r>
      <w:r w:rsidR="00590EC7" w:rsidRPr="005861C0">
        <w:rPr>
          <w:lang w:eastAsia="bs-Latn-BA"/>
        </w:rPr>
        <w:t xml:space="preserve">u Federaciji BiH </w:t>
      </w:r>
      <w:r w:rsidRPr="005861C0">
        <w:rPr>
          <w:lang w:eastAsia="bs-Latn-BA"/>
        </w:rPr>
        <w:t xml:space="preserve">za ukupno stanovništvo, </w:t>
      </w:r>
      <w:r w:rsidR="00F70FD4">
        <w:rPr>
          <w:lang w:eastAsia="bs-Latn-BA"/>
        </w:rPr>
        <w:t>period</w:t>
      </w:r>
      <w:r w:rsidR="007F4C6B" w:rsidRPr="005861C0">
        <w:rPr>
          <w:lang w:eastAsia="bs-Latn-BA"/>
        </w:rPr>
        <w:t xml:space="preserve"> </w:t>
      </w:r>
      <w:r w:rsidRPr="005861C0">
        <w:rPr>
          <w:lang w:eastAsia="bs-Latn-BA"/>
        </w:rPr>
        <w:t xml:space="preserve">2010.-2015.godina, </w:t>
      </w:r>
      <w:r w:rsidRPr="005861C0">
        <w:rPr>
          <w:rFonts w:eastAsiaTheme="minorHAnsi"/>
          <w:lang w:val="bs-Latn-BA"/>
        </w:rPr>
        <w:t>stopa na 10.000 stanovnika</w:t>
      </w:r>
    </w:p>
    <w:p w:rsidR="00A131AD" w:rsidRPr="00155F80" w:rsidRDefault="00C52177" w:rsidP="000C0138">
      <w:pPr>
        <w:spacing w:line="276" w:lineRule="auto"/>
        <w:rPr>
          <w:rFonts w:ascii="Times New Roman" w:hAnsi="Times New Roman"/>
        </w:rPr>
      </w:pPr>
      <w:r>
        <w:rPr>
          <w:noProof/>
          <w:lang w:eastAsia="en-GB"/>
        </w:rPr>
        <w:drawing>
          <wp:inline distT="0" distB="0" distL="0" distR="0" wp14:anchorId="0DFC0178" wp14:editId="17D10BC6">
            <wp:extent cx="5734050" cy="2362200"/>
            <wp:effectExtent l="0" t="0" r="0" b="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131AD" w:rsidRPr="00155F80" w:rsidRDefault="00A131AD" w:rsidP="000C0138">
      <w:pPr>
        <w:spacing w:line="276" w:lineRule="auto"/>
        <w:rPr>
          <w:rFonts w:ascii="Times New Roman" w:hAnsi="Times New Roman"/>
        </w:rPr>
      </w:pPr>
    </w:p>
    <w:p w:rsidR="00EB7CC7" w:rsidRPr="00155F80" w:rsidRDefault="00A131AD" w:rsidP="000C0138">
      <w:pPr>
        <w:spacing w:line="276" w:lineRule="auto"/>
        <w:rPr>
          <w:rFonts w:ascii="Times New Roman" w:hAnsi="Times New Roman"/>
        </w:rPr>
      </w:pPr>
      <w:r w:rsidRPr="00155F80">
        <w:rPr>
          <w:rFonts w:ascii="Times New Roman" w:hAnsi="Times New Roman"/>
        </w:rPr>
        <w:t xml:space="preserve">U starosnoj grupi 7-18 godina u promatranom </w:t>
      </w:r>
      <w:r w:rsidR="00F70FD4">
        <w:rPr>
          <w:rFonts w:ascii="Times New Roman" w:hAnsi="Times New Roman"/>
        </w:rPr>
        <w:t>periodu</w:t>
      </w:r>
      <w:r w:rsidRPr="00155F80">
        <w:rPr>
          <w:rFonts w:ascii="Times New Roman" w:hAnsi="Times New Roman"/>
        </w:rPr>
        <w:t xml:space="preserve"> vodeći mentalni poremećaji jesu drugi mentalni poremećaji i poremećaji ponašanja (F04-F09, F50-F69, F80-F99)</w:t>
      </w:r>
      <w:r w:rsidR="00D83848">
        <w:rPr>
          <w:rFonts w:ascii="Times New Roman" w:hAnsi="Times New Roman"/>
        </w:rPr>
        <w:t xml:space="preserve"> sa laganim trendom porasta</w:t>
      </w:r>
      <w:r w:rsidRPr="00155F80">
        <w:rPr>
          <w:rFonts w:ascii="Times New Roman" w:hAnsi="Times New Roman"/>
        </w:rPr>
        <w:t>, na drugom mjestu su neurotski, sa stresom povezani i somatski poremećaji (F40-F48), te poremećaji raspoloženja (F30-F39). U 2011. i 2012.</w:t>
      </w:r>
      <w:r w:rsidR="00D83848">
        <w:rPr>
          <w:rFonts w:ascii="Times New Roman" w:hAnsi="Times New Roman"/>
        </w:rPr>
        <w:t xml:space="preserve"> g</w:t>
      </w:r>
      <w:r w:rsidRPr="00155F80">
        <w:rPr>
          <w:rFonts w:ascii="Times New Roman" w:hAnsi="Times New Roman"/>
        </w:rPr>
        <w:t>od</w:t>
      </w:r>
      <w:r w:rsidR="00D83848">
        <w:rPr>
          <w:rFonts w:ascii="Times New Roman" w:hAnsi="Times New Roman"/>
        </w:rPr>
        <w:t>ini, među vodećim</w:t>
      </w:r>
      <w:r w:rsidRPr="00155F80">
        <w:rPr>
          <w:rFonts w:ascii="Times New Roman" w:hAnsi="Times New Roman"/>
        </w:rPr>
        <w:t xml:space="preserve"> </w:t>
      </w:r>
      <w:r w:rsidR="00D83848">
        <w:rPr>
          <w:rFonts w:ascii="Times New Roman" w:hAnsi="Times New Roman"/>
        </w:rPr>
        <w:t xml:space="preserve">oboljenjima su bili </w:t>
      </w:r>
      <w:r w:rsidRPr="00155F80">
        <w:rPr>
          <w:rFonts w:ascii="Times New Roman" w:hAnsi="Times New Roman"/>
        </w:rPr>
        <w:t>mentalni poremećaji ponašanja uzrokovani alkoholom (F10).</w:t>
      </w:r>
    </w:p>
    <w:p w:rsidR="00A131AD" w:rsidRPr="00155F80" w:rsidRDefault="00A131AD" w:rsidP="000C0138">
      <w:pPr>
        <w:spacing w:line="276" w:lineRule="auto"/>
        <w:rPr>
          <w:rFonts w:ascii="Times New Roman" w:hAnsi="Times New Roman"/>
          <w:color w:val="000000"/>
          <w:lang w:eastAsia="bs-Latn-BA"/>
        </w:rPr>
      </w:pPr>
    </w:p>
    <w:p w:rsidR="00A131AD" w:rsidRPr="00155F80" w:rsidRDefault="00A131AD" w:rsidP="00EB7CC7">
      <w:pPr>
        <w:pStyle w:val="refererere"/>
        <w:rPr>
          <w:lang w:eastAsia="bs-Latn-BA"/>
        </w:rPr>
      </w:pPr>
      <w:r w:rsidRPr="00D83848">
        <w:rPr>
          <w:lang w:eastAsia="bs-Latn-BA"/>
        </w:rPr>
        <w:t>Grafikon 40: Vodeći mentalni po</w:t>
      </w:r>
      <w:r w:rsidR="00937B79" w:rsidRPr="00D83848">
        <w:rPr>
          <w:lang w:eastAsia="bs-Latn-BA"/>
        </w:rPr>
        <w:t>remećaji i poremećaji ponašanja</w:t>
      </w:r>
      <w:r w:rsidRPr="00D83848">
        <w:rPr>
          <w:lang w:eastAsia="bs-Latn-BA"/>
        </w:rPr>
        <w:t xml:space="preserve"> za </w:t>
      </w:r>
      <w:r w:rsidR="00F70FD4">
        <w:rPr>
          <w:lang w:eastAsia="bs-Latn-BA"/>
        </w:rPr>
        <w:t>period</w:t>
      </w:r>
      <w:r w:rsidRPr="00D83848">
        <w:rPr>
          <w:lang w:eastAsia="bs-Latn-BA"/>
        </w:rPr>
        <w:t xml:space="preserve"> 2010.-2015.godina, starosna </w:t>
      </w:r>
      <w:r w:rsidR="00B4366E" w:rsidRPr="00D83848">
        <w:rPr>
          <w:lang w:eastAsia="bs-Latn-BA"/>
        </w:rPr>
        <w:t xml:space="preserve">  </w:t>
      </w:r>
      <w:r w:rsidRPr="00D83848">
        <w:rPr>
          <w:lang w:eastAsia="bs-Latn-BA"/>
        </w:rPr>
        <w:t xml:space="preserve">grupa od 7-18 godina, </w:t>
      </w:r>
      <w:r w:rsidRPr="00D83848">
        <w:rPr>
          <w:rFonts w:eastAsiaTheme="minorHAnsi"/>
          <w:lang w:val="bs-Latn-BA"/>
        </w:rPr>
        <w:t xml:space="preserve">stopa na 10.000 </w:t>
      </w:r>
      <w:r w:rsidR="00590EC7" w:rsidRPr="00D83848">
        <w:rPr>
          <w:rFonts w:eastAsiaTheme="minorHAnsi"/>
          <w:lang w:val="bs-Latn-BA"/>
        </w:rPr>
        <w:t>stanovnika</w:t>
      </w:r>
    </w:p>
    <w:p w:rsidR="00A131AD" w:rsidRPr="00155F80" w:rsidRDefault="00C52177" w:rsidP="000C0138">
      <w:pPr>
        <w:spacing w:line="276" w:lineRule="auto"/>
        <w:rPr>
          <w:rFonts w:ascii="Times New Roman" w:hAnsi="Times New Roman"/>
        </w:rPr>
      </w:pPr>
      <w:r>
        <w:rPr>
          <w:noProof/>
          <w:lang w:eastAsia="en-GB"/>
        </w:rPr>
        <w:drawing>
          <wp:inline distT="0" distB="0" distL="0" distR="0" wp14:anchorId="49BD60BA" wp14:editId="0134A973">
            <wp:extent cx="5734050" cy="2238375"/>
            <wp:effectExtent l="0" t="0" r="0" b="9525"/>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131AD" w:rsidRPr="00155F80" w:rsidRDefault="00A131AD" w:rsidP="000C0138">
      <w:pPr>
        <w:spacing w:line="276" w:lineRule="auto"/>
        <w:rPr>
          <w:rFonts w:ascii="Times New Roman" w:hAnsi="Times New Roman"/>
        </w:rPr>
      </w:pPr>
    </w:p>
    <w:p w:rsidR="00A131AD" w:rsidRDefault="00A131AD" w:rsidP="00993848">
      <w:pPr>
        <w:spacing w:line="276" w:lineRule="auto"/>
        <w:rPr>
          <w:rFonts w:ascii="Times New Roman" w:hAnsi="Times New Roman"/>
        </w:rPr>
      </w:pPr>
      <w:r w:rsidRPr="00155F80">
        <w:rPr>
          <w:rFonts w:ascii="Times New Roman" w:hAnsi="Times New Roman"/>
        </w:rPr>
        <w:t xml:space="preserve">Neurotski, sa stresom povezani i somatski poremećaji (F40-F48) su najučestaliji mentalni poremećaji u starosnoj grupi od 19-64 godine. Iza ovih poremećaja slijede poremećaji raspoloženja koji su u konstantnom rastu, </w:t>
      </w:r>
      <w:r w:rsidR="00D83848">
        <w:rPr>
          <w:rFonts w:ascii="Times New Roman" w:hAnsi="Times New Roman"/>
        </w:rPr>
        <w:t xml:space="preserve">slijedi </w:t>
      </w:r>
      <w:r w:rsidRPr="00155F80">
        <w:rPr>
          <w:rFonts w:ascii="Times New Roman" w:hAnsi="Times New Roman"/>
        </w:rPr>
        <w:t>shizofrenija, shizotipalni i sumanuti poremećaji (F20-F29)</w:t>
      </w:r>
      <w:r w:rsidR="00D83848">
        <w:rPr>
          <w:rFonts w:ascii="Times New Roman" w:hAnsi="Times New Roman"/>
        </w:rPr>
        <w:t>, na četvrtom mjestu su</w:t>
      </w:r>
      <w:r w:rsidRPr="00155F80">
        <w:rPr>
          <w:rFonts w:ascii="Times New Roman" w:hAnsi="Times New Roman"/>
        </w:rPr>
        <w:t xml:space="preserve"> drugi mentalni poremećaji i poremećaji ponaš</w:t>
      </w:r>
      <w:r w:rsidR="00D83848">
        <w:rPr>
          <w:rFonts w:ascii="Times New Roman" w:hAnsi="Times New Roman"/>
        </w:rPr>
        <w:t>anja (F04-F09,F50-F69, F80-F99), a na petom mentalni poremećaji ponašanja uzrokovani alkoholom (F10).</w:t>
      </w:r>
    </w:p>
    <w:p w:rsidR="00284F26" w:rsidRDefault="00284F26" w:rsidP="00993848">
      <w:pPr>
        <w:spacing w:line="276" w:lineRule="auto"/>
        <w:rPr>
          <w:rFonts w:ascii="Times New Roman" w:hAnsi="Times New Roman"/>
        </w:rPr>
      </w:pPr>
    </w:p>
    <w:p w:rsidR="00A131AD" w:rsidRPr="00155F80" w:rsidRDefault="00A131AD" w:rsidP="00EB7CC7">
      <w:pPr>
        <w:pStyle w:val="refererere"/>
        <w:rPr>
          <w:lang w:eastAsia="bs-Latn-BA"/>
        </w:rPr>
      </w:pPr>
      <w:r w:rsidRPr="00A22138">
        <w:rPr>
          <w:lang w:eastAsia="bs-Latn-BA"/>
        </w:rPr>
        <w:t>Grafikon 41: Vodeći mentalni poremećaji i poremećaji ponašanja</w:t>
      </w:r>
      <w:r w:rsidR="00D83848" w:rsidRPr="00A22138">
        <w:rPr>
          <w:lang w:eastAsia="bs-Latn-BA"/>
        </w:rPr>
        <w:t xml:space="preserve"> u starosnoj grupi od 19-64 god</w:t>
      </w:r>
      <w:r w:rsidRPr="00A22138">
        <w:rPr>
          <w:lang w:eastAsia="bs-Latn-BA"/>
        </w:rPr>
        <w:t xml:space="preserve">ina, </w:t>
      </w:r>
      <w:r w:rsidR="00EB7CC7" w:rsidRPr="00A22138">
        <w:rPr>
          <w:lang w:eastAsia="bs-Latn-BA"/>
        </w:rPr>
        <w:t xml:space="preserve">        </w:t>
      </w:r>
      <w:r w:rsidR="00EB7CC7" w:rsidRPr="00A22138">
        <w:rPr>
          <w:lang w:eastAsia="bs-Latn-BA"/>
        </w:rPr>
        <w:br/>
        <w:t xml:space="preserve"> </w:t>
      </w:r>
      <w:r w:rsidRPr="00A22138">
        <w:rPr>
          <w:lang w:eastAsia="bs-Latn-BA"/>
        </w:rPr>
        <w:t xml:space="preserve">za </w:t>
      </w:r>
      <w:r w:rsidR="00F70FD4">
        <w:rPr>
          <w:lang w:eastAsia="bs-Latn-BA"/>
        </w:rPr>
        <w:t>period</w:t>
      </w:r>
      <w:r w:rsidRPr="00A22138">
        <w:rPr>
          <w:lang w:eastAsia="bs-Latn-BA"/>
        </w:rPr>
        <w:t xml:space="preserve"> 2010.- 2015.godina, </w:t>
      </w:r>
      <w:r w:rsidRPr="00A22138">
        <w:rPr>
          <w:rFonts w:eastAsiaTheme="minorHAnsi"/>
          <w:lang w:val="bs-Latn-BA"/>
        </w:rPr>
        <w:t>stopa na 10.000 stanovnika</w:t>
      </w:r>
    </w:p>
    <w:p w:rsidR="00A131AD" w:rsidRPr="00155F80" w:rsidRDefault="00C52177" w:rsidP="000C0138">
      <w:pPr>
        <w:spacing w:line="276" w:lineRule="auto"/>
        <w:rPr>
          <w:rFonts w:ascii="Times New Roman" w:hAnsi="Times New Roman"/>
        </w:rPr>
      </w:pPr>
      <w:r>
        <w:rPr>
          <w:noProof/>
          <w:lang w:eastAsia="en-GB"/>
        </w:rPr>
        <w:drawing>
          <wp:inline distT="0" distB="0" distL="0" distR="0" wp14:anchorId="5C554724" wp14:editId="4E9709EB">
            <wp:extent cx="5734050" cy="2190750"/>
            <wp:effectExtent l="0" t="0" r="0" b="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131AD" w:rsidRPr="00155F80" w:rsidRDefault="00A131AD" w:rsidP="000C0138">
      <w:pPr>
        <w:spacing w:line="276" w:lineRule="auto"/>
        <w:rPr>
          <w:rFonts w:ascii="Times New Roman" w:hAnsi="Times New Roman"/>
          <w:color w:val="000000"/>
          <w:lang w:eastAsia="bs-Latn-BA"/>
        </w:rPr>
      </w:pPr>
    </w:p>
    <w:p w:rsidR="00993848" w:rsidRDefault="00A131AD" w:rsidP="000C0138">
      <w:pPr>
        <w:spacing w:line="276" w:lineRule="auto"/>
        <w:rPr>
          <w:rFonts w:ascii="Times New Roman" w:hAnsi="Times New Roman"/>
          <w:lang w:eastAsia="bs-Latn-BA"/>
        </w:rPr>
      </w:pPr>
      <w:r w:rsidRPr="00155F80">
        <w:rPr>
          <w:rFonts w:ascii="Times New Roman" w:hAnsi="Times New Roman"/>
          <w:lang w:eastAsia="bs-Latn-BA"/>
        </w:rPr>
        <w:t>Sličan poredak vodećih mentalnih oboljenja je i u starosnoj grupi iznad 65 godina u kojoj su svi poremećaji u porastu, međutim kao i kod prethodnih grupa, uočava se pad stope u 2015. godini. Na petom mjestu po učestalosti u ovoj starosnoj grupi se pojavljuje</w:t>
      </w:r>
      <w:r w:rsidR="00D83848">
        <w:rPr>
          <w:rFonts w:ascii="Times New Roman" w:hAnsi="Times New Roman"/>
          <w:lang w:eastAsia="bs-Latn-BA"/>
        </w:rPr>
        <w:t xml:space="preserve">  demencija (F00-F03), koja bilježi lagani porast što je posljedica starenja stanovništva.</w:t>
      </w:r>
    </w:p>
    <w:p w:rsidR="00993848" w:rsidRDefault="00993848" w:rsidP="000C0138">
      <w:pPr>
        <w:spacing w:line="276" w:lineRule="auto"/>
        <w:rPr>
          <w:rFonts w:ascii="Times New Roman" w:hAnsi="Times New Roman"/>
          <w:lang w:eastAsia="bs-Latn-BA"/>
        </w:rPr>
      </w:pPr>
    </w:p>
    <w:p w:rsidR="00A131AD" w:rsidRPr="00155F80" w:rsidRDefault="00A131AD" w:rsidP="00EB7CC7">
      <w:pPr>
        <w:pStyle w:val="refererere"/>
        <w:rPr>
          <w:color w:val="000000"/>
          <w:lang w:eastAsia="bs-Latn-BA"/>
        </w:rPr>
      </w:pPr>
      <w:r w:rsidRPr="0067516B">
        <w:rPr>
          <w:lang w:eastAsia="bs-Latn-BA"/>
        </w:rPr>
        <w:t>Grafikon 42: Vodeći mentalni poremećaji i poremećaji ponašanja u</w:t>
      </w:r>
      <w:r w:rsidR="00EB7CC7" w:rsidRPr="0067516B">
        <w:rPr>
          <w:lang w:eastAsia="bs-Latn-BA"/>
        </w:rPr>
        <w:t xml:space="preserve"> starosnoj grupi 65+, za </w:t>
      </w:r>
      <w:r w:rsidR="00F70FD4">
        <w:rPr>
          <w:lang w:eastAsia="bs-Latn-BA"/>
        </w:rPr>
        <w:t>period</w:t>
      </w:r>
      <w:r w:rsidR="00EB7CC7" w:rsidRPr="0067516B">
        <w:rPr>
          <w:color w:val="000000"/>
          <w:lang w:eastAsia="bs-Latn-BA"/>
        </w:rPr>
        <w:t xml:space="preserve"> </w:t>
      </w:r>
      <w:r w:rsidRPr="0067516B">
        <w:rPr>
          <w:color w:val="000000"/>
          <w:lang w:eastAsia="bs-Latn-BA"/>
        </w:rPr>
        <w:t xml:space="preserve">2010.-2015.godina, </w:t>
      </w:r>
      <w:r w:rsidRPr="0067516B">
        <w:rPr>
          <w:rFonts w:eastAsiaTheme="minorHAnsi"/>
          <w:lang w:val="bs-Latn-BA"/>
        </w:rPr>
        <w:t>stopa na 10.000 stanovnika</w:t>
      </w:r>
    </w:p>
    <w:p w:rsidR="00A131AD" w:rsidRPr="00155F80" w:rsidRDefault="00C52177" w:rsidP="000C0138">
      <w:pPr>
        <w:spacing w:line="276" w:lineRule="auto"/>
        <w:rPr>
          <w:rFonts w:ascii="Times New Roman" w:hAnsi="Times New Roman"/>
          <w:color w:val="000000"/>
          <w:lang w:eastAsia="bs-Latn-BA"/>
        </w:rPr>
      </w:pPr>
      <w:r>
        <w:rPr>
          <w:noProof/>
          <w:lang w:eastAsia="en-GB"/>
        </w:rPr>
        <w:drawing>
          <wp:inline distT="0" distB="0" distL="0" distR="0" wp14:anchorId="13645983" wp14:editId="0BCAA19A">
            <wp:extent cx="5772150" cy="2238375"/>
            <wp:effectExtent l="0" t="0" r="0" b="9525"/>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131AD" w:rsidRPr="00155F80" w:rsidRDefault="00A131AD" w:rsidP="000C0138">
      <w:pPr>
        <w:tabs>
          <w:tab w:val="left" w:pos="550"/>
        </w:tabs>
        <w:spacing w:before="120" w:line="276" w:lineRule="auto"/>
        <w:rPr>
          <w:rFonts w:ascii="Times New Roman" w:hAnsi="Times New Roman"/>
          <w:noProof/>
          <w:highlight w:val="yellow"/>
          <w:lang w:val="bs-Latn-BA"/>
        </w:rPr>
      </w:pPr>
    </w:p>
    <w:p w:rsidR="00A131AD" w:rsidRPr="00155F80" w:rsidRDefault="00A06016" w:rsidP="004164E4">
      <w:pPr>
        <w:pStyle w:val="Poglavlje3"/>
        <w:rPr>
          <w:noProof/>
          <w:lang w:val="bs-Latn-BA"/>
        </w:rPr>
      </w:pPr>
      <w:bookmarkStart w:id="28" w:name="_Toc460929195"/>
      <w:r>
        <w:rPr>
          <w:noProof/>
          <w:lang w:val="bs-Latn-BA"/>
        </w:rPr>
        <w:t xml:space="preserve">3.2.2 </w:t>
      </w:r>
      <w:r w:rsidR="00A131AD" w:rsidRPr="00155F80">
        <w:rPr>
          <w:noProof/>
          <w:lang w:val="bs-Latn-BA"/>
        </w:rPr>
        <w:t xml:space="preserve">Zarazne bolesti i </w:t>
      </w:r>
      <w:r w:rsidR="000E56ED">
        <w:rPr>
          <w:noProof/>
          <w:lang w:val="bs-Latn-BA"/>
        </w:rPr>
        <w:t>vakcinacija</w:t>
      </w:r>
      <w:bookmarkEnd w:id="28"/>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lang w:val="bs-Latn-BA" w:eastAsia="bs-Latn-BA"/>
        </w:rPr>
      </w:pPr>
      <w:r w:rsidRPr="00155F80">
        <w:rPr>
          <w:rFonts w:ascii="Times New Roman" w:hAnsi="Times New Roman"/>
          <w:b/>
        </w:rPr>
        <w:t xml:space="preserve">Zarazne bolesti </w:t>
      </w:r>
    </w:p>
    <w:p w:rsidR="00A131AD" w:rsidRPr="00155F80" w:rsidRDefault="00A131AD" w:rsidP="000C0138">
      <w:pPr>
        <w:pStyle w:val="Caption"/>
        <w:spacing w:line="276" w:lineRule="auto"/>
        <w:rPr>
          <w:rStyle w:val="Strong"/>
          <w:sz w:val="22"/>
          <w:szCs w:val="22"/>
        </w:rPr>
      </w:pPr>
    </w:p>
    <w:p w:rsidR="00A131AD" w:rsidRPr="00155F80" w:rsidRDefault="00A131AD" w:rsidP="00284F26">
      <w:pPr>
        <w:pStyle w:val="Caption"/>
        <w:spacing w:line="276" w:lineRule="auto"/>
        <w:rPr>
          <w:rFonts w:ascii="Times New Roman" w:hAnsi="Times New Roman"/>
        </w:rPr>
      </w:pPr>
      <w:r w:rsidRPr="00155F80">
        <w:rPr>
          <w:rStyle w:val="Strong"/>
          <w:sz w:val="22"/>
          <w:szCs w:val="22"/>
        </w:rPr>
        <w:t>Godišnj</w:t>
      </w:r>
      <w:r w:rsidR="00A6044F">
        <w:rPr>
          <w:rStyle w:val="Strong"/>
          <w:sz w:val="22"/>
          <w:szCs w:val="22"/>
        </w:rPr>
        <w:t>e</w:t>
      </w:r>
      <w:r w:rsidRPr="00155F80">
        <w:rPr>
          <w:rStyle w:val="Strong"/>
          <w:sz w:val="22"/>
          <w:szCs w:val="22"/>
        </w:rPr>
        <w:t xml:space="preserve"> </w:t>
      </w:r>
      <w:r w:rsidR="000E56ED">
        <w:rPr>
          <w:rStyle w:val="Strong"/>
          <w:sz w:val="22"/>
          <w:szCs w:val="22"/>
        </w:rPr>
        <w:t>izvještaj</w:t>
      </w:r>
      <w:r w:rsidR="00A6044F">
        <w:rPr>
          <w:rStyle w:val="Strong"/>
          <w:sz w:val="22"/>
          <w:szCs w:val="22"/>
        </w:rPr>
        <w:t xml:space="preserve"> </w:t>
      </w:r>
      <w:r w:rsidRPr="00155F80">
        <w:rPr>
          <w:rStyle w:val="Strong"/>
          <w:sz w:val="22"/>
          <w:szCs w:val="22"/>
        </w:rPr>
        <w:t xml:space="preserve">o kretanju zaraznih bolesti i provedbi programa obveznog cijepljenja djece u Federaciji Bosne i Hercegovine, predstavlja analizu </w:t>
      </w:r>
      <w:r w:rsidR="00A6044F">
        <w:rPr>
          <w:rStyle w:val="Strong"/>
          <w:sz w:val="22"/>
          <w:szCs w:val="22"/>
        </w:rPr>
        <w:t>tjednih</w:t>
      </w:r>
      <w:r w:rsidRPr="00155F80">
        <w:rPr>
          <w:rStyle w:val="Strong"/>
          <w:sz w:val="22"/>
          <w:szCs w:val="22"/>
        </w:rPr>
        <w:t>, mjesečnih i godišnjih izvješ</w:t>
      </w:r>
      <w:r w:rsidR="00A6044F">
        <w:rPr>
          <w:rStyle w:val="Strong"/>
          <w:sz w:val="22"/>
          <w:szCs w:val="22"/>
        </w:rPr>
        <w:t>ća</w:t>
      </w:r>
      <w:r w:rsidRPr="00155F80">
        <w:rPr>
          <w:rStyle w:val="Strong"/>
          <w:sz w:val="22"/>
          <w:szCs w:val="22"/>
        </w:rPr>
        <w:t xml:space="preserve"> svih deset kantonalnih zavoda za javno zdravstvo, koji prijavljuju zarazne bolesti </w:t>
      </w:r>
      <w:r w:rsidR="00526FD0">
        <w:rPr>
          <w:rStyle w:val="Strong"/>
          <w:sz w:val="22"/>
          <w:szCs w:val="22"/>
        </w:rPr>
        <w:t>u skladu sa Zakonom</w:t>
      </w:r>
      <w:r w:rsidRPr="00155F80">
        <w:rPr>
          <w:rStyle w:val="Strong"/>
          <w:sz w:val="22"/>
          <w:szCs w:val="22"/>
        </w:rPr>
        <w:t xml:space="preserve"> o zaštiti </w:t>
      </w:r>
      <w:r w:rsidR="00A6044F">
        <w:rPr>
          <w:rStyle w:val="Strong"/>
          <w:sz w:val="22"/>
          <w:szCs w:val="22"/>
        </w:rPr>
        <w:t>pučanstva</w:t>
      </w:r>
      <w:r w:rsidRPr="00155F80">
        <w:rPr>
          <w:rStyle w:val="Strong"/>
          <w:sz w:val="22"/>
          <w:szCs w:val="22"/>
        </w:rPr>
        <w:t xml:space="preserve"> od zaraznih bolesti, Sl.n. FBiH br.29/05 i Pravilniku o načinu prijavljivanja zaraznih bolesti, Sl.n. FBiH br 101/12., i provode obvezni program imunizacije prema</w:t>
      </w:r>
      <w:r w:rsidRPr="00155F80">
        <w:rPr>
          <w:rFonts w:ascii="Times New Roman" w:hAnsi="Times New Roman" w:cs="Times New Roman"/>
          <w:sz w:val="22"/>
          <w:szCs w:val="22"/>
        </w:rPr>
        <w:t xml:space="preserve"> </w:t>
      </w:r>
      <w:r w:rsidRPr="00155F80">
        <w:rPr>
          <w:rFonts w:ascii="Times New Roman" w:hAnsi="Times New Roman" w:cs="Times New Roman"/>
          <w:b w:val="0"/>
          <w:sz w:val="22"/>
          <w:szCs w:val="22"/>
        </w:rPr>
        <w:t>Pravilniku o načinu provođenja obvezne imunizacije, imunoprofilakse i kemoprofilakse protiv zaraznih bolesti te o osobama koje se podvrgavaju toj obvezi („Službene novine Federacije BiH, br.22/07) i Naredbi o programu obveznih imunizacija stanovništva protiv zaraznih bolesti, koja se objavljuje svake godine, za tekuću godinu.</w:t>
      </w:r>
    </w:p>
    <w:p w:rsidR="00A131AD" w:rsidRPr="00155F80" w:rsidRDefault="00A131AD" w:rsidP="000C0138">
      <w:pPr>
        <w:spacing w:line="276" w:lineRule="auto"/>
        <w:rPr>
          <w:rFonts w:ascii="Times New Roman" w:hAnsi="Times New Roman"/>
        </w:rPr>
      </w:pPr>
      <w:r w:rsidRPr="00155F80">
        <w:rPr>
          <w:rStyle w:val="Strong"/>
          <w:b w:val="0"/>
        </w:rPr>
        <w:t>Cilj izvješ</w:t>
      </w:r>
      <w:r w:rsidR="00A6044F">
        <w:rPr>
          <w:rStyle w:val="Strong"/>
          <w:b w:val="0"/>
        </w:rPr>
        <w:t>ć</w:t>
      </w:r>
      <w:r w:rsidRPr="00155F80">
        <w:rPr>
          <w:rStyle w:val="Strong"/>
          <w:b w:val="0"/>
        </w:rPr>
        <w:t>a je sagledavanje epidemiološke situacije koja će biti ujedno“ informacija za akciju“. Na žalost</w:t>
      </w:r>
      <w:r w:rsidRPr="00155F80">
        <w:rPr>
          <w:rStyle w:val="Strong"/>
        </w:rPr>
        <w:t>, v</w:t>
      </w:r>
      <w:r w:rsidRPr="00155F80">
        <w:rPr>
          <w:rFonts w:ascii="Times New Roman" w:hAnsi="Times New Roman"/>
        </w:rPr>
        <w:t>ećina podataka o zaraznim bolestima odnosi se na pasivni nadzor, o</w:t>
      </w:r>
      <w:r w:rsidR="00DF5CCD">
        <w:rPr>
          <w:rFonts w:ascii="Times New Roman" w:hAnsi="Times New Roman"/>
        </w:rPr>
        <w:t>sim za gripu, za koju je uveden tzv</w:t>
      </w:r>
      <w:r w:rsidRPr="00155F80">
        <w:rPr>
          <w:rFonts w:ascii="Times New Roman" w:hAnsi="Times New Roman"/>
        </w:rPr>
        <w:t xml:space="preserve">. sentinel nadzor, respiratornu tuberkulozu i neke bolesti koje se mogu spriječiti </w:t>
      </w:r>
      <w:r w:rsidR="00A6044F">
        <w:rPr>
          <w:rFonts w:ascii="Times New Roman" w:hAnsi="Times New Roman"/>
        </w:rPr>
        <w:t xml:space="preserve">cjepivom, za koje se </w:t>
      </w:r>
      <w:r w:rsidRPr="00155F80">
        <w:rPr>
          <w:rFonts w:ascii="Times New Roman" w:hAnsi="Times New Roman"/>
        </w:rPr>
        <w:t xml:space="preserve">provodi aktivni nadzor, u sklopu programa Svjetske zdravstvene organizacije. U Federaciji Bosne i Hercegovine, kao i mnogim drugim zemljama, podprijavljivanje je jedan </w:t>
      </w:r>
      <w:r w:rsidR="00C60658">
        <w:rPr>
          <w:rFonts w:ascii="Times New Roman" w:hAnsi="Times New Roman"/>
        </w:rPr>
        <w:t>od problema u izvješ</w:t>
      </w:r>
      <w:r w:rsidR="00A6044F">
        <w:rPr>
          <w:rFonts w:ascii="Times New Roman" w:hAnsi="Times New Roman"/>
        </w:rPr>
        <w:t>ći</w:t>
      </w:r>
      <w:r w:rsidR="00C60658">
        <w:rPr>
          <w:rFonts w:ascii="Times New Roman" w:hAnsi="Times New Roman"/>
        </w:rPr>
        <w:t>vanju. Ne</w:t>
      </w:r>
      <w:r w:rsidRPr="00155F80">
        <w:rPr>
          <w:rFonts w:ascii="Times New Roman" w:hAnsi="Times New Roman"/>
        </w:rPr>
        <w:t>adekvatni laboratorijski kapaciteti, prijavljivanje oboljenja najč</w:t>
      </w:r>
      <w:r w:rsidR="00D50847">
        <w:rPr>
          <w:rFonts w:ascii="Times New Roman" w:hAnsi="Times New Roman"/>
        </w:rPr>
        <w:t xml:space="preserve">ešće na </w:t>
      </w:r>
      <w:r w:rsidR="00A6044F">
        <w:rPr>
          <w:rFonts w:ascii="Times New Roman" w:hAnsi="Times New Roman"/>
        </w:rPr>
        <w:t>temelju</w:t>
      </w:r>
      <w:r w:rsidR="00D50847">
        <w:rPr>
          <w:rFonts w:ascii="Times New Roman" w:hAnsi="Times New Roman"/>
        </w:rPr>
        <w:t xml:space="preserve"> kliničke slike,</w:t>
      </w:r>
      <w:r w:rsidRPr="00155F80">
        <w:rPr>
          <w:rFonts w:ascii="Times New Roman" w:hAnsi="Times New Roman"/>
        </w:rPr>
        <w:t xml:space="preserve"> dostavljanje poje</w:t>
      </w:r>
      <w:r w:rsidR="00D50847">
        <w:rPr>
          <w:rFonts w:ascii="Times New Roman" w:hAnsi="Times New Roman"/>
        </w:rPr>
        <w:t>dinačnih prijava sa nedovoljnim</w:t>
      </w:r>
      <w:r w:rsidRPr="00155F80">
        <w:rPr>
          <w:rFonts w:ascii="Times New Roman" w:hAnsi="Times New Roman"/>
        </w:rPr>
        <w:t xml:space="preserve"> </w:t>
      </w:r>
      <w:r w:rsidR="002B489B">
        <w:rPr>
          <w:rFonts w:ascii="Times New Roman" w:hAnsi="Times New Roman"/>
        </w:rPr>
        <w:t>podaci</w:t>
      </w:r>
      <w:r w:rsidRPr="00155F80">
        <w:rPr>
          <w:rFonts w:ascii="Times New Roman" w:hAnsi="Times New Roman"/>
        </w:rPr>
        <w:t xml:space="preserve">ma, zbirno prijavljivanje zaraznih oboljenja, </w:t>
      </w:r>
      <w:r w:rsidR="00A80006">
        <w:rPr>
          <w:rFonts w:ascii="Times New Roman" w:hAnsi="Times New Roman"/>
        </w:rPr>
        <w:t>starosne</w:t>
      </w:r>
      <w:r w:rsidRPr="00155F80">
        <w:rPr>
          <w:rFonts w:ascii="Times New Roman" w:hAnsi="Times New Roman"/>
        </w:rPr>
        <w:t xml:space="preserve"> </w:t>
      </w:r>
      <w:r w:rsidR="00D21A46">
        <w:rPr>
          <w:rFonts w:ascii="Times New Roman" w:hAnsi="Times New Roman"/>
        </w:rPr>
        <w:t>grupe</w:t>
      </w:r>
      <w:r w:rsidRPr="00155F80">
        <w:rPr>
          <w:rFonts w:ascii="Times New Roman" w:hAnsi="Times New Roman"/>
        </w:rPr>
        <w:t xml:space="preserve"> ne prate procjene stanovništva po dobi itd., sve su to problemi koji otežavaju analizu i realno sagledavanje epidemiološke situacije, definiranje programa i aktivnosti koje treba napraviti za prevenciju zaraznih bolesti.</w:t>
      </w:r>
    </w:p>
    <w:p w:rsidR="00A131AD" w:rsidRPr="00155F80" w:rsidRDefault="00A131AD" w:rsidP="000C0138">
      <w:pPr>
        <w:spacing w:line="276" w:lineRule="auto"/>
        <w:rPr>
          <w:rFonts w:ascii="Times New Roman" w:hAnsi="Times New Roman"/>
          <w:b/>
          <w:bCs/>
        </w:rPr>
      </w:pPr>
      <w:r w:rsidRPr="00155F80">
        <w:rPr>
          <w:rStyle w:val="Strong"/>
          <w:b w:val="0"/>
        </w:rPr>
        <w:t xml:space="preserve"> (U Nacrtu novog zakona o zaraznim bolestima, koji još nije prošao parlamentarnu proceduru, lista zaraznih oboljenja, kao i grupe oboljenja prilagođena je listi EU, te definicije slučaja za sve zarazne bolesti-koje su dio zahtjeva EU).</w:t>
      </w:r>
    </w:p>
    <w:p w:rsidR="00A131AD" w:rsidRPr="00155F80" w:rsidRDefault="00A131AD" w:rsidP="000C0138">
      <w:pPr>
        <w:spacing w:line="276" w:lineRule="auto"/>
        <w:rPr>
          <w:rStyle w:val="Strong"/>
          <w:b w:val="0"/>
        </w:rPr>
      </w:pPr>
    </w:p>
    <w:p w:rsidR="00A131AD" w:rsidRPr="00155F80" w:rsidRDefault="00A131AD" w:rsidP="000C0138">
      <w:pPr>
        <w:spacing w:line="276" w:lineRule="auto"/>
        <w:rPr>
          <w:rFonts w:ascii="Times New Roman" w:hAnsi="Times New Roman"/>
          <w:lang w:val="bs-Latn-BA" w:eastAsia="bs-Latn-BA"/>
        </w:rPr>
      </w:pPr>
      <w:r w:rsidRPr="00155F80">
        <w:rPr>
          <w:rStyle w:val="Strong"/>
          <w:b w:val="0"/>
        </w:rPr>
        <w:t>Zarazne bolesti su i dalje  od posebnog javno-zdravstvenog značaja, jer se pojavljuju nove zarazne bolesti, i onih za koje se vjerovalo da su iskorijenjene, a koje mogu zaprijetiti čovječanstvu,</w:t>
      </w:r>
      <w:r w:rsidRPr="00155F80">
        <w:rPr>
          <w:rFonts w:ascii="Times New Roman" w:hAnsi="Times New Roman"/>
          <w:color w:val="000000"/>
          <w:lang w:val="bs-Latn-BA" w:eastAsia="bs-Latn-BA"/>
        </w:rPr>
        <w:t xml:space="preserve"> jer su obično visoko kontagiozne, uzročnici visoko patogeni i vrlo često rezistentni na lijekove. Također, uzročnici ovih oboljenja se mogu koristiti u bioterorističke svrhe. Na</w:t>
      </w:r>
      <w:r w:rsidRPr="00155F80">
        <w:rPr>
          <w:rStyle w:val="Strong"/>
          <w:b w:val="0"/>
        </w:rPr>
        <w:t xml:space="preserve"> njihovu pojavu, održavanje i širenje, mogu </w:t>
      </w:r>
      <w:r w:rsidR="00512E30">
        <w:rPr>
          <w:rStyle w:val="Strong"/>
          <w:b w:val="0"/>
        </w:rPr>
        <w:t>uticati</w:t>
      </w:r>
      <w:r w:rsidRPr="00155F80">
        <w:rPr>
          <w:rStyle w:val="Strong"/>
          <w:b w:val="0"/>
        </w:rPr>
        <w:t xml:space="preserve"> brojni </w:t>
      </w:r>
      <w:r w:rsidR="00D21A46">
        <w:rPr>
          <w:rStyle w:val="Strong"/>
          <w:b w:val="0"/>
        </w:rPr>
        <w:t>faktori</w:t>
      </w:r>
      <w:r w:rsidRPr="00155F80">
        <w:rPr>
          <w:rStyle w:val="Strong"/>
          <w:b w:val="0"/>
        </w:rPr>
        <w:t xml:space="preserve">: demografski, klimatski, međunarodni promet, otpornost  mikroorganizama, promjene u navikama, ponašanju ljudi, </w:t>
      </w:r>
      <w:r w:rsidR="00A6044F">
        <w:rPr>
          <w:rStyle w:val="Strong"/>
          <w:b w:val="0"/>
        </w:rPr>
        <w:t>iz</w:t>
      </w:r>
      <w:r w:rsidRPr="00155F80">
        <w:rPr>
          <w:rStyle w:val="Strong"/>
          <w:b w:val="0"/>
        </w:rPr>
        <w:t>vanredna stanja</w:t>
      </w:r>
      <w:r w:rsidRPr="00155F80">
        <w:rPr>
          <w:rStyle w:val="Strong"/>
          <w:b w:val="0"/>
          <w:bCs w:val="0"/>
        </w:rPr>
        <w:t xml:space="preserve"> </w:t>
      </w:r>
      <w:r w:rsidRPr="00155F80">
        <w:rPr>
          <w:rStyle w:val="Strong"/>
          <w:b w:val="0"/>
        </w:rPr>
        <w:t xml:space="preserve">itd. Mnogi </w:t>
      </w:r>
      <w:r w:rsidR="00D21A46">
        <w:rPr>
          <w:rStyle w:val="Strong"/>
          <w:b w:val="0"/>
        </w:rPr>
        <w:t>faktori</w:t>
      </w:r>
      <w:r w:rsidRPr="00155F80">
        <w:rPr>
          <w:rStyle w:val="Strong"/>
          <w:b w:val="0"/>
        </w:rPr>
        <w:t xml:space="preserve"> rizika u</w:t>
      </w:r>
      <w:r w:rsidRPr="00155F80">
        <w:rPr>
          <w:rFonts w:ascii="Times New Roman" w:hAnsi="Times New Roman"/>
          <w:bCs/>
          <w:shd w:val="clear" w:color="auto" w:fill="FFFFFF"/>
        </w:rPr>
        <w:t xml:space="preserve"> Federaciji BiH mogu </w:t>
      </w:r>
      <w:r w:rsidR="00512E30">
        <w:rPr>
          <w:rFonts w:ascii="Times New Roman" w:hAnsi="Times New Roman"/>
          <w:bCs/>
          <w:shd w:val="clear" w:color="auto" w:fill="FFFFFF"/>
        </w:rPr>
        <w:t>uticati</w:t>
      </w:r>
      <w:r w:rsidRPr="00155F80">
        <w:rPr>
          <w:rFonts w:ascii="Times New Roman" w:hAnsi="Times New Roman"/>
          <w:bCs/>
          <w:shd w:val="clear" w:color="auto" w:fill="FFFFFF"/>
        </w:rPr>
        <w:t xml:space="preserve"> na pojavu i širenje zaraznih bolesti, koji se odgovarajućim mjerama moraju držati pod kontrolom.</w:t>
      </w:r>
      <w:r w:rsidR="00C60658">
        <w:rPr>
          <w:rFonts w:ascii="Times New Roman" w:hAnsi="Times New Roman"/>
          <w:lang w:val="bs-Latn-BA" w:eastAsia="bs-Latn-BA"/>
        </w:rPr>
        <w:t xml:space="preserve"> S</w:t>
      </w:r>
      <w:r w:rsidRPr="00155F80">
        <w:rPr>
          <w:rFonts w:ascii="Times New Roman" w:hAnsi="Times New Roman"/>
          <w:lang w:val="bs-Latn-BA" w:eastAsia="bs-Latn-BA"/>
        </w:rPr>
        <w:t>toga  prevencija i kontrola bolesti, spr</w:t>
      </w:r>
      <w:r w:rsidR="006816BD">
        <w:rPr>
          <w:rFonts w:ascii="Times New Roman" w:hAnsi="Times New Roman"/>
          <w:lang w:val="bs-Latn-BA" w:eastAsia="bs-Latn-BA"/>
        </w:rPr>
        <w:t>j</w:t>
      </w:r>
      <w:r w:rsidRPr="00155F80">
        <w:rPr>
          <w:rFonts w:ascii="Times New Roman" w:hAnsi="Times New Roman"/>
          <w:lang w:val="bs-Latn-BA" w:eastAsia="bs-Latn-BA"/>
        </w:rPr>
        <w:t xml:space="preserve">ečavanje invalidnosti i smrti su glavni ciljevi </w:t>
      </w:r>
      <w:r w:rsidR="006816BD">
        <w:rPr>
          <w:rFonts w:ascii="Times New Roman" w:hAnsi="Times New Roman"/>
          <w:lang w:val="bs-Latn-BA" w:eastAsia="bs-Latn-BA"/>
        </w:rPr>
        <w:t>učinkovitog</w:t>
      </w:r>
      <w:r w:rsidRPr="00155F80">
        <w:rPr>
          <w:rFonts w:ascii="Times New Roman" w:hAnsi="Times New Roman"/>
          <w:lang w:val="bs-Latn-BA" w:eastAsia="bs-Latn-BA"/>
        </w:rPr>
        <w:t xml:space="preserve"> nadzora nad zaraznim bolestima. Aktivnosti epidemiološke službe Zavoda za javno zdravstvo Federacije BiH, uz rutinski nazor, su bile usmjerene prema tim zahtjevima.</w:t>
      </w:r>
    </w:p>
    <w:p w:rsidR="00A131AD" w:rsidRPr="00155F80" w:rsidRDefault="00A131AD" w:rsidP="000C0138">
      <w:pPr>
        <w:spacing w:line="276" w:lineRule="auto"/>
        <w:rPr>
          <w:rFonts w:ascii="Times New Roman" w:hAnsi="Times New Roman"/>
          <w:b/>
          <w:spacing w:val="-4"/>
          <w:lang w:val="sl-SI"/>
        </w:rPr>
      </w:pPr>
      <w:r w:rsidRPr="00155F80">
        <w:rPr>
          <w:rFonts w:ascii="Times New Roman" w:hAnsi="Times New Roman"/>
          <w:spacing w:val="-4"/>
          <w:lang w:val="sl-SI"/>
        </w:rPr>
        <w:t>Indikatori koji se koriste u ovom izvješ</w:t>
      </w:r>
      <w:r w:rsidR="006816BD">
        <w:rPr>
          <w:rFonts w:ascii="Times New Roman" w:hAnsi="Times New Roman"/>
          <w:spacing w:val="-4"/>
          <w:lang w:val="sl-SI"/>
        </w:rPr>
        <w:t>ćivanju</w:t>
      </w:r>
      <w:r w:rsidRPr="00155F80">
        <w:rPr>
          <w:rFonts w:ascii="Times New Roman" w:hAnsi="Times New Roman"/>
          <w:spacing w:val="-4"/>
          <w:lang w:val="sl-SI"/>
        </w:rPr>
        <w:t xml:space="preserve"> su sažetak </w:t>
      </w:r>
      <w:r w:rsidR="00512E30">
        <w:rPr>
          <w:rFonts w:ascii="Times New Roman" w:hAnsi="Times New Roman"/>
          <w:spacing w:val="-4"/>
          <w:lang w:val="sl-SI"/>
        </w:rPr>
        <w:t>sistem</w:t>
      </w:r>
      <w:r w:rsidR="006816BD">
        <w:rPr>
          <w:rFonts w:ascii="Times New Roman" w:hAnsi="Times New Roman"/>
          <w:spacing w:val="-4"/>
          <w:lang w:val="sl-SI"/>
        </w:rPr>
        <w:t>a</w:t>
      </w:r>
      <w:r w:rsidRPr="00155F80">
        <w:rPr>
          <w:rFonts w:ascii="Times New Roman" w:hAnsi="Times New Roman"/>
          <w:spacing w:val="-4"/>
          <w:lang w:val="sl-SI"/>
        </w:rPr>
        <w:t xml:space="preserve"> nadzora nad zaraznim bolestima u svih deset kantona Federacije Bosne i Hercegovine</w:t>
      </w:r>
      <w:r w:rsidRPr="00155F80">
        <w:rPr>
          <w:rFonts w:ascii="Times New Roman" w:hAnsi="Times New Roman"/>
          <w:b/>
          <w:spacing w:val="-4"/>
          <w:lang w:val="sl-SI"/>
        </w:rPr>
        <w:t>.</w:t>
      </w:r>
    </w:p>
    <w:p w:rsidR="00A131AD" w:rsidRPr="00155F80" w:rsidRDefault="00A131AD" w:rsidP="00284F26">
      <w:pPr>
        <w:spacing w:line="276" w:lineRule="auto"/>
        <w:rPr>
          <w:rFonts w:ascii="Times New Roman" w:hAnsi="Times New Roman"/>
          <w:lang w:val="sl-SI"/>
        </w:rPr>
      </w:pPr>
      <w:r w:rsidRPr="00155F80">
        <w:rPr>
          <w:rFonts w:ascii="Times New Roman" w:hAnsi="Times New Roman"/>
          <w:spacing w:val="-4"/>
          <w:lang w:val="sl-SI"/>
        </w:rPr>
        <w:t xml:space="preserve"> U 2015. godini, Zavodu za javno zdravstvo Federacije Bosne i Hercegovine je prijavljeno  ukupno 54.064 oboljelih od  zaraznih bolesti </w:t>
      </w:r>
      <w:r w:rsidR="00D50847">
        <w:rPr>
          <w:rFonts w:ascii="Times New Roman" w:hAnsi="Times New Roman"/>
          <w:lang w:val="sl-SI"/>
        </w:rPr>
        <w:t>(Mb 2316 %000),  više nego u 2014. godini (</w:t>
      </w:r>
      <w:r w:rsidRPr="00155F80">
        <w:rPr>
          <w:rFonts w:ascii="Times New Roman" w:hAnsi="Times New Roman"/>
          <w:lang w:val="sl-SI"/>
        </w:rPr>
        <w:t xml:space="preserve">broj oboljelih 49 840; Mb </w:t>
      </w:r>
      <w:r w:rsidRPr="00155F80">
        <w:rPr>
          <w:rFonts w:ascii="Times New Roman" w:hAnsi="Times New Roman"/>
          <w:bCs/>
          <w:lang w:val="sl-SI"/>
        </w:rPr>
        <w:t xml:space="preserve">2132,9 </w:t>
      </w:r>
      <w:r w:rsidRPr="00155F80">
        <w:rPr>
          <w:rFonts w:ascii="Times New Roman" w:hAnsi="Times New Roman"/>
          <w:lang w:val="sl-SI"/>
        </w:rPr>
        <w:t>%000</w:t>
      </w:r>
      <w:r w:rsidRPr="00155F80">
        <w:rPr>
          <w:rFonts w:ascii="Times New Roman" w:hAnsi="Times New Roman"/>
          <w:bCs/>
          <w:lang w:val="sl-SI"/>
        </w:rPr>
        <w:t>)</w:t>
      </w:r>
      <w:r w:rsidRPr="00155F80">
        <w:rPr>
          <w:rFonts w:ascii="Times New Roman" w:hAnsi="Times New Roman"/>
          <w:lang w:val="sl-SI"/>
        </w:rPr>
        <w:t xml:space="preserve">.   </w:t>
      </w:r>
    </w:p>
    <w:p w:rsidR="00A131AD" w:rsidRDefault="00A131AD" w:rsidP="00834139">
      <w:pPr>
        <w:spacing w:line="276" w:lineRule="auto"/>
        <w:rPr>
          <w:rFonts w:ascii="Times New Roman" w:hAnsi="Times New Roman"/>
          <w:b/>
          <w:spacing w:val="-4"/>
          <w:lang w:val="sl-SI"/>
        </w:rPr>
      </w:pPr>
      <w:r w:rsidRPr="00155F80">
        <w:rPr>
          <w:rFonts w:ascii="Times New Roman" w:hAnsi="Times New Roman"/>
          <w:lang w:val="sl-SI"/>
        </w:rPr>
        <w:t xml:space="preserve">U </w:t>
      </w:r>
      <w:r w:rsidR="00F70FD4">
        <w:rPr>
          <w:rFonts w:ascii="Times New Roman" w:hAnsi="Times New Roman"/>
          <w:lang w:val="sl-SI"/>
        </w:rPr>
        <w:t>periodu</w:t>
      </w:r>
      <w:r w:rsidRPr="00155F80">
        <w:rPr>
          <w:rFonts w:ascii="Times New Roman" w:hAnsi="Times New Roman"/>
          <w:lang w:val="sl-SI"/>
        </w:rPr>
        <w:t xml:space="preserve"> od 2011</w:t>
      </w:r>
      <w:r w:rsidR="00C60658">
        <w:rPr>
          <w:rFonts w:ascii="Times New Roman" w:hAnsi="Times New Roman"/>
          <w:lang w:val="sl-SI"/>
        </w:rPr>
        <w:t>.</w:t>
      </w:r>
      <w:r w:rsidR="006816BD">
        <w:rPr>
          <w:rFonts w:ascii="Times New Roman" w:hAnsi="Times New Roman"/>
          <w:lang w:val="sl-SI"/>
        </w:rPr>
        <w:t xml:space="preserve"> do </w:t>
      </w:r>
      <w:r w:rsidRPr="00155F80">
        <w:rPr>
          <w:rFonts w:ascii="Times New Roman" w:hAnsi="Times New Roman"/>
          <w:lang w:val="sl-SI"/>
        </w:rPr>
        <w:t>2015. godine, najniža stopa incidenc</w:t>
      </w:r>
      <w:r w:rsidR="006816BD">
        <w:rPr>
          <w:rFonts w:ascii="Times New Roman" w:hAnsi="Times New Roman"/>
          <w:lang w:val="sl-SI"/>
        </w:rPr>
        <w:t>ij</w:t>
      </w:r>
      <w:r w:rsidRPr="00155F80">
        <w:rPr>
          <w:rFonts w:ascii="Times New Roman" w:hAnsi="Times New Roman"/>
          <w:lang w:val="sl-SI"/>
        </w:rPr>
        <w:t>e zaraznih bolesti  registrirana je  2013. godine, a najviša 2011.</w:t>
      </w:r>
      <w:r w:rsidR="00D50847">
        <w:rPr>
          <w:rFonts w:ascii="Times New Roman" w:hAnsi="Times New Roman"/>
          <w:lang w:val="sl-SI"/>
        </w:rPr>
        <w:t xml:space="preserve"> </w:t>
      </w:r>
      <w:r w:rsidRPr="00155F80">
        <w:rPr>
          <w:rFonts w:ascii="Times New Roman" w:hAnsi="Times New Roman"/>
          <w:lang w:val="sl-SI"/>
        </w:rPr>
        <w:t>godine.</w:t>
      </w:r>
      <w:r w:rsidRPr="00155F80">
        <w:rPr>
          <w:rFonts w:ascii="Times New Roman" w:hAnsi="Times New Roman"/>
          <w:b/>
          <w:lang w:val="sl-SI"/>
        </w:rPr>
        <w:t xml:space="preserve"> </w:t>
      </w:r>
      <w:r w:rsidRPr="00155F80">
        <w:rPr>
          <w:rFonts w:ascii="Times New Roman" w:hAnsi="Times New Roman"/>
          <w:lang w:val="sl-SI"/>
        </w:rPr>
        <w:t>Na ukupan morbiditet od zaraznih bolesti, svake godine, najviše utj</w:t>
      </w:r>
      <w:r w:rsidR="00DF5CCD">
        <w:rPr>
          <w:rFonts w:ascii="Times New Roman" w:hAnsi="Times New Roman"/>
          <w:lang w:val="sl-SI"/>
        </w:rPr>
        <w:t>eče gripa, tako u 2015. godini</w:t>
      </w:r>
      <w:r w:rsidR="00C60658">
        <w:rPr>
          <w:rFonts w:ascii="Times New Roman" w:hAnsi="Times New Roman"/>
          <w:spacing w:val="-4"/>
          <w:lang w:val="sl-SI"/>
        </w:rPr>
        <w:t xml:space="preserve"> preko </w:t>
      </w:r>
      <w:r w:rsidRPr="00155F80">
        <w:rPr>
          <w:rFonts w:ascii="Times New Roman" w:hAnsi="Times New Roman"/>
          <w:spacing w:val="-4"/>
          <w:lang w:val="sl-SI"/>
        </w:rPr>
        <w:t xml:space="preserve">65% </w:t>
      </w:r>
      <w:r w:rsidR="00A80006">
        <w:rPr>
          <w:rFonts w:ascii="Times New Roman" w:hAnsi="Times New Roman"/>
          <w:spacing w:val="-4"/>
          <w:lang w:val="sl-SI"/>
        </w:rPr>
        <w:t>registrovanih</w:t>
      </w:r>
      <w:r w:rsidRPr="00155F80">
        <w:rPr>
          <w:rFonts w:ascii="Times New Roman" w:hAnsi="Times New Roman"/>
          <w:spacing w:val="-4"/>
          <w:lang w:val="sl-SI"/>
        </w:rPr>
        <w:t xml:space="preserve"> zaraznih oboljenja</w:t>
      </w:r>
      <w:r w:rsidRPr="00155F80">
        <w:rPr>
          <w:rFonts w:ascii="Times New Roman" w:hAnsi="Times New Roman"/>
          <w:b/>
          <w:spacing w:val="-4"/>
          <w:lang w:val="sl-SI"/>
        </w:rPr>
        <w:t xml:space="preserve"> </w:t>
      </w:r>
      <w:r w:rsidR="00D50847">
        <w:rPr>
          <w:rFonts w:ascii="Times New Roman" w:hAnsi="Times New Roman"/>
          <w:spacing w:val="-4"/>
          <w:lang w:val="sl-SI"/>
        </w:rPr>
        <w:t>čini gripa/bolesti slične gripi (35.</w:t>
      </w:r>
      <w:r w:rsidRPr="00155F80">
        <w:rPr>
          <w:rFonts w:ascii="Times New Roman" w:hAnsi="Times New Roman"/>
          <w:spacing w:val="-4"/>
          <w:lang w:val="sl-SI"/>
        </w:rPr>
        <w:t>048)</w:t>
      </w:r>
      <w:r w:rsidRPr="00155F80">
        <w:rPr>
          <w:rFonts w:ascii="Times New Roman" w:hAnsi="Times New Roman"/>
        </w:rPr>
        <w:t>, dok o</w:t>
      </w:r>
      <w:r w:rsidRPr="00155F80">
        <w:rPr>
          <w:rFonts w:ascii="Times New Roman" w:hAnsi="Times New Roman"/>
          <w:spacing w:val="-4"/>
          <w:lang w:val="sl-SI"/>
        </w:rPr>
        <w:t xml:space="preserve">stale zarazne bolesti (19.016) </w:t>
      </w:r>
      <w:r w:rsidR="006816BD">
        <w:rPr>
          <w:rFonts w:ascii="Times New Roman" w:hAnsi="Times New Roman"/>
          <w:spacing w:val="-4"/>
          <w:lang w:val="sl-SI"/>
        </w:rPr>
        <w:t>sudjeluju</w:t>
      </w:r>
      <w:r w:rsidRPr="00155F80">
        <w:rPr>
          <w:rFonts w:ascii="Times New Roman" w:hAnsi="Times New Roman"/>
          <w:spacing w:val="-4"/>
          <w:lang w:val="sl-SI"/>
        </w:rPr>
        <w:t xml:space="preserve"> sa 35%</w:t>
      </w:r>
      <w:r w:rsidRPr="00155F80">
        <w:rPr>
          <w:rFonts w:ascii="Times New Roman" w:hAnsi="Times New Roman"/>
          <w:b/>
          <w:spacing w:val="-4"/>
          <w:lang w:val="sl-SI"/>
        </w:rPr>
        <w:t xml:space="preserve"> .</w:t>
      </w:r>
    </w:p>
    <w:p w:rsidR="00834139" w:rsidRPr="00155F80" w:rsidRDefault="00834139" w:rsidP="00834139">
      <w:pPr>
        <w:spacing w:line="276" w:lineRule="auto"/>
        <w:rPr>
          <w:rFonts w:ascii="Times New Roman" w:hAnsi="Times New Roman"/>
        </w:rPr>
      </w:pPr>
    </w:p>
    <w:p w:rsidR="00A131AD" w:rsidRDefault="00A131AD" w:rsidP="00EB7CC7">
      <w:pPr>
        <w:pStyle w:val="refererere"/>
      </w:pPr>
      <w:r w:rsidRPr="00155F80">
        <w:t xml:space="preserve"> Grafikon 43: Zarazne bolesti (sa i bez gripe) u Federaciji BiH, 201</w:t>
      </w:r>
      <w:r w:rsidR="00341B4E">
        <w:t>1</w:t>
      </w:r>
      <w:r w:rsidR="00E07511">
        <w:t>.</w:t>
      </w:r>
      <w:r w:rsidRPr="00155F80">
        <w:t>-</w:t>
      </w:r>
      <w:r w:rsidR="00341B4E">
        <w:t xml:space="preserve"> </w:t>
      </w:r>
      <w:r w:rsidRPr="00155F80">
        <w:t>2015. godina, stopa morbiditeta na 100.000 stanovnika</w:t>
      </w:r>
    </w:p>
    <w:p w:rsidR="00975880" w:rsidRDefault="00284F26" w:rsidP="000C0138">
      <w:pPr>
        <w:spacing w:line="276" w:lineRule="auto"/>
        <w:rPr>
          <w:rFonts w:ascii="Times New Roman" w:hAnsi="Times New Roman"/>
        </w:rPr>
      </w:pPr>
      <w:r w:rsidRPr="00975880">
        <w:rPr>
          <w:rFonts w:ascii="Times New Roman" w:hAnsi="Times New Roman"/>
          <w:noProof/>
          <w:lang w:eastAsia="en-GB"/>
        </w:rPr>
        <w:drawing>
          <wp:anchor distT="0" distB="0" distL="114300" distR="114300" simplePos="0" relativeHeight="251661824" behindDoc="0" locked="0" layoutInCell="1" allowOverlap="1" wp14:anchorId="77A64E75" wp14:editId="421CE394">
            <wp:simplePos x="0" y="0"/>
            <wp:positionH relativeFrom="margin">
              <wp:align>center</wp:align>
            </wp:positionH>
            <wp:positionV relativeFrom="paragraph">
              <wp:posOffset>191135</wp:posOffset>
            </wp:positionV>
            <wp:extent cx="4260850" cy="1617345"/>
            <wp:effectExtent l="0" t="0" r="6350" b="1905"/>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260850" cy="1617345"/>
                    </a:xfrm>
                    <a:prstGeom prst="rect">
                      <a:avLst/>
                    </a:prstGeom>
                  </pic:spPr>
                </pic:pic>
              </a:graphicData>
            </a:graphic>
            <wp14:sizeRelH relativeFrom="page">
              <wp14:pctWidth>0</wp14:pctWidth>
            </wp14:sizeRelH>
            <wp14:sizeRelV relativeFrom="page">
              <wp14:pctHeight>0</wp14:pctHeight>
            </wp14:sizeRelV>
          </wp:anchor>
        </w:drawing>
      </w:r>
      <w:r w:rsidR="00834139">
        <w:rPr>
          <w:rFonts w:ascii="Times New Roman" w:hAnsi="Times New Roman"/>
          <w:noProof/>
          <w:lang w:eastAsia="en-GB"/>
        </w:rPr>
        <mc:AlternateContent>
          <mc:Choice Requires="wps">
            <w:drawing>
              <wp:anchor distT="0" distB="0" distL="114300" distR="114300" simplePos="0" relativeHeight="251662848" behindDoc="0" locked="0" layoutInCell="1" allowOverlap="1" wp14:anchorId="69536F04" wp14:editId="40D6ECE1">
                <wp:simplePos x="0" y="0"/>
                <wp:positionH relativeFrom="margin">
                  <wp:align>right</wp:align>
                </wp:positionH>
                <wp:positionV relativeFrom="paragraph">
                  <wp:posOffset>88207</wp:posOffset>
                </wp:positionV>
                <wp:extent cx="5771408" cy="1781175"/>
                <wp:effectExtent l="0" t="0" r="20320" b="28575"/>
                <wp:wrapNone/>
                <wp:docPr id="40" name="Rectangle 40"/>
                <wp:cNvGraphicFramePr/>
                <a:graphic xmlns:a="http://schemas.openxmlformats.org/drawingml/2006/main">
                  <a:graphicData uri="http://schemas.microsoft.com/office/word/2010/wordprocessingShape">
                    <wps:wsp>
                      <wps:cNvSpPr/>
                      <wps:spPr>
                        <a:xfrm>
                          <a:off x="0" y="0"/>
                          <a:ext cx="5771408" cy="1781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9E771" id="Rectangle 40" o:spid="_x0000_s1026" style="position:absolute;margin-left:403.25pt;margin-top:6.95pt;width:454.45pt;height:140.2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" filled="f" strokecolor="black [3213]" strokeweight="1pt">
                <w10:wrap anchorx="margin"/>
              </v:rect>
            </w:pict>
          </mc:Fallback>
        </mc:AlternateContent>
      </w:r>
    </w:p>
    <w:p w:rsidR="006816BD" w:rsidRDefault="006816BD" w:rsidP="000C0138">
      <w:pPr>
        <w:spacing w:line="276" w:lineRule="auto"/>
        <w:rPr>
          <w:rFonts w:ascii="Times New Roman" w:hAnsi="Times New Roman"/>
          <w:lang w:val="hr-BA" w:eastAsia="hr-BA"/>
        </w:rPr>
      </w:pPr>
    </w:p>
    <w:p w:rsidR="00C60658" w:rsidRDefault="00A131AD" w:rsidP="000C0138">
      <w:pPr>
        <w:spacing w:line="276" w:lineRule="auto"/>
        <w:rPr>
          <w:rFonts w:ascii="Times New Roman" w:hAnsi="Times New Roman"/>
          <w:lang w:val="pl-PL"/>
        </w:rPr>
      </w:pPr>
      <w:r w:rsidRPr="00155F80">
        <w:rPr>
          <w:rFonts w:ascii="Times New Roman" w:hAnsi="Times New Roman"/>
          <w:lang w:val="hr-BA" w:eastAsia="hr-BA"/>
        </w:rPr>
        <w:t>Prema izvješ</w:t>
      </w:r>
      <w:r w:rsidR="006816BD">
        <w:rPr>
          <w:rFonts w:ascii="Times New Roman" w:hAnsi="Times New Roman"/>
          <w:lang w:val="hr-BA" w:eastAsia="hr-BA"/>
        </w:rPr>
        <w:t>ći</w:t>
      </w:r>
      <w:r w:rsidRPr="00155F80">
        <w:rPr>
          <w:rFonts w:ascii="Times New Roman" w:hAnsi="Times New Roman"/>
          <w:lang w:val="hr-BA" w:eastAsia="hr-BA"/>
        </w:rPr>
        <w:t>ma, među oboljelim od zaraznih boles</w:t>
      </w:r>
      <w:r w:rsidR="00D50847">
        <w:rPr>
          <w:rFonts w:ascii="Times New Roman" w:hAnsi="Times New Roman"/>
          <w:lang w:val="hr-BA" w:eastAsia="hr-BA"/>
        </w:rPr>
        <w:t>ti (bez gripe), u 2015. godini</w:t>
      </w:r>
      <w:r w:rsidRPr="00155F80">
        <w:rPr>
          <w:rFonts w:ascii="Times New Roman" w:hAnsi="Times New Roman"/>
          <w:lang w:val="hr-BA" w:eastAsia="hr-BA"/>
        </w:rPr>
        <w:t xml:space="preserve"> 50,03% </w:t>
      </w:r>
      <w:r w:rsidR="006816BD">
        <w:rPr>
          <w:rFonts w:ascii="Times New Roman" w:hAnsi="Times New Roman"/>
          <w:lang w:val="hr-BA" w:eastAsia="hr-BA"/>
        </w:rPr>
        <w:t xml:space="preserve"> </w:t>
      </w:r>
      <w:r w:rsidRPr="00155F80">
        <w:rPr>
          <w:rFonts w:ascii="Times New Roman" w:hAnsi="Times New Roman"/>
          <w:lang w:val="hr-BA"/>
        </w:rPr>
        <w:t xml:space="preserve">su </w:t>
      </w:r>
      <w:r w:rsidRPr="00155F80">
        <w:rPr>
          <w:rFonts w:ascii="Times New Roman" w:hAnsi="Times New Roman"/>
          <w:lang w:val="sl-SI"/>
        </w:rPr>
        <w:t>mla</w:t>
      </w:r>
      <w:r w:rsidRPr="00155F80">
        <w:rPr>
          <w:rFonts w:ascii="Times New Roman" w:hAnsi="Times New Roman"/>
          <w:lang w:val="hr-BA"/>
        </w:rPr>
        <w:t>đ</w:t>
      </w:r>
      <w:r w:rsidRPr="00155F80">
        <w:rPr>
          <w:rFonts w:ascii="Times New Roman" w:hAnsi="Times New Roman"/>
          <w:lang w:val="sl-SI"/>
        </w:rPr>
        <w:t>i</w:t>
      </w:r>
      <w:r w:rsidRPr="00155F80">
        <w:rPr>
          <w:rFonts w:ascii="Times New Roman" w:hAnsi="Times New Roman"/>
          <w:lang w:val="hr-BA"/>
        </w:rPr>
        <w:t xml:space="preserve"> </w:t>
      </w:r>
      <w:r w:rsidRPr="00155F80">
        <w:rPr>
          <w:rFonts w:ascii="Times New Roman" w:hAnsi="Times New Roman"/>
          <w:lang w:val="sl-SI"/>
        </w:rPr>
        <w:t>od</w:t>
      </w:r>
      <w:r w:rsidRPr="00155F80">
        <w:rPr>
          <w:rFonts w:ascii="Times New Roman" w:hAnsi="Times New Roman"/>
          <w:lang w:val="hr-BA"/>
        </w:rPr>
        <w:t xml:space="preserve"> 15 godin</w:t>
      </w:r>
      <w:r w:rsidR="006816BD">
        <w:rPr>
          <w:rFonts w:ascii="Times New Roman" w:hAnsi="Times New Roman"/>
          <w:lang w:val="hr-BA"/>
        </w:rPr>
        <w:t>a</w:t>
      </w:r>
      <w:r w:rsidRPr="00155F80">
        <w:rPr>
          <w:rFonts w:ascii="Times New Roman" w:hAnsi="Times New Roman"/>
          <w:lang w:val="hr-BA"/>
        </w:rPr>
        <w:t xml:space="preserve">, </w:t>
      </w:r>
      <w:r w:rsidRPr="00155F80">
        <w:rPr>
          <w:rFonts w:ascii="Times New Roman" w:hAnsi="Times New Roman"/>
          <w:lang w:val="sl-SI"/>
        </w:rPr>
        <w:t>odnosno više od polovine (</w:t>
      </w:r>
      <w:r w:rsidRPr="00155F80">
        <w:rPr>
          <w:rFonts w:ascii="Times New Roman" w:hAnsi="Times New Roman"/>
          <w:lang w:val="hr-BA"/>
        </w:rPr>
        <w:t xml:space="preserve">62,93%) </w:t>
      </w:r>
      <w:r w:rsidRPr="00155F80">
        <w:rPr>
          <w:rFonts w:ascii="Times New Roman" w:hAnsi="Times New Roman"/>
          <w:lang w:val="sl-SI"/>
        </w:rPr>
        <w:t>su</w:t>
      </w:r>
      <w:r w:rsidRPr="00155F80">
        <w:rPr>
          <w:rFonts w:ascii="Times New Roman" w:hAnsi="Times New Roman"/>
          <w:lang w:val="hr-BA"/>
        </w:rPr>
        <w:t xml:space="preserve"> </w:t>
      </w:r>
      <w:r w:rsidRPr="00155F80">
        <w:rPr>
          <w:rFonts w:ascii="Times New Roman" w:hAnsi="Times New Roman"/>
          <w:lang w:val="sl-SI"/>
        </w:rPr>
        <w:t>mla</w:t>
      </w:r>
      <w:r w:rsidRPr="00155F80">
        <w:rPr>
          <w:rFonts w:ascii="Times New Roman" w:hAnsi="Times New Roman"/>
          <w:lang w:val="hr-BA"/>
        </w:rPr>
        <w:t>đ</w:t>
      </w:r>
      <w:r w:rsidRPr="00155F80">
        <w:rPr>
          <w:rFonts w:ascii="Times New Roman" w:hAnsi="Times New Roman"/>
          <w:lang w:val="sl-SI"/>
        </w:rPr>
        <w:t>i</w:t>
      </w:r>
      <w:r w:rsidRPr="00155F80">
        <w:rPr>
          <w:rFonts w:ascii="Times New Roman" w:hAnsi="Times New Roman"/>
          <w:lang w:val="hr-BA"/>
        </w:rPr>
        <w:t xml:space="preserve"> </w:t>
      </w:r>
      <w:r w:rsidRPr="00155F80">
        <w:rPr>
          <w:rFonts w:ascii="Times New Roman" w:hAnsi="Times New Roman"/>
          <w:lang w:val="sl-SI"/>
        </w:rPr>
        <w:t>od</w:t>
      </w:r>
      <w:r w:rsidRPr="00155F80">
        <w:rPr>
          <w:rFonts w:ascii="Times New Roman" w:hAnsi="Times New Roman"/>
          <w:lang w:val="hr-BA"/>
        </w:rPr>
        <w:t xml:space="preserve"> 25 </w:t>
      </w:r>
      <w:r w:rsidRPr="00155F80">
        <w:rPr>
          <w:rFonts w:ascii="Times New Roman" w:hAnsi="Times New Roman"/>
          <w:lang w:val="sl-SI"/>
        </w:rPr>
        <w:t>godina</w:t>
      </w:r>
      <w:r w:rsidRPr="00155F80">
        <w:rPr>
          <w:rFonts w:ascii="Times New Roman" w:hAnsi="Times New Roman"/>
          <w:lang w:val="hr-BA"/>
        </w:rPr>
        <w:t>. S obzirom na spol obol</w:t>
      </w:r>
      <w:r w:rsidR="006816BD">
        <w:rPr>
          <w:rFonts w:ascii="Times New Roman" w:hAnsi="Times New Roman"/>
          <w:lang w:val="hr-BA"/>
        </w:rPr>
        <w:t>i</w:t>
      </w:r>
      <w:r w:rsidRPr="00155F80">
        <w:rPr>
          <w:rFonts w:ascii="Times New Roman" w:hAnsi="Times New Roman"/>
          <w:lang w:val="hr-BA"/>
        </w:rPr>
        <w:t xml:space="preserve">jevaju gotovo podjednako oba spola (50,77% </w:t>
      </w:r>
      <w:r w:rsidRPr="00155F80">
        <w:rPr>
          <w:rFonts w:ascii="Times New Roman" w:hAnsi="Times New Roman"/>
          <w:lang w:val="pl-PL"/>
        </w:rPr>
        <w:t>oboljelih</w:t>
      </w:r>
      <w:r w:rsidRPr="00155F80">
        <w:rPr>
          <w:rFonts w:ascii="Times New Roman" w:hAnsi="Times New Roman"/>
          <w:lang w:val="hr-BA"/>
        </w:rPr>
        <w:t xml:space="preserve"> </w:t>
      </w:r>
      <w:r w:rsidRPr="00155F80">
        <w:rPr>
          <w:rFonts w:ascii="Times New Roman" w:hAnsi="Times New Roman"/>
          <w:lang w:val="pl-PL"/>
        </w:rPr>
        <w:t>je</w:t>
      </w:r>
      <w:r w:rsidRPr="00155F80">
        <w:rPr>
          <w:rFonts w:ascii="Times New Roman" w:hAnsi="Times New Roman"/>
          <w:lang w:val="hr-BA"/>
        </w:rPr>
        <w:t xml:space="preserve"> </w:t>
      </w:r>
      <w:r w:rsidRPr="00155F80">
        <w:rPr>
          <w:rFonts w:ascii="Times New Roman" w:hAnsi="Times New Roman"/>
          <w:lang w:val="pl-PL"/>
        </w:rPr>
        <w:t>mu</w:t>
      </w:r>
      <w:r w:rsidRPr="00155F80">
        <w:rPr>
          <w:rFonts w:ascii="Times New Roman" w:hAnsi="Times New Roman"/>
          <w:lang w:val="hr-BA"/>
        </w:rPr>
        <w:t>š</w:t>
      </w:r>
      <w:r w:rsidRPr="00155F80">
        <w:rPr>
          <w:rFonts w:ascii="Times New Roman" w:hAnsi="Times New Roman"/>
          <w:lang w:val="pl-PL"/>
        </w:rPr>
        <w:t>kog</w:t>
      </w:r>
      <w:r w:rsidRPr="00155F80">
        <w:rPr>
          <w:rFonts w:ascii="Times New Roman" w:hAnsi="Times New Roman"/>
          <w:lang w:val="hr-BA"/>
        </w:rPr>
        <w:t xml:space="preserve">, </w:t>
      </w:r>
      <w:r w:rsidRPr="00155F80">
        <w:rPr>
          <w:rFonts w:ascii="Times New Roman" w:hAnsi="Times New Roman"/>
          <w:lang w:val="pl-PL"/>
        </w:rPr>
        <w:t>a</w:t>
      </w:r>
      <w:r w:rsidRPr="00155F80">
        <w:rPr>
          <w:rFonts w:ascii="Times New Roman" w:hAnsi="Times New Roman"/>
          <w:lang w:val="hr-BA"/>
        </w:rPr>
        <w:t xml:space="preserve"> 49,23%  ž</w:t>
      </w:r>
      <w:r w:rsidRPr="00155F80">
        <w:rPr>
          <w:rFonts w:ascii="Times New Roman" w:hAnsi="Times New Roman"/>
          <w:lang w:val="pl-PL"/>
        </w:rPr>
        <w:t>enskog</w:t>
      </w:r>
      <w:r w:rsidRPr="00155F80">
        <w:rPr>
          <w:rFonts w:ascii="Times New Roman" w:hAnsi="Times New Roman"/>
          <w:lang w:val="hr-BA"/>
        </w:rPr>
        <w:t xml:space="preserve"> </w:t>
      </w:r>
      <w:r w:rsidRPr="00155F80">
        <w:rPr>
          <w:rFonts w:ascii="Times New Roman" w:hAnsi="Times New Roman"/>
          <w:lang w:val="pl-PL"/>
        </w:rPr>
        <w:t>spola).</w:t>
      </w:r>
    </w:p>
    <w:p w:rsidR="00284F26" w:rsidRDefault="00284F26" w:rsidP="000C0138">
      <w:pPr>
        <w:spacing w:line="276" w:lineRule="auto"/>
        <w:rPr>
          <w:rFonts w:ascii="Times New Roman" w:hAnsi="Times New Roman"/>
          <w:lang w:val="sl-SI"/>
        </w:rPr>
      </w:pPr>
    </w:p>
    <w:p w:rsidR="0067516B" w:rsidRDefault="00A131AD" w:rsidP="000C0138">
      <w:pPr>
        <w:spacing w:line="276" w:lineRule="auto"/>
        <w:rPr>
          <w:rFonts w:ascii="Times New Roman" w:hAnsi="Times New Roman"/>
          <w:lang w:val="pl-PL"/>
        </w:rPr>
      </w:pPr>
      <w:r w:rsidRPr="00155F80">
        <w:rPr>
          <w:rFonts w:ascii="Times New Roman" w:hAnsi="Times New Roman"/>
          <w:lang w:val="sl-SI"/>
        </w:rPr>
        <w:t xml:space="preserve">U proteklom petogodišnjem </w:t>
      </w:r>
      <w:r w:rsidR="00F70FD4">
        <w:rPr>
          <w:rFonts w:ascii="Times New Roman" w:hAnsi="Times New Roman"/>
          <w:lang w:val="sl-SI"/>
        </w:rPr>
        <w:t>periodu</w:t>
      </w:r>
      <w:r w:rsidRPr="00155F80">
        <w:rPr>
          <w:rFonts w:ascii="Times New Roman" w:hAnsi="Times New Roman"/>
          <w:lang w:val="sl-SI"/>
        </w:rPr>
        <w:t xml:space="preserve"> najviši morbiditet od zaraznih bolesti registrira se u Sarajevskom i Zapadnohercegovačkom kantonu, a najniži na području Posavsk</w:t>
      </w:r>
      <w:r w:rsidR="006816BD">
        <w:rPr>
          <w:rFonts w:ascii="Times New Roman" w:hAnsi="Times New Roman"/>
          <w:lang w:val="sl-SI"/>
        </w:rPr>
        <w:t>og</w:t>
      </w:r>
      <w:r w:rsidRPr="00155F80">
        <w:rPr>
          <w:rFonts w:ascii="Times New Roman" w:hAnsi="Times New Roman"/>
          <w:lang w:val="sl-SI"/>
        </w:rPr>
        <w:t xml:space="preserve"> </w:t>
      </w:r>
      <w:r w:rsidR="006816BD">
        <w:rPr>
          <w:rFonts w:ascii="Times New Roman" w:hAnsi="Times New Roman"/>
          <w:lang w:val="sl-SI"/>
        </w:rPr>
        <w:t>kantona</w:t>
      </w:r>
      <w:r w:rsidRPr="00155F80">
        <w:rPr>
          <w:rFonts w:ascii="Times New Roman" w:hAnsi="Times New Roman"/>
          <w:lang w:val="sl-SI"/>
        </w:rPr>
        <w:t xml:space="preserve">, </w:t>
      </w:r>
      <w:r w:rsidR="006816BD">
        <w:rPr>
          <w:rFonts w:ascii="Times New Roman" w:hAnsi="Times New Roman"/>
          <w:lang w:val="sl-SI"/>
        </w:rPr>
        <w:t>izuzev</w:t>
      </w:r>
      <w:r w:rsidRPr="00155F80">
        <w:rPr>
          <w:rFonts w:ascii="Times New Roman" w:hAnsi="Times New Roman"/>
          <w:lang w:val="sl-SI"/>
        </w:rPr>
        <w:t xml:space="preserve"> 2012. godine, kada je najniži morbiditet reg</w:t>
      </w:r>
      <w:r w:rsidR="00B4366E">
        <w:rPr>
          <w:rFonts w:ascii="Times New Roman" w:hAnsi="Times New Roman"/>
          <w:lang w:val="sl-SI"/>
        </w:rPr>
        <w:t>istriran na području Kantona 10</w:t>
      </w:r>
      <w:r w:rsidRPr="00155F80">
        <w:rPr>
          <w:rFonts w:ascii="Times New Roman" w:hAnsi="Times New Roman"/>
          <w:lang w:val="sl-SI"/>
        </w:rPr>
        <w:t>.</w:t>
      </w:r>
    </w:p>
    <w:p w:rsidR="0067516B" w:rsidRDefault="0067516B" w:rsidP="000C0138">
      <w:pPr>
        <w:spacing w:line="276" w:lineRule="auto"/>
        <w:rPr>
          <w:rFonts w:ascii="Times New Roman" w:hAnsi="Times New Roman"/>
          <w:lang w:val="pl-PL"/>
        </w:rPr>
      </w:pPr>
    </w:p>
    <w:p w:rsidR="00A131AD" w:rsidRPr="00155F80" w:rsidRDefault="00A131AD" w:rsidP="000C0138">
      <w:pPr>
        <w:spacing w:line="276" w:lineRule="auto"/>
        <w:rPr>
          <w:rFonts w:ascii="Times New Roman" w:hAnsi="Times New Roman"/>
          <w:b/>
          <w:lang w:val="sl-SI"/>
        </w:rPr>
      </w:pPr>
    </w:p>
    <w:p w:rsidR="00A131AD" w:rsidRPr="00155F80" w:rsidRDefault="00A80006" w:rsidP="00EB7CC7">
      <w:pPr>
        <w:pStyle w:val="refererere"/>
        <w:rPr>
          <w:lang w:val="sl-SI"/>
        </w:rPr>
      </w:pPr>
      <w:r>
        <w:rPr>
          <w:lang w:val="sl-SI"/>
        </w:rPr>
        <w:t>Tabela</w:t>
      </w:r>
      <w:r w:rsidR="00A131AD" w:rsidRPr="00155F80">
        <w:rPr>
          <w:lang w:val="sl-SI"/>
        </w:rPr>
        <w:t xml:space="preserve"> 6: Zarazne bole</w:t>
      </w:r>
      <w:r w:rsidR="00CF430D">
        <w:rPr>
          <w:lang w:val="sl-SI"/>
        </w:rPr>
        <w:t xml:space="preserve">sti (s gripom), za </w:t>
      </w:r>
      <w:r w:rsidR="00F70FD4">
        <w:rPr>
          <w:lang w:val="sl-SI"/>
        </w:rPr>
        <w:t>period</w:t>
      </w:r>
      <w:r w:rsidR="00CF430D">
        <w:rPr>
          <w:lang w:val="sl-SI"/>
        </w:rPr>
        <w:t xml:space="preserve"> 2011.-</w:t>
      </w:r>
      <w:r w:rsidR="00A131AD" w:rsidRPr="00155F80">
        <w:rPr>
          <w:lang w:val="sl-SI"/>
        </w:rPr>
        <w:t>2015. godina, po kantonima</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414"/>
        <w:gridCol w:w="666"/>
        <w:gridCol w:w="939"/>
        <w:gridCol w:w="683"/>
        <w:gridCol w:w="963"/>
        <w:gridCol w:w="696"/>
        <w:gridCol w:w="1003"/>
        <w:gridCol w:w="698"/>
        <w:gridCol w:w="876"/>
        <w:gridCol w:w="709"/>
        <w:gridCol w:w="850"/>
      </w:tblGrid>
      <w:tr w:rsidR="00A131AD" w:rsidRPr="00EA7C7B" w:rsidTr="00EA7C7B">
        <w:trPr>
          <w:trHeight w:hRule="exact" w:val="407"/>
          <w:jc w:val="center"/>
        </w:trPr>
        <w:tc>
          <w:tcPr>
            <w:tcW w:w="14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0C0138">
            <w:pPr>
              <w:pStyle w:val="NoSpacing"/>
              <w:spacing w:line="276" w:lineRule="auto"/>
              <w:rPr>
                <w:b/>
                <w:sz w:val="18"/>
                <w:szCs w:val="18"/>
                <w:lang w:val="sl-SI"/>
              </w:rPr>
            </w:pPr>
            <w:r w:rsidRPr="00EA7C7B">
              <w:rPr>
                <w:b/>
                <w:sz w:val="18"/>
                <w:szCs w:val="18"/>
                <w:lang w:val="sl-SI"/>
              </w:rPr>
              <w:t>Godina</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2011.</w:t>
            </w:r>
          </w:p>
        </w:tc>
        <w:tc>
          <w:tcPr>
            <w:tcW w:w="164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2012.</w:t>
            </w:r>
          </w:p>
        </w:tc>
        <w:tc>
          <w:tcPr>
            <w:tcW w:w="169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2013.</w:t>
            </w:r>
          </w:p>
        </w:tc>
        <w:tc>
          <w:tcPr>
            <w:tcW w:w="157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2015.</w:t>
            </w:r>
          </w:p>
        </w:tc>
      </w:tr>
      <w:tr w:rsidR="00EA7C7B" w:rsidRPr="00EA7C7B" w:rsidTr="00EA7C7B">
        <w:trPr>
          <w:trHeight w:val="882"/>
          <w:jc w:val="center"/>
        </w:trPr>
        <w:tc>
          <w:tcPr>
            <w:tcW w:w="14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A131AD" w:rsidRPr="00EA7C7B" w:rsidRDefault="00A131AD" w:rsidP="000C0138">
            <w:pPr>
              <w:pStyle w:val="NoSpacing"/>
              <w:spacing w:line="276" w:lineRule="auto"/>
              <w:rPr>
                <w:b/>
                <w:sz w:val="18"/>
                <w:szCs w:val="18"/>
                <w:lang w:val="sl-SI"/>
              </w:rPr>
            </w:pPr>
          </w:p>
          <w:p w:rsidR="00A131AD" w:rsidRPr="00EA7C7B" w:rsidRDefault="00A131AD" w:rsidP="000C0138">
            <w:pPr>
              <w:pStyle w:val="NoSpacing"/>
              <w:spacing w:line="276" w:lineRule="auto"/>
              <w:rPr>
                <w:b/>
                <w:sz w:val="18"/>
                <w:szCs w:val="18"/>
                <w:lang w:val="sl-SI"/>
              </w:rPr>
            </w:pPr>
          </w:p>
          <w:p w:rsidR="00A131AD" w:rsidRPr="00EA7C7B" w:rsidRDefault="00A131AD" w:rsidP="000C0138">
            <w:pPr>
              <w:pStyle w:val="NoSpacing"/>
              <w:spacing w:line="276" w:lineRule="auto"/>
              <w:rPr>
                <w:b/>
                <w:sz w:val="18"/>
                <w:szCs w:val="18"/>
                <w:lang w:val="sl-SI"/>
              </w:rPr>
            </w:pPr>
            <w:r w:rsidRPr="00EA7C7B">
              <w:rPr>
                <w:b/>
                <w:sz w:val="18"/>
                <w:szCs w:val="18"/>
                <w:lang w:val="sl-SI"/>
              </w:rPr>
              <w:t>Kanton</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939"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8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9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98"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87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Unsko-sanski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5118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1778,10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4765</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1655,17</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4325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1503,71</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3989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1388,15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5378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1873,67</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Posavski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416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1050,90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222</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564,78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244</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626,28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305,15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495,11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Tuzlanski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9424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1888,74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6078</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1217,79</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8830</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1769,75</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9686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1940,52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9298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1864,20</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Zeničko-dobojski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11965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2992,33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6137</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1535,73</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7145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1792,27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2221,65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11265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2839,45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Bosansko-podrinjski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927</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2824,67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505</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1545,52</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993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3062,16</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1256,56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1048,21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Srednjobosanski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6725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2647,61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2173</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856,89</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1431</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565,27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1310,91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1853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736,15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Hercegovačko-neretvanski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10748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4778,97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2264</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1007,28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2583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1151,13</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1411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629,83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2561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1146,01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Zapadno-hercegovački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4705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5779,10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2023</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2482,60</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2455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3009,68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3022,28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3911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4810,05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Sarajevski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38784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8839,52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57584</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13065,18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21001</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4744,17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19278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4333,59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18575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4156,85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Kanton 10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919</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1150,49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291</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336,73</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369</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467,98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427,49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694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892,52</w:t>
            </w:r>
          </w:p>
        </w:tc>
      </w:tr>
    </w:tbl>
    <w:p w:rsidR="00284F26" w:rsidRDefault="00284F26" w:rsidP="000C0138">
      <w:pPr>
        <w:pStyle w:val="CommentText"/>
        <w:spacing w:line="276" w:lineRule="auto"/>
        <w:jc w:val="both"/>
        <w:rPr>
          <w:sz w:val="22"/>
          <w:szCs w:val="22"/>
          <w:lang w:val="pl-PL"/>
        </w:rPr>
      </w:pPr>
    </w:p>
    <w:p w:rsidR="00A131AD" w:rsidRDefault="00A131AD" w:rsidP="000C0138">
      <w:pPr>
        <w:pStyle w:val="CommentText"/>
        <w:spacing w:line="276" w:lineRule="auto"/>
        <w:jc w:val="both"/>
        <w:rPr>
          <w:sz w:val="22"/>
          <w:szCs w:val="22"/>
          <w:lang w:val="pl-PL"/>
        </w:rPr>
      </w:pPr>
      <w:r w:rsidRPr="00155F80">
        <w:rPr>
          <w:sz w:val="22"/>
          <w:szCs w:val="22"/>
          <w:lang w:val="pl-PL"/>
        </w:rPr>
        <w:t>U struk</w:t>
      </w:r>
      <w:r w:rsidR="00D50847">
        <w:rPr>
          <w:sz w:val="22"/>
          <w:szCs w:val="22"/>
          <w:lang w:val="pl-PL"/>
        </w:rPr>
        <w:t>turi vodećih zaraznih oboljenja</w:t>
      </w:r>
      <w:r w:rsidRPr="00155F80">
        <w:rPr>
          <w:sz w:val="22"/>
          <w:szCs w:val="22"/>
          <w:lang w:val="pl-PL"/>
        </w:rPr>
        <w:t xml:space="preserve"> </w:t>
      </w:r>
      <w:r w:rsidRPr="00155F80">
        <w:rPr>
          <w:sz w:val="22"/>
          <w:szCs w:val="22"/>
          <w:lang w:val="sl-SI"/>
        </w:rPr>
        <w:t>nema bitnih izmjena u odnosu na prethodnu godinu.  Kao i svake godine i u 2015.</w:t>
      </w:r>
      <w:r w:rsidR="00CA5BC1">
        <w:rPr>
          <w:sz w:val="22"/>
          <w:szCs w:val="22"/>
          <w:lang w:val="sl-SI"/>
        </w:rPr>
        <w:t xml:space="preserve"> godini</w:t>
      </w:r>
      <w:r w:rsidRPr="00155F80">
        <w:rPr>
          <w:sz w:val="22"/>
          <w:szCs w:val="22"/>
          <w:lang w:val="sl-SI"/>
        </w:rPr>
        <w:t>, one imaju najveće u</w:t>
      </w:r>
      <w:r w:rsidR="00243A26">
        <w:rPr>
          <w:sz w:val="22"/>
          <w:szCs w:val="22"/>
          <w:lang w:val="sl-SI"/>
        </w:rPr>
        <w:t>dio</w:t>
      </w:r>
      <w:r w:rsidRPr="00155F80">
        <w:rPr>
          <w:sz w:val="22"/>
          <w:szCs w:val="22"/>
          <w:lang w:val="sl-SI"/>
        </w:rPr>
        <w:t xml:space="preserve"> u ukupnom morbiditetu od zarazanih bolesti (96,5%), nešto malo više nego u</w:t>
      </w:r>
      <w:r w:rsidRPr="00155F80">
        <w:rPr>
          <w:sz w:val="22"/>
          <w:szCs w:val="22"/>
          <w:lang w:val="pl-PL"/>
        </w:rPr>
        <w:t xml:space="preserve"> 2014. godini (95,73%). </w:t>
      </w:r>
    </w:p>
    <w:p w:rsidR="00284F26" w:rsidRPr="00155F80" w:rsidRDefault="00284F26" w:rsidP="000C0138">
      <w:pPr>
        <w:pStyle w:val="CommentText"/>
        <w:spacing w:line="276" w:lineRule="auto"/>
        <w:jc w:val="both"/>
        <w:rPr>
          <w:sz w:val="22"/>
          <w:szCs w:val="22"/>
          <w:lang w:val="sl-SI"/>
        </w:rPr>
      </w:pPr>
    </w:p>
    <w:p w:rsidR="00A131AD" w:rsidRDefault="00A131AD" w:rsidP="000C0138">
      <w:pPr>
        <w:spacing w:line="276" w:lineRule="auto"/>
        <w:rPr>
          <w:rFonts w:ascii="Times New Roman" w:hAnsi="Times New Roman"/>
          <w:lang w:val="pl-PL"/>
        </w:rPr>
      </w:pPr>
      <w:r w:rsidRPr="00155F80">
        <w:rPr>
          <w:rFonts w:ascii="Times New Roman" w:hAnsi="Times New Roman"/>
          <w:lang w:val="pl-PL"/>
        </w:rPr>
        <w:t xml:space="preserve">Među vodećim zaraznim bolestima najviše je onih iz grupe respiratornih zaraznih bolesti (gripa/bolesti slične gripi, varičele, streptokokna angina, TBC respiratornog </w:t>
      </w:r>
      <w:r w:rsidR="00512E30">
        <w:rPr>
          <w:rFonts w:ascii="Times New Roman" w:hAnsi="Times New Roman"/>
          <w:lang w:val="pl-PL"/>
        </w:rPr>
        <w:t>sistem</w:t>
      </w:r>
      <w:r w:rsidRPr="00155F80">
        <w:rPr>
          <w:rFonts w:ascii="Times New Roman" w:hAnsi="Times New Roman"/>
          <w:lang w:val="pl-PL"/>
        </w:rPr>
        <w:t>a, morbili, scarlatina i infektivna mononukleoza). Na visokom trećem mjestu je akutni enterokolitis, te petom mjestu skabijes.</w:t>
      </w: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76D53" w:rsidRDefault="00276D53"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A131AD" w:rsidRPr="00155F80" w:rsidRDefault="00A80006" w:rsidP="00EB7CC7">
      <w:pPr>
        <w:pStyle w:val="refererere"/>
        <w:rPr>
          <w:lang w:val="it-IT"/>
        </w:rPr>
      </w:pPr>
      <w:bookmarkStart w:id="29" w:name="_Toc453328504"/>
      <w:bookmarkStart w:id="30" w:name="_Toc453917694"/>
      <w:r>
        <w:rPr>
          <w:lang w:val="it-IT"/>
        </w:rPr>
        <w:t>Tabela</w:t>
      </w:r>
      <w:r w:rsidR="00A131AD" w:rsidRPr="00155F80">
        <w:rPr>
          <w:lang w:val="it-IT"/>
        </w:rPr>
        <w:t xml:space="preserve"> 7:  Deset  vodećih zaraznih bolesti u Federaciji BiH, 2015. i 2014.godina</w:t>
      </w:r>
      <w:bookmarkEnd w:id="29"/>
      <w:bookmarkEnd w:id="30"/>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25"/>
        <w:gridCol w:w="2040"/>
        <w:gridCol w:w="802"/>
        <w:gridCol w:w="1062"/>
        <w:gridCol w:w="521"/>
        <w:gridCol w:w="2065"/>
        <w:gridCol w:w="942"/>
        <w:gridCol w:w="1044"/>
      </w:tblGrid>
      <w:tr w:rsidR="00A131AD" w:rsidRPr="00155F80" w:rsidTr="00284F26">
        <w:trPr>
          <w:trHeight w:hRule="exact" w:val="350"/>
          <w:jc w:val="center"/>
        </w:trPr>
        <w:tc>
          <w:tcPr>
            <w:tcW w:w="4429"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284F26" w:rsidRDefault="00A131AD" w:rsidP="000C0138">
            <w:pPr>
              <w:pStyle w:val="NoSpacing"/>
              <w:spacing w:line="276" w:lineRule="auto"/>
              <w:jc w:val="center"/>
              <w:rPr>
                <w:b/>
                <w:sz w:val="20"/>
                <w:szCs w:val="20"/>
                <w:lang w:val="it-IT"/>
              </w:rPr>
            </w:pPr>
            <w:r w:rsidRPr="00284F26">
              <w:rPr>
                <w:b/>
                <w:sz w:val="20"/>
                <w:szCs w:val="20"/>
                <w:lang w:val="it-IT"/>
              </w:rPr>
              <w:t>2015.</w:t>
            </w:r>
          </w:p>
        </w:tc>
        <w:tc>
          <w:tcPr>
            <w:tcW w:w="4572"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284F26" w:rsidRDefault="00A131AD" w:rsidP="000C0138">
            <w:pPr>
              <w:pStyle w:val="NoSpacing"/>
              <w:spacing w:line="276" w:lineRule="auto"/>
              <w:jc w:val="center"/>
              <w:rPr>
                <w:b/>
                <w:sz w:val="20"/>
                <w:szCs w:val="20"/>
                <w:lang w:val="it-IT"/>
              </w:rPr>
            </w:pPr>
            <w:r w:rsidRPr="00284F26">
              <w:rPr>
                <w:b/>
                <w:sz w:val="20"/>
                <w:szCs w:val="20"/>
                <w:lang w:val="it-IT"/>
              </w:rPr>
              <w:t>2014.</w:t>
            </w:r>
          </w:p>
        </w:tc>
      </w:tr>
      <w:tr w:rsidR="00A131AD" w:rsidRPr="00155F80" w:rsidTr="00284F26">
        <w:trPr>
          <w:trHeight w:hRule="exact" w:val="1581"/>
          <w:jc w:val="center"/>
        </w:trPr>
        <w:tc>
          <w:tcPr>
            <w:tcW w:w="525"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       Rang</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r w:rsidRPr="00284F26">
              <w:rPr>
                <w:b/>
                <w:sz w:val="20"/>
                <w:szCs w:val="20"/>
                <w:lang w:val="it-IT"/>
              </w:rPr>
              <w:t>Bolest</w:t>
            </w:r>
          </w:p>
        </w:tc>
        <w:tc>
          <w:tcPr>
            <w:tcW w:w="80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Broj </w:t>
            </w:r>
            <w:r w:rsidR="00A80006">
              <w:rPr>
                <w:b/>
                <w:sz w:val="20"/>
                <w:szCs w:val="20"/>
                <w:lang w:val="it-IT"/>
              </w:rPr>
              <w:t>registrovanih</w:t>
            </w:r>
            <w:r w:rsidRPr="00284F26">
              <w:rPr>
                <w:b/>
                <w:sz w:val="20"/>
                <w:szCs w:val="20"/>
                <w:lang w:val="it-IT"/>
              </w:rPr>
              <w:t xml:space="preserve"> slučajeva</w:t>
            </w:r>
          </w:p>
        </w:tc>
        <w:tc>
          <w:tcPr>
            <w:tcW w:w="1060"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Mb/100</w:t>
            </w:r>
            <w:r w:rsidR="00D50847" w:rsidRPr="00284F26">
              <w:rPr>
                <w:b/>
                <w:sz w:val="20"/>
                <w:szCs w:val="20"/>
                <w:lang w:val="it-IT"/>
              </w:rPr>
              <w:t>.</w:t>
            </w:r>
            <w:r w:rsidRPr="00284F26">
              <w:rPr>
                <w:b/>
                <w:sz w:val="20"/>
                <w:szCs w:val="20"/>
                <w:lang w:val="it-IT"/>
              </w:rPr>
              <w:t>000</w:t>
            </w:r>
          </w:p>
        </w:tc>
        <w:tc>
          <w:tcPr>
            <w:tcW w:w="52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    Rang</w:t>
            </w:r>
          </w:p>
        </w:tc>
        <w:tc>
          <w:tcPr>
            <w:tcW w:w="2065"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r w:rsidRPr="00284F26">
              <w:rPr>
                <w:b/>
                <w:sz w:val="20"/>
                <w:szCs w:val="20"/>
                <w:lang w:val="it-IT"/>
              </w:rPr>
              <w:t>Bolest</w:t>
            </w:r>
          </w:p>
        </w:tc>
        <w:tc>
          <w:tcPr>
            <w:tcW w:w="94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Broj </w:t>
            </w:r>
            <w:r w:rsidR="00A80006">
              <w:rPr>
                <w:b/>
                <w:sz w:val="20"/>
                <w:szCs w:val="20"/>
                <w:lang w:val="it-IT"/>
              </w:rPr>
              <w:t>registrovanih</w:t>
            </w:r>
            <w:r w:rsidRPr="00284F26">
              <w:rPr>
                <w:b/>
                <w:sz w:val="20"/>
                <w:szCs w:val="20"/>
                <w:lang w:val="it-IT"/>
              </w:rPr>
              <w:t xml:space="preserve"> slučajeva</w:t>
            </w:r>
          </w:p>
        </w:tc>
        <w:tc>
          <w:tcPr>
            <w:tcW w:w="104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Mb/100</w:t>
            </w:r>
            <w:r w:rsidR="00D50847" w:rsidRPr="00284F26">
              <w:rPr>
                <w:b/>
                <w:sz w:val="20"/>
                <w:szCs w:val="20"/>
                <w:lang w:val="it-IT"/>
              </w:rPr>
              <w:t>.</w:t>
            </w:r>
            <w:r w:rsidRPr="00284F26">
              <w:rPr>
                <w:b/>
                <w:sz w:val="20"/>
                <w:szCs w:val="20"/>
                <w:lang w:val="it-IT"/>
              </w:rPr>
              <w:t>000</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ILI/ gripa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35048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1501,40</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ILI/ gripa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30658</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1312,01</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Varicellae</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6366</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272,71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Varicellae</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5350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228,95</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3</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Enterocolitis acuta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4653</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199,33</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Enterocolitis acuta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3500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149,78</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4</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Morbilli</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1677</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71,84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Morbilli</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3426</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146,62</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5</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Scabies</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1148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49,18</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Scabies</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1463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62,61</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6</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Herpes zoster</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904</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38,73</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Angina streptococcica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807</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34,54</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7</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 xml:space="preserve">TBC resp. </w:t>
            </w:r>
            <w:r w:rsidR="00512E30">
              <w:rPr>
                <w:sz w:val="20"/>
                <w:szCs w:val="20"/>
                <w:lang w:val="it-IT"/>
              </w:rPr>
              <w:t>sistem</w:t>
            </w:r>
            <w:r w:rsidRPr="00155F80">
              <w:rPr>
                <w:sz w:val="20"/>
                <w:szCs w:val="20"/>
                <w:lang w:val="it-IT"/>
              </w:rPr>
              <w:t>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664</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28,44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Herpes zoster</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791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33,85</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8</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Angina streptococcica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27,76</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8</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 xml:space="preserve">TBC resp. </w:t>
            </w:r>
            <w:r w:rsidR="00512E30">
              <w:rPr>
                <w:sz w:val="20"/>
                <w:szCs w:val="20"/>
                <w:lang w:val="it-IT"/>
              </w:rPr>
              <w:t>sistem</w:t>
            </w:r>
            <w:r w:rsidRPr="00155F80">
              <w:rPr>
                <w:sz w:val="20"/>
                <w:szCs w:val="20"/>
                <w:lang w:val="it-IT"/>
              </w:rPr>
              <w:t>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773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33,08</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9</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Scarlatina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606</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25,96</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9</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Scarlatina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525</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22,47</w:t>
            </w:r>
          </w:p>
        </w:tc>
      </w:tr>
      <w:tr w:rsidR="00A131AD" w:rsidRPr="00155F80" w:rsidTr="001911A6">
        <w:trPr>
          <w:trHeight w:hRule="exact" w:val="484"/>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10</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Salmonellosis</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439</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18,81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10</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Toxiinfectio alimentaris</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423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18,10</w:t>
            </w:r>
          </w:p>
        </w:tc>
      </w:tr>
    </w:tbl>
    <w:p w:rsidR="00284F26" w:rsidRDefault="00284F26" w:rsidP="000C0138">
      <w:pPr>
        <w:spacing w:line="276" w:lineRule="auto"/>
        <w:rPr>
          <w:rFonts w:ascii="Times New Roman" w:hAnsi="Times New Roman"/>
          <w:color w:val="000000"/>
          <w:shd w:val="clear" w:color="auto" w:fill="FFFFFF"/>
        </w:rPr>
      </w:pPr>
    </w:p>
    <w:p w:rsidR="00A131AD" w:rsidRPr="00155F80" w:rsidRDefault="00A131AD" w:rsidP="000C0138">
      <w:pPr>
        <w:spacing w:line="276" w:lineRule="auto"/>
        <w:rPr>
          <w:rFonts w:ascii="Times New Roman" w:hAnsi="Times New Roman"/>
          <w:lang w:val="sl-SI"/>
        </w:rPr>
      </w:pPr>
      <w:r w:rsidRPr="00155F80">
        <w:rPr>
          <w:rFonts w:ascii="Times New Roman" w:hAnsi="Times New Roman"/>
          <w:color w:val="000000"/>
          <w:shd w:val="clear" w:color="auto" w:fill="FFFFFF"/>
        </w:rPr>
        <w:t xml:space="preserve">Akutne respiratorne infekcije su najčešće infekcije modernog društva. U ovu grupu oboljenja svrstavaju se infekcije respiratornog </w:t>
      </w:r>
      <w:r w:rsidR="00512E30">
        <w:rPr>
          <w:rFonts w:ascii="Times New Roman" w:hAnsi="Times New Roman"/>
          <w:color w:val="000000"/>
          <w:shd w:val="clear" w:color="auto" w:fill="FFFFFF"/>
        </w:rPr>
        <w:t>sistem</w:t>
      </w:r>
      <w:r w:rsidR="006816BD">
        <w:rPr>
          <w:rFonts w:ascii="Times New Roman" w:hAnsi="Times New Roman"/>
          <w:color w:val="000000"/>
          <w:shd w:val="clear" w:color="auto" w:fill="FFFFFF"/>
        </w:rPr>
        <w:t>a</w:t>
      </w:r>
      <w:r w:rsidRPr="00155F80">
        <w:rPr>
          <w:rFonts w:ascii="Times New Roman" w:hAnsi="Times New Roman"/>
          <w:color w:val="000000"/>
          <w:shd w:val="clear" w:color="auto" w:fill="FFFFFF"/>
        </w:rPr>
        <w:t xml:space="preserve"> izazvane različitim mikroorganizmima, ali u najvećoj mjeri r</w:t>
      </w:r>
      <w:r w:rsidR="004B5A9E" w:rsidRPr="00155F80">
        <w:rPr>
          <w:rFonts w:ascii="Times New Roman" w:hAnsi="Times New Roman"/>
          <w:color w:val="000000"/>
          <w:shd w:val="clear" w:color="auto" w:fill="FFFFFF"/>
        </w:rPr>
        <w:t>ij</w:t>
      </w:r>
      <w:r w:rsidRPr="00155F80">
        <w:rPr>
          <w:rFonts w:ascii="Times New Roman" w:hAnsi="Times New Roman"/>
          <w:color w:val="000000"/>
          <w:shd w:val="clear" w:color="auto" w:fill="FFFFFF"/>
        </w:rPr>
        <w:t xml:space="preserve">eč je o virusnim infekcijama. Svake godine ova grupa oboljenja ima najveći </w:t>
      </w:r>
      <w:r w:rsidRPr="00155F80">
        <w:rPr>
          <w:rFonts w:ascii="Times New Roman" w:hAnsi="Times New Roman"/>
          <w:lang w:val="sl-SI"/>
        </w:rPr>
        <w:t xml:space="preserve"> udio u ukupnom obol</w:t>
      </w:r>
      <w:r w:rsidR="006816BD">
        <w:rPr>
          <w:rFonts w:ascii="Times New Roman" w:hAnsi="Times New Roman"/>
          <w:lang w:val="sl-SI"/>
        </w:rPr>
        <w:t>i</w:t>
      </w:r>
      <w:r w:rsidRPr="00155F80">
        <w:rPr>
          <w:rFonts w:ascii="Times New Roman" w:hAnsi="Times New Roman"/>
          <w:lang w:val="sl-SI"/>
        </w:rPr>
        <w:t>jevanju od zaraznih bolesti, tako u 2015. godini u ukupnoj strukturi zaraz</w:t>
      </w:r>
      <w:r w:rsidR="004B5A9E" w:rsidRPr="00155F80">
        <w:rPr>
          <w:rFonts w:ascii="Times New Roman" w:hAnsi="Times New Roman"/>
          <w:lang w:val="sl-SI"/>
        </w:rPr>
        <w:t>nih bolesti učestvuje sa 83,8%,</w:t>
      </w:r>
      <w:r w:rsidRPr="00155F80">
        <w:rPr>
          <w:rFonts w:ascii="Times New Roman" w:hAnsi="Times New Roman"/>
          <w:lang w:val="sl-SI"/>
        </w:rPr>
        <w:t xml:space="preserve"> nešto manje nego u 2014. godini (84,09%). </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Udio crijevnih zaraznih bolesti (10,23%) je veći nego 2014. godine (8,60%), dok je udio grupe oboljenja koja se klasificiraju kao Ostale zarazne bolesti, gotovo isti 3,2% u obje izvještajne godine. U 2015. godini je </w:t>
      </w:r>
      <w:r w:rsidR="00A80006">
        <w:rPr>
          <w:rFonts w:ascii="Times New Roman" w:hAnsi="Times New Roman"/>
          <w:lang w:val="sl-SI"/>
        </w:rPr>
        <w:t>registrovano</w:t>
      </w:r>
      <w:r w:rsidRPr="00155F80">
        <w:rPr>
          <w:rFonts w:ascii="Times New Roman" w:hAnsi="Times New Roman"/>
          <w:lang w:val="sl-SI"/>
        </w:rPr>
        <w:t xml:space="preserve"> manje parazitarnih bolesti (2,18%) nego prethodne godine (3,01%), prije svega zbog manjeg broja slučajeva skabijesa. </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Slijede antropozoonoze koje učestvuju sa 0,28%, koje, bez obzira na mali broj </w:t>
      </w:r>
      <w:r w:rsidR="00A80006">
        <w:rPr>
          <w:rFonts w:ascii="Times New Roman" w:hAnsi="Times New Roman"/>
          <w:lang w:val="sl-SI"/>
        </w:rPr>
        <w:t>registrovanih</w:t>
      </w:r>
      <w:r w:rsidR="004B5A9E" w:rsidRPr="00155F80">
        <w:rPr>
          <w:rFonts w:ascii="Times New Roman" w:hAnsi="Times New Roman"/>
          <w:lang w:val="sl-SI"/>
        </w:rPr>
        <w:t xml:space="preserve"> slučajeva, već dugo</w:t>
      </w:r>
      <w:r w:rsidRPr="00155F80">
        <w:rPr>
          <w:rFonts w:ascii="Times New Roman" w:hAnsi="Times New Roman"/>
          <w:lang w:val="sl-SI"/>
        </w:rPr>
        <w:t xml:space="preserve"> imaju ozbiljne posljedice </w:t>
      </w:r>
      <w:r w:rsidR="009E2387">
        <w:rPr>
          <w:rFonts w:ascii="Times New Roman" w:hAnsi="Times New Roman"/>
          <w:lang w:val="sl-SI"/>
        </w:rPr>
        <w:t xml:space="preserve">na javno zdravstvo i </w:t>
      </w:r>
      <w:r w:rsidR="00CB080B">
        <w:rPr>
          <w:rFonts w:ascii="Times New Roman" w:hAnsi="Times New Roman"/>
          <w:lang w:val="sl-SI"/>
        </w:rPr>
        <w:t>ekonomija</w:t>
      </w:r>
      <w:r w:rsidR="009E2387">
        <w:rPr>
          <w:rFonts w:ascii="Times New Roman" w:hAnsi="Times New Roman"/>
          <w:lang w:val="sl-SI"/>
        </w:rPr>
        <w:t xml:space="preserve"> </w:t>
      </w:r>
      <w:r w:rsidRPr="00155F80">
        <w:rPr>
          <w:rFonts w:ascii="Times New Roman" w:hAnsi="Times New Roman"/>
          <w:lang w:val="sl-SI"/>
        </w:rPr>
        <w:t>zemlje.</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Neznatan udio </w:t>
      </w:r>
      <w:r w:rsidR="00A80006">
        <w:rPr>
          <w:rFonts w:ascii="Times New Roman" w:hAnsi="Times New Roman"/>
          <w:lang w:val="sl-SI"/>
        </w:rPr>
        <w:t>registrovanih</w:t>
      </w:r>
      <w:r w:rsidRPr="00155F80">
        <w:rPr>
          <w:rFonts w:ascii="Times New Roman" w:hAnsi="Times New Roman"/>
          <w:lang w:val="sl-SI"/>
        </w:rPr>
        <w:t xml:space="preserve"> krvlju/spolno prenosivih zaraznih bolesti (0,25%) treba uzeti s rezervom (podprijavljivanje/stigmatizacija kao mogući problem).</w:t>
      </w:r>
    </w:p>
    <w:p w:rsidR="006816BD" w:rsidRPr="006816BD" w:rsidRDefault="004975B7" w:rsidP="004975B7">
      <w:pPr>
        <w:spacing w:line="276" w:lineRule="auto"/>
        <w:jc w:val="left"/>
        <w:rPr>
          <w:lang w:val="sl-SI"/>
        </w:rPr>
      </w:pPr>
      <w:r w:rsidRPr="00155F80">
        <w:rPr>
          <w:rFonts w:ascii="Times New Roman" w:hAnsi="Times New Roman"/>
          <w:noProof/>
          <w:lang w:eastAsia="en-GB"/>
        </w:rPr>
        <w:drawing>
          <wp:anchor distT="0" distB="0" distL="114300" distR="114300" simplePos="0" relativeHeight="251666944" behindDoc="0" locked="0" layoutInCell="1" allowOverlap="1" wp14:anchorId="75A6CBB2" wp14:editId="1AE16BF2">
            <wp:simplePos x="0" y="0"/>
            <wp:positionH relativeFrom="margin">
              <wp:posOffset>0</wp:posOffset>
            </wp:positionH>
            <wp:positionV relativeFrom="paragraph">
              <wp:posOffset>494730</wp:posOffset>
            </wp:positionV>
            <wp:extent cx="5521960" cy="2078990"/>
            <wp:effectExtent l="0" t="0" r="254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1960" cy="207899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F26">
        <w:rPr>
          <w:rFonts w:ascii="Times New Roman" w:hAnsi="Times New Roman"/>
          <w:noProof/>
          <w:lang w:eastAsia="en-GB"/>
        </w:rPr>
        <mc:AlternateContent>
          <mc:Choice Requires="wps">
            <w:drawing>
              <wp:anchor distT="0" distB="0" distL="114300" distR="114300" simplePos="0" relativeHeight="251663872" behindDoc="0" locked="0" layoutInCell="1" allowOverlap="1" wp14:anchorId="619A2952" wp14:editId="723029F8">
                <wp:simplePos x="0" y="0"/>
                <wp:positionH relativeFrom="margin">
                  <wp:posOffset>-95885</wp:posOffset>
                </wp:positionH>
                <wp:positionV relativeFrom="paragraph">
                  <wp:posOffset>425260</wp:posOffset>
                </wp:positionV>
                <wp:extent cx="5770880" cy="2238375"/>
                <wp:effectExtent l="0" t="0" r="20320" b="28575"/>
                <wp:wrapNone/>
                <wp:docPr id="51" name="Rectangle 51"/>
                <wp:cNvGraphicFramePr/>
                <a:graphic xmlns:a="http://schemas.openxmlformats.org/drawingml/2006/main">
                  <a:graphicData uri="http://schemas.microsoft.com/office/word/2010/wordprocessingShape">
                    <wps:wsp>
                      <wps:cNvSpPr/>
                      <wps:spPr>
                        <a:xfrm>
                          <a:off x="0" y="0"/>
                          <a:ext cx="5770880" cy="2238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2C4FA" id="Rectangle 51" o:spid="_x0000_s1026" style="position:absolute;margin-left:-7.55pt;margin-top:33.5pt;width:454.4pt;height:176.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" filled="f" strokecolor="black [3213]" strokeweight="1pt">
                <w10:wrap anchorx="margin"/>
              </v:rect>
            </w:pict>
          </mc:Fallback>
        </mc:AlternateContent>
      </w:r>
      <w:r w:rsidR="00284F26" w:rsidRPr="00155F80">
        <w:rPr>
          <w:lang w:val="sl-SI"/>
        </w:rPr>
        <w:t>Grafikon 44: Zarazne bolesti u Federaciji BiH, za period 2011.-2015. godina, prema putu pr</w:t>
      </w:r>
      <w:r w:rsidR="006816BD">
        <w:rPr>
          <w:lang w:val="sl-SI"/>
        </w:rPr>
        <w:t>ij</w:t>
      </w:r>
      <w:r w:rsidR="00284F26" w:rsidRPr="00155F80">
        <w:rPr>
          <w:lang w:val="sl-SI"/>
        </w:rPr>
        <w:t>enosa, indeks strukture</w:t>
      </w:r>
    </w:p>
    <w:p w:rsidR="00A131AD" w:rsidRPr="00155F80" w:rsidRDefault="00A131AD" w:rsidP="000C0138">
      <w:pPr>
        <w:spacing w:line="276" w:lineRule="auto"/>
        <w:jc w:val="center"/>
        <w:rPr>
          <w:rFonts w:ascii="Times New Roman" w:hAnsi="Times New Roman"/>
          <w:lang w:val="pl-PL"/>
        </w:rPr>
      </w:pP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Analizom podataka u proteklom petogodišnjem </w:t>
      </w:r>
      <w:r w:rsidR="00F70FD4">
        <w:rPr>
          <w:rFonts w:ascii="Times New Roman" w:hAnsi="Times New Roman"/>
          <w:lang w:val="sl-SI"/>
        </w:rPr>
        <w:t>periodu</w:t>
      </w:r>
      <w:r w:rsidRPr="00155F80">
        <w:rPr>
          <w:rFonts w:ascii="Times New Roman" w:hAnsi="Times New Roman"/>
          <w:lang w:val="sl-SI"/>
        </w:rPr>
        <w:t xml:space="preserve">, broj umrlih od zaraznih bolesti se kretao u rasponu od 37 (2013. godina) do 53 umrle osobe (2014. godina). </w:t>
      </w:r>
    </w:p>
    <w:p w:rsidR="00A131AD" w:rsidRPr="00155F80" w:rsidRDefault="00A131AD" w:rsidP="000C0138">
      <w:pPr>
        <w:spacing w:line="276" w:lineRule="auto"/>
        <w:rPr>
          <w:rFonts w:ascii="Times New Roman" w:hAnsi="Times New Roman"/>
          <w:b/>
          <w:lang w:val="sl-SI"/>
        </w:rPr>
      </w:pPr>
    </w:p>
    <w:p w:rsidR="00A131AD" w:rsidRPr="00155F80" w:rsidRDefault="00A80006" w:rsidP="00EB7CC7">
      <w:pPr>
        <w:pStyle w:val="refererere"/>
        <w:rPr>
          <w:lang w:val="sl-SI"/>
        </w:rPr>
      </w:pPr>
      <w:r>
        <w:rPr>
          <w:lang w:val="sl-SI"/>
        </w:rPr>
        <w:t>Tabela</w:t>
      </w:r>
      <w:r w:rsidR="00A131AD" w:rsidRPr="00155F80">
        <w:rPr>
          <w:lang w:val="sl-SI"/>
        </w:rPr>
        <w:t xml:space="preserve"> 8: Oboljeli/umrli od zaraznih bolesti u Federaciji BiH, po prijavama s terena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15"/>
        <w:gridCol w:w="1948"/>
        <w:gridCol w:w="1830"/>
        <w:gridCol w:w="1731"/>
        <w:gridCol w:w="1726"/>
      </w:tblGrid>
      <w:tr w:rsidR="00A131AD" w:rsidRPr="00D41A86" w:rsidTr="00D41A86">
        <w:trPr>
          <w:trHeight w:hRule="exact" w:val="362"/>
        </w:trPr>
        <w:tc>
          <w:tcPr>
            <w:tcW w:w="21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Godina</w:t>
            </w:r>
          </w:p>
        </w:tc>
        <w:tc>
          <w:tcPr>
            <w:tcW w:w="19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Broj oboljelih</w:t>
            </w:r>
          </w:p>
        </w:tc>
        <w:tc>
          <w:tcPr>
            <w:tcW w:w="18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Mb/100000</w:t>
            </w:r>
          </w:p>
        </w:tc>
        <w:tc>
          <w:tcPr>
            <w:tcW w:w="173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Broj umrlih</w:t>
            </w:r>
          </w:p>
        </w:tc>
        <w:tc>
          <w:tcPr>
            <w:tcW w:w="1726"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Mt/100000</w:t>
            </w:r>
          </w:p>
          <w:p w:rsidR="00A131AD" w:rsidRPr="00D41A86" w:rsidRDefault="00A131AD" w:rsidP="000C0138">
            <w:pPr>
              <w:spacing w:line="276" w:lineRule="auto"/>
              <w:jc w:val="center"/>
              <w:rPr>
                <w:rFonts w:ascii="Times New Roman" w:hAnsi="Times New Roman"/>
                <w:b/>
                <w:bCs/>
                <w:lang w:val="sl-SI"/>
              </w:rPr>
            </w:pP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2015.</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54064</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2316,02</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42</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1,79</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2014.</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49840</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2132,90</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53</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2,26</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2013.</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49375</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2112,57</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37</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1,45</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2012.</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53878</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2304,17</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51</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2,18</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2011.</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89731</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3837,50</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40</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1,71</w:t>
            </w:r>
          </w:p>
        </w:tc>
      </w:tr>
    </w:tbl>
    <w:p w:rsidR="00B4366E" w:rsidRDefault="00B4366E" w:rsidP="000C0138">
      <w:pPr>
        <w:autoSpaceDE w:val="0"/>
        <w:autoSpaceDN w:val="0"/>
        <w:adjustRightInd w:val="0"/>
        <w:spacing w:line="276" w:lineRule="auto"/>
        <w:outlineLvl w:val="0"/>
        <w:rPr>
          <w:rFonts w:ascii="Times New Roman" w:hAnsi="Times New Roman"/>
          <w:b/>
          <w:lang w:val="hr-BA" w:eastAsia="hr-BA"/>
        </w:rPr>
      </w:pPr>
      <w:bookmarkStart w:id="31" w:name="_Toc453328505"/>
      <w:bookmarkStart w:id="32" w:name="_Toc453917695"/>
    </w:p>
    <w:p w:rsidR="00CF430D" w:rsidRPr="004164E4" w:rsidRDefault="00A131AD" w:rsidP="004164E4">
      <w:pPr>
        <w:rPr>
          <w:rFonts w:ascii="Times New Roman" w:hAnsi="Times New Roman"/>
          <w:b/>
          <w:lang w:val="hr-BA" w:eastAsia="hr-BA"/>
        </w:rPr>
      </w:pPr>
      <w:bookmarkStart w:id="33" w:name="_Toc454797795"/>
      <w:bookmarkStart w:id="34" w:name="_Toc454799692"/>
      <w:bookmarkStart w:id="35" w:name="_Toc454803303"/>
      <w:r w:rsidRPr="004164E4">
        <w:rPr>
          <w:rFonts w:ascii="Times New Roman" w:hAnsi="Times New Roman"/>
          <w:b/>
          <w:lang w:val="hr-BA" w:eastAsia="hr-BA"/>
        </w:rPr>
        <w:t>G</w:t>
      </w:r>
      <w:bookmarkEnd w:id="31"/>
      <w:bookmarkEnd w:id="32"/>
      <w:r w:rsidR="00B560D0" w:rsidRPr="004164E4">
        <w:rPr>
          <w:rFonts w:ascii="Times New Roman" w:hAnsi="Times New Roman"/>
          <w:b/>
          <w:lang w:val="hr-BA" w:eastAsia="hr-BA"/>
        </w:rPr>
        <w:t>RIPA</w:t>
      </w:r>
      <w:bookmarkEnd w:id="33"/>
      <w:bookmarkEnd w:id="34"/>
      <w:bookmarkEnd w:id="35"/>
    </w:p>
    <w:p w:rsidR="00CF430D" w:rsidRPr="004164E4" w:rsidRDefault="00CF430D" w:rsidP="004164E4">
      <w:pPr>
        <w:spacing w:line="276" w:lineRule="auto"/>
        <w:rPr>
          <w:rFonts w:ascii="Times New Roman" w:hAnsi="Times New Roman"/>
          <w:lang w:val="hr-BA" w:eastAsia="hr-BA"/>
        </w:rPr>
      </w:pPr>
    </w:p>
    <w:p w:rsidR="00A131AD" w:rsidRPr="004164E4" w:rsidRDefault="00A131AD" w:rsidP="004164E4">
      <w:pPr>
        <w:spacing w:line="276" w:lineRule="auto"/>
        <w:rPr>
          <w:rFonts w:ascii="Times New Roman" w:hAnsi="Times New Roman"/>
          <w:lang w:eastAsia="bs-Latn-BA"/>
        </w:rPr>
      </w:pPr>
      <w:bookmarkStart w:id="36" w:name="_Toc453917696"/>
      <w:bookmarkStart w:id="37" w:name="_Toc454797080"/>
      <w:bookmarkStart w:id="38" w:name="_Toc454797796"/>
      <w:bookmarkStart w:id="39" w:name="_Toc454799693"/>
      <w:bookmarkStart w:id="40" w:name="_Toc454803304"/>
      <w:r w:rsidRPr="004164E4">
        <w:rPr>
          <w:rFonts w:ascii="Times New Roman" w:hAnsi="Times New Roman"/>
          <w:bCs/>
        </w:rPr>
        <w:t>Gripa uzrokuje znatan morbiditet i mortalitet svake godine</w:t>
      </w:r>
      <w:r w:rsidRPr="004164E4">
        <w:rPr>
          <w:rFonts w:ascii="Times New Roman" w:hAnsi="Times New Roman"/>
        </w:rPr>
        <w:t xml:space="preserve"> i na listi deset vodećih zaraznih oboljenja zauzima vodeće mjesto u svakoj izvještajnoj godini. </w:t>
      </w:r>
      <w:r w:rsidRPr="004164E4">
        <w:rPr>
          <w:rFonts w:ascii="Times New Roman" w:hAnsi="Times New Roman"/>
          <w:lang w:val="sr-Latn-BA"/>
        </w:rPr>
        <w:t xml:space="preserve">Stoga, praćenje kretanja gripe zauzima posebnu pažnju, </w:t>
      </w:r>
      <w:r w:rsidR="00C125EF">
        <w:rPr>
          <w:rFonts w:ascii="Times New Roman" w:hAnsi="Times New Roman"/>
          <w:lang w:val="sr-Latn-BA"/>
        </w:rPr>
        <w:t>osobito</w:t>
      </w:r>
      <w:r w:rsidRPr="004164E4">
        <w:rPr>
          <w:rFonts w:ascii="Times New Roman" w:hAnsi="Times New Roman"/>
          <w:lang w:val="sr-Latn-BA"/>
        </w:rPr>
        <w:t xml:space="preserve"> nakon pandemije 2009. godine. </w:t>
      </w:r>
      <w:r w:rsidRPr="004164E4">
        <w:rPr>
          <w:rFonts w:ascii="Times New Roman" w:hAnsi="Times New Roman"/>
        </w:rPr>
        <w:t xml:space="preserve">Kao jedan od odgovora na pandemiju gripe, 2009. godine u FBiH je bio redizajniran postojeći pasivni </w:t>
      </w:r>
      <w:r w:rsidR="00512E30">
        <w:rPr>
          <w:rFonts w:ascii="Times New Roman" w:hAnsi="Times New Roman"/>
        </w:rPr>
        <w:t>sistem</w:t>
      </w:r>
      <w:r w:rsidRPr="004164E4">
        <w:rPr>
          <w:rFonts w:ascii="Times New Roman" w:hAnsi="Times New Roman"/>
        </w:rPr>
        <w:t xml:space="preserve"> nadzora. Uveden je epidemiološki i bolnički nadzor nad </w:t>
      </w:r>
      <w:r w:rsidRPr="004164E4">
        <w:rPr>
          <w:rFonts w:ascii="Times New Roman" w:hAnsi="Times New Roman"/>
          <w:lang w:eastAsia="bs-Latn-BA"/>
        </w:rPr>
        <w:t>oboljenjima sličnim gripi (ILI), akutnim respiratornim infekcijama (ARI), kao i nadzor nad  teškim neobjašnjenim akutnim respiratornim bolestima (SARI) i  mortalitetom povezanim s gripom,  korištenjem standardnih definicija slučaja.</w:t>
      </w:r>
      <w:bookmarkEnd w:id="36"/>
      <w:bookmarkEnd w:id="37"/>
      <w:bookmarkEnd w:id="38"/>
      <w:bookmarkEnd w:id="39"/>
      <w:bookmarkEnd w:id="40"/>
    </w:p>
    <w:p w:rsidR="00B560D0" w:rsidRPr="004164E4" w:rsidRDefault="00B560D0" w:rsidP="004164E4">
      <w:pPr>
        <w:spacing w:line="276" w:lineRule="auto"/>
        <w:rPr>
          <w:rFonts w:ascii="Times New Roman" w:hAnsi="Times New Roman"/>
          <w:lang w:val="hr-BA" w:eastAsia="hr-BA"/>
        </w:rPr>
      </w:pPr>
    </w:p>
    <w:p w:rsidR="00A131AD" w:rsidRPr="004164E4" w:rsidRDefault="00A131AD" w:rsidP="004164E4">
      <w:pPr>
        <w:spacing w:line="276" w:lineRule="auto"/>
        <w:rPr>
          <w:rFonts w:ascii="Times New Roman" w:hAnsi="Times New Roman"/>
        </w:rPr>
      </w:pPr>
      <w:r w:rsidRPr="004164E4">
        <w:rPr>
          <w:rFonts w:ascii="Times New Roman" w:hAnsi="Times New Roman"/>
        </w:rPr>
        <w:t xml:space="preserve">Iskustva su pokazala da postoje problemi u prijavljivanju i lošem protoku podataka, te ukazala  na važnost uspostave integriranog nadzora utemeljenog na epidemiološkoj, kliničkoj i laboratorijskoj analizi. </w:t>
      </w:r>
      <w:r w:rsidRPr="004164E4">
        <w:rPr>
          <w:rFonts w:ascii="Times New Roman" w:hAnsi="Times New Roman"/>
          <w:lang w:eastAsia="bs-Latn-BA"/>
        </w:rPr>
        <w:t xml:space="preserve">Iskustva s pandemijom (2009/2010), kao i međunarodne inicijative (2002 globalne smjernice o nadzoru i kontroli gripe WHO, IHR 2005)  su kao jednu od  prioritetnih aktivnosti svake zemlje definirale korištenje više vrsta nadzora nad gripom i jačanje </w:t>
      </w:r>
      <w:r w:rsidR="00512E30">
        <w:rPr>
          <w:rFonts w:ascii="Times New Roman" w:hAnsi="Times New Roman"/>
          <w:lang w:eastAsia="bs-Latn-BA"/>
        </w:rPr>
        <w:t>sistem</w:t>
      </w:r>
      <w:r w:rsidR="00C125EF">
        <w:rPr>
          <w:rFonts w:ascii="Times New Roman" w:hAnsi="Times New Roman"/>
          <w:lang w:eastAsia="bs-Latn-BA"/>
        </w:rPr>
        <w:t>a</w:t>
      </w:r>
      <w:r w:rsidRPr="004164E4">
        <w:rPr>
          <w:rFonts w:ascii="Times New Roman" w:hAnsi="Times New Roman"/>
          <w:lang w:eastAsia="bs-Latn-BA"/>
        </w:rPr>
        <w:t xml:space="preserve"> nadzora</w:t>
      </w:r>
      <w:r w:rsidRPr="004164E4">
        <w:rPr>
          <w:rFonts w:ascii="Times New Roman" w:hAnsi="Times New Roman"/>
        </w:rPr>
        <w:t>.</w:t>
      </w:r>
    </w:p>
    <w:p w:rsidR="00B560D0" w:rsidRPr="004164E4" w:rsidRDefault="00B560D0" w:rsidP="004164E4">
      <w:pPr>
        <w:spacing w:line="276" w:lineRule="auto"/>
        <w:rPr>
          <w:rFonts w:ascii="Times New Roman" w:hAnsi="Times New Roman"/>
        </w:rPr>
      </w:pPr>
    </w:p>
    <w:p w:rsidR="00A131AD" w:rsidRPr="004164E4" w:rsidRDefault="00A131AD" w:rsidP="004164E4">
      <w:pPr>
        <w:spacing w:line="276" w:lineRule="auto"/>
        <w:rPr>
          <w:rFonts w:ascii="Times New Roman" w:hAnsi="Times New Roman"/>
          <w:color w:val="000000"/>
        </w:rPr>
      </w:pPr>
      <w:r w:rsidRPr="004164E4">
        <w:rPr>
          <w:rFonts w:ascii="Times New Roman" w:hAnsi="Times New Roman"/>
        </w:rPr>
        <w:t>Kako bi osigurali bolj</w:t>
      </w:r>
      <w:r w:rsidR="00C125EF">
        <w:rPr>
          <w:rFonts w:ascii="Times New Roman" w:hAnsi="Times New Roman"/>
        </w:rPr>
        <w:t>u</w:t>
      </w:r>
      <w:r w:rsidRPr="004164E4">
        <w:rPr>
          <w:rFonts w:ascii="Times New Roman" w:hAnsi="Times New Roman"/>
        </w:rPr>
        <w:t xml:space="preserve"> kvalitet</w:t>
      </w:r>
      <w:r w:rsidR="00C125EF">
        <w:rPr>
          <w:rFonts w:ascii="Times New Roman" w:hAnsi="Times New Roman"/>
        </w:rPr>
        <w:t>u</w:t>
      </w:r>
      <w:r w:rsidRPr="004164E4">
        <w:rPr>
          <w:rFonts w:ascii="Times New Roman" w:hAnsi="Times New Roman"/>
        </w:rPr>
        <w:t xml:space="preserve"> podataka i</w:t>
      </w:r>
      <w:r w:rsidRPr="004164E4">
        <w:rPr>
          <w:rFonts w:ascii="Times New Roman" w:hAnsi="Times New Roman"/>
          <w:color w:val="000000"/>
        </w:rPr>
        <w:t xml:space="preserve"> u potpunosti </w:t>
      </w:r>
      <w:r w:rsidR="00C125EF">
        <w:rPr>
          <w:rFonts w:ascii="Times New Roman" w:hAnsi="Times New Roman"/>
          <w:color w:val="000000"/>
        </w:rPr>
        <w:t>sudjelovali</w:t>
      </w:r>
      <w:r w:rsidRPr="004164E4">
        <w:rPr>
          <w:rFonts w:ascii="Times New Roman" w:hAnsi="Times New Roman"/>
          <w:color w:val="000000"/>
        </w:rPr>
        <w:t xml:space="preserve"> u WHO globalnom </w:t>
      </w:r>
      <w:r w:rsidR="00512E30">
        <w:rPr>
          <w:rFonts w:ascii="Times New Roman" w:hAnsi="Times New Roman"/>
          <w:color w:val="000000"/>
        </w:rPr>
        <w:t>sistem</w:t>
      </w:r>
      <w:r w:rsidR="00C125EF">
        <w:rPr>
          <w:rFonts w:ascii="Times New Roman" w:hAnsi="Times New Roman"/>
          <w:color w:val="000000"/>
        </w:rPr>
        <w:t xml:space="preserve">u </w:t>
      </w:r>
      <w:r w:rsidRPr="004164E4">
        <w:rPr>
          <w:rFonts w:ascii="Times New Roman" w:hAnsi="Times New Roman"/>
          <w:color w:val="000000"/>
        </w:rPr>
        <w:t xml:space="preserve">nadzora i odgovoru  na influencu </w:t>
      </w:r>
      <w:r w:rsidRPr="004164E4">
        <w:rPr>
          <w:rFonts w:ascii="Times New Roman" w:hAnsi="Times New Roman"/>
        </w:rPr>
        <w:t xml:space="preserve">(GISRS), </w:t>
      </w:r>
      <w:r w:rsidRPr="004164E4">
        <w:rPr>
          <w:rFonts w:ascii="Times New Roman" w:hAnsi="Times New Roman"/>
          <w:bCs/>
        </w:rPr>
        <w:t>u sezoni 2014/2015, r</w:t>
      </w:r>
      <w:r w:rsidRPr="004164E4">
        <w:rPr>
          <w:rFonts w:ascii="Times New Roman" w:hAnsi="Times New Roman"/>
          <w:lang w:val="sr-Latn-BA"/>
        </w:rPr>
        <w:t xml:space="preserve">utinski nadzor upotpunjen je sentinel nadzorom </w:t>
      </w:r>
      <w:r w:rsidRPr="004164E4">
        <w:rPr>
          <w:rStyle w:val="Strong"/>
          <w:b w:val="0"/>
          <w:bCs w:val="0"/>
        </w:rPr>
        <w:t>nad oboljenjima sličnim gripi (ILI), akutnim respiratornim infekcijama (ARI), teškim akutnim respiratornim infekcijama (SARI), i mortalitetom vezanim za gripu. Kao sentinel mjesto za nadzor ILI/influenza (simptomi slični gripi/gripa) određen je Dom zdravlja Novi Grad</w:t>
      </w:r>
      <w:r w:rsidR="009E2387" w:rsidRPr="004164E4">
        <w:rPr>
          <w:rStyle w:val="Strong"/>
          <w:b w:val="0"/>
          <w:bCs w:val="0"/>
        </w:rPr>
        <w:t xml:space="preserve"> Sarajevo</w:t>
      </w:r>
      <w:r w:rsidRPr="004164E4">
        <w:rPr>
          <w:rStyle w:val="Strong"/>
          <w:b w:val="0"/>
          <w:bCs w:val="0"/>
        </w:rPr>
        <w:t>, a za nadzor SARI (teških respiratornih infekcija), UKC Sarajevo, sa učešćem i UKC Tuzla.</w:t>
      </w:r>
      <w:r w:rsidR="009E2387" w:rsidRPr="004164E4">
        <w:rPr>
          <w:rStyle w:val="Strong"/>
          <w:b w:val="0"/>
          <w:bCs w:val="0"/>
        </w:rPr>
        <w:t xml:space="preserve"> </w:t>
      </w:r>
      <w:r w:rsidR="009E2387" w:rsidRPr="004164E4">
        <w:rPr>
          <w:rFonts w:ascii="Times New Roman" w:hAnsi="Times New Roman"/>
          <w:color w:val="000000"/>
        </w:rPr>
        <w:t>Cilj unapr</w:t>
      </w:r>
      <w:r w:rsidRPr="004164E4">
        <w:rPr>
          <w:rFonts w:ascii="Times New Roman" w:hAnsi="Times New Roman"/>
          <w:color w:val="000000"/>
        </w:rPr>
        <w:t>eđenja nadzora nad gripom je da se razviju epidemiološki, klinički i virusološki  kapaciteti, da  se  otkriju i prate promjene influenca virusa, otkriju visoko patogeni virusi, identifiraju sindromi ozbiljne respiratorne bolesti, kao i da se izgrade kapaciteti za odgovor na epidemiju/pandemiju.</w:t>
      </w:r>
    </w:p>
    <w:p w:rsidR="00B560D0" w:rsidRPr="004164E4" w:rsidRDefault="00B560D0" w:rsidP="004164E4">
      <w:pPr>
        <w:spacing w:line="276" w:lineRule="auto"/>
        <w:rPr>
          <w:rFonts w:ascii="Times New Roman" w:hAnsi="Times New Roman"/>
          <w:color w:val="000000"/>
        </w:rPr>
      </w:pPr>
    </w:p>
    <w:p w:rsidR="00284F26" w:rsidRPr="004164E4" w:rsidRDefault="00A131AD" w:rsidP="004164E4">
      <w:pPr>
        <w:spacing w:line="276" w:lineRule="auto"/>
        <w:rPr>
          <w:rFonts w:ascii="Times New Roman" w:hAnsi="Times New Roman"/>
          <w:lang w:val="bs-Latn-BA" w:eastAsia="bs-Latn-BA"/>
        </w:rPr>
      </w:pPr>
      <w:r w:rsidRPr="004164E4">
        <w:rPr>
          <w:rFonts w:ascii="Times New Roman" w:hAnsi="Times New Roman"/>
        </w:rPr>
        <w:t xml:space="preserve">Od 2009. godine, kretanje gripe u Federaciji BiH analizira se po sezonama.Najveća aktivnost gripe u posljednjih 5 sezona gripe, registrirana je u sezoni,  2012/2013.  </w:t>
      </w:r>
    </w:p>
    <w:p w:rsidR="00284F26" w:rsidRPr="004164E4" w:rsidRDefault="00284F26"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4164E4" w:rsidRDefault="004164E4" w:rsidP="00EB7CC7">
      <w:pPr>
        <w:pStyle w:val="refererere"/>
        <w:rPr>
          <w:lang w:val="bs-Latn-BA" w:eastAsia="bs-Latn-BA"/>
        </w:rPr>
      </w:pPr>
    </w:p>
    <w:p w:rsidR="004164E4" w:rsidRDefault="004164E4" w:rsidP="00EB7CC7">
      <w:pPr>
        <w:pStyle w:val="refererere"/>
        <w:rPr>
          <w:lang w:val="bs-Latn-BA" w:eastAsia="bs-Latn-BA"/>
        </w:rPr>
      </w:pPr>
    </w:p>
    <w:p w:rsidR="00A131AD" w:rsidRPr="00155F80" w:rsidRDefault="00A131AD" w:rsidP="00EB7CC7">
      <w:pPr>
        <w:pStyle w:val="refererere"/>
        <w:rPr>
          <w:lang w:val="bs-Latn-BA" w:eastAsia="bs-Latn-BA"/>
        </w:rPr>
      </w:pPr>
      <w:r w:rsidRPr="00155F80">
        <w:rPr>
          <w:lang w:val="bs-Latn-BA" w:eastAsia="bs-Latn-BA"/>
        </w:rPr>
        <w:t xml:space="preserve">Grafikon 45: Kretanje ILI </w:t>
      </w:r>
      <w:r w:rsidR="00CF430D" w:rsidRPr="00155F80">
        <w:rPr>
          <w:lang w:val="bs-Latn-BA" w:eastAsia="bs-Latn-BA"/>
        </w:rPr>
        <w:t xml:space="preserve">u Federaciji BiH </w:t>
      </w:r>
      <w:r w:rsidR="00CF430D">
        <w:rPr>
          <w:lang w:val="bs-Latn-BA" w:eastAsia="bs-Latn-BA"/>
        </w:rPr>
        <w:t xml:space="preserve">za </w:t>
      </w:r>
      <w:r w:rsidR="00F70FD4">
        <w:rPr>
          <w:lang w:val="bs-Latn-BA" w:eastAsia="bs-Latn-BA"/>
        </w:rPr>
        <w:t>period</w:t>
      </w:r>
      <w:r w:rsidR="00CF430D">
        <w:rPr>
          <w:lang w:val="bs-Latn-BA" w:eastAsia="bs-Latn-BA"/>
        </w:rPr>
        <w:t xml:space="preserve"> 2010.-2015. godina </w:t>
      </w:r>
      <w:r w:rsidRPr="00155F80">
        <w:rPr>
          <w:lang w:val="bs-Latn-BA" w:eastAsia="bs-Latn-BA"/>
        </w:rPr>
        <w:t>po sezonama</w:t>
      </w:r>
      <w:r w:rsidR="00CF430D">
        <w:rPr>
          <w:lang w:val="bs-Latn-BA" w:eastAsia="bs-Latn-BA"/>
        </w:rPr>
        <w:t xml:space="preserve">, </w:t>
      </w:r>
      <w:r w:rsidRPr="00155F80">
        <w:rPr>
          <w:lang w:val="bs-Latn-BA" w:eastAsia="bs-Latn-BA"/>
        </w:rPr>
        <w:t>stopa mo</w:t>
      </w:r>
      <w:r w:rsidR="00CF430D">
        <w:rPr>
          <w:lang w:val="bs-Latn-BA" w:eastAsia="bs-Latn-BA"/>
        </w:rPr>
        <w:t>rbiditeta na 100.000 stanovnika</w:t>
      </w:r>
    </w:p>
    <w:p w:rsidR="00A131AD" w:rsidRPr="00155F80" w:rsidRDefault="00A131AD" w:rsidP="000C0138">
      <w:pPr>
        <w:autoSpaceDE w:val="0"/>
        <w:autoSpaceDN w:val="0"/>
        <w:adjustRightInd w:val="0"/>
        <w:spacing w:line="276" w:lineRule="auto"/>
        <w:rPr>
          <w:rFonts w:ascii="Times New Roman" w:hAnsi="Times New Roman"/>
          <w:lang w:val="hr-HR"/>
        </w:rPr>
      </w:pPr>
      <w:r w:rsidRPr="00155F80">
        <w:rPr>
          <w:rFonts w:ascii="Times New Roman" w:hAnsi="Times New Roman"/>
          <w:noProof/>
          <w:lang w:eastAsia="en-GB"/>
        </w:rPr>
        <mc:AlternateContent>
          <mc:Choice Requires="wps">
            <w:drawing>
              <wp:anchor distT="0" distB="0" distL="114300" distR="114300" simplePos="0" relativeHeight="251648512" behindDoc="0" locked="0" layoutInCell="1" allowOverlap="1" wp14:anchorId="15833542" wp14:editId="659EE51D">
                <wp:simplePos x="0" y="0"/>
                <wp:positionH relativeFrom="margin">
                  <wp:posOffset>372414</wp:posOffset>
                </wp:positionH>
                <wp:positionV relativeFrom="paragraph">
                  <wp:posOffset>1528390</wp:posOffset>
                </wp:positionV>
                <wp:extent cx="5184250" cy="32136"/>
                <wp:effectExtent l="0" t="0" r="35560" b="2540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4250" cy="32136"/>
                        </a:xfrm>
                        <a:prstGeom prst="line">
                          <a:avLst/>
                        </a:prstGeom>
                        <a:noFill/>
                        <a:ln w="254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60F98" id="Straight Connector 28"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3pt,120.35pt" to="437.5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" strokecolor="red" strokeweight="2pt">
                <o:lock v:ext="edit" shapetype="f"/>
                <w10:wrap anchorx="margin"/>
              </v:line>
            </w:pict>
          </mc:Fallback>
        </mc:AlternateContent>
      </w:r>
      <w:r w:rsidRPr="00155F80">
        <w:rPr>
          <w:rFonts w:ascii="Times New Roman" w:hAnsi="Times New Roman"/>
          <w:noProof/>
          <w:lang w:eastAsia="en-GB"/>
        </w:rPr>
        <w:drawing>
          <wp:inline distT="0" distB="0" distL="0" distR="0" wp14:anchorId="1BC875F5" wp14:editId="74620B79">
            <wp:extent cx="5657850" cy="2196935"/>
            <wp:effectExtent l="0" t="0" r="0" b="0"/>
            <wp:docPr id="25" name="Picture 25" descr="cid:image001.png@01D16E1D.D4458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16E1D.D4458D90"/>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5667945" cy="2200855"/>
                    </a:xfrm>
                    <a:prstGeom prst="rect">
                      <a:avLst/>
                    </a:prstGeom>
                    <a:noFill/>
                    <a:ln>
                      <a:noFill/>
                    </a:ln>
                  </pic:spPr>
                </pic:pic>
              </a:graphicData>
            </a:graphic>
          </wp:inline>
        </w:drawing>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 </w:t>
      </w:r>
    </w:p>
    <w:p w:rsidR="00A131AD" w:rsidRPr="004164E4" w:rsidRDefault="00A131AD" w:rsidP="004164E4">
      <w:pPr>
        <w:spacing w:line="276" w:lineRule="auto"/>
        <w:rPr>
          <w:rFonts w:ascii="Times New Roman" w:hAnsi="Times New Roman"/>
          <w:u w:val="single"/>
        </w:rPr>
      </w:pPr>
      <w:r w:rsidRPr="004164E4">
        <w:rPr>
          <w:rFonts w:ascii="Times New Roman" w:hAnsi="Times New Roman"/>
        </w:rPr>
        <w:t>U sezoni 2</w:t>
      </w:r>
      <w:r w:rsidR="009E2387" w:rsidRPr="004164E4">
        <w:rPr>
          <w:rFonts w:ascii="Times New Roman" w:hAnsi="Times New Roman"/>
        </w:rPr>
        <w:t xml:space="preserve">014/15., prema </w:t>
      </w:r>
      <w:r w:rsidR="002B489B">
        <w:rPr>
          <w:rFonts w:ascii="Times New Roman" w:hAnsi="Times New Roman"/>
        </w:rPr>
        <w:t>podaci</w:t>
      </w:r>
      <w:r w:rsidR="009E2387" w:rsidRPr="004164E4">
        <w:rPr>
          <w:rFonts w:ascii="Times New Roman" w:hAnsi="Times New Roman"/>
        </w:rPr>
        <w:t xml:space="preserve">ma </w:t>
      </w:r>
      <w:r w:rsidR="00F0369C">
        <w:rPr>
          <w:rFonts w:ascii="Times New Roman" w:hAnsi="Times New Roman"/>
        </w:rPr>
        <w:t>sedmično</w:t>
      </w:r>
      <w:r w:rsidR="00C861DA">
        <w:rPr>
          <w:rFonts w:ascii="Times New Roman" w:hAnsi="Times New Roman"/>
        </w:rPr>
        <w:t>g</w:t>
      </w:r>
      <w:r w:rsidRPr="004164E4">
        <w:rPr>
          <w:rFonts w:ascii="Times New Roman" w:hAnsi="Times New Roman"/>
        </w:rPr>
        <w:t xml:space="preserve"> nadzora (od </w:t>
      </w:r>
      <w:r w:rsidR="009E2387" w:rsidRPr="004164E4">
        <w:rPr>
          <w:rFonts w:ascii="Times New Roman" w:hAnsi="Times New Roman"/>
        </w:rPr>
        <w:t xml:space="preserve">40. </w:t>
      </w:r>
      <w:r w:rsidR="00C125EF">
        <w:rPr>
          <w:rFonts w:ascii="Times New Roman" w:hAnsi="Times New Roman"/>
        </w:rPr>
        <w:t>tjedna</w:t>
      </w:r>
      <w:r w:rsidR="009E2387" w:rsidRPr="004164E4">
        <w:rPr>
          <w:rFonts w:ascii="Times New Roman" w:hAnsi="Times New Roman"/>
        </w:rPr>
        <w:t xml:space="preserve">, 2014.-20 </w:t>
      </w:r>
      <w:r w:rsidR="00C125EF">
        <w:rPr>
          <w:rFonts w:ascii="Times New Roman" w:hAnsi="Times New Roman"/>
        </w:rPr>
        <w:t>tjedna</w:t>
      </w:r>
      <w:r w:rsidRPr="004164E4">
        <w:rPr>
          <w:rFonts w:ascii="Times New Roman" w:hAnsi="Times New Roman"/>
        </w:rPr>
        <w:t>, 2015.god</w:t>
      </w:r>
      <w:r w:rsidR="002053DE" w:rsidRPr="004164E4">
        <w:rPr>
          <w:rFonts w:ascii="Times New Roman" w:hAnsi="Times New Roman"/>
        </w:rPr>
        <w:t>ine), prijavljeno je ukupno 37.</w:t>
      </w:r>
      <w:r w:rsidRPr="004164E4">
        <w:rPr>
          <w:rFonts w:ascii="Times New Roman" w:hAnsi="Times New Roman"/>
        </w:rPr>
        <w:t>435 slučajeva oboljenja sličnih gripi</w:t>
      </w:r>
      <w:r w:rsidR="002053DE" w:rsidRPr="004164E4">
        <w:rPr>
          <w:rFonts w:ascii="Times New Roman" w:hAnsi="Times New Roman"/>
        </w:rPr>
        <w:t xml:space="preserve"> </w:t>
      </w:r>
      <w:r w:rsidRPr="004164E4">
        <w:rPr>
          <w:rFonts w:ascii="Times New Roman" w:hAnsi="Times New Roman"/>
        </w:rPr>
        <w:t>(ILI), odnosno gripe (Morbiditet; 1</w:t>
      </w:r>
      <w:r w:rsidR="009E2387" w:rsidRPr="004164E4">
        <w:rPr>
          <w:rFonts w:ascii="Times New Roman" w:hAnsi="Times New Roman"/>
        </w:rPr>
        <w:t>.</w:t>
      </w:r>
      <w:r w:rsidRPr="004164E4">
        <w:rPr>
          <w:rFonts w:ascii="Times New Roman" w:hAnsi="Times New Roman"/>
        </w:rPr>
        <w:t>603,2/100</w:t>
      </w:r>
      <w:r w:rsidR="009E2387" w:rsidRPr="004164E4">
        <w:rPr>
          <w:rFonts w:ascii="Times New Roman" w:hAnsi="Times New Roman"/>
        </w:rPr>
        <w:t>.</w:t>
      </w:r>
      <w:r w:rsidRPr="004164E4">
        <w:rPr>
          <w:rFonts w:ascii="Times New Roman" w:hAnsi="Times New Roman"/>
        </w:rPr>
        <w:t>000 stanovnika). Vrhunac aktivnos</w:t>
      </w:r>
      <w:r w:rsidR="009E2387" w:rsidRPr="004164E4">
        <w:rPr>
          <w:rFonts w:ascii="Times New Roman" w:hAnsi="Times New Roman"/>
        </w:rPr>
        <w:t>ti influence je bio u 4</w:t>
      </w:r>
      <w:r w:rsidR="00C125EF">
        <w:rPr>
          <w:rFonts w:ascii="Times New Roman" w:hAnsi="Times New Roman"/>
        </w:rPr>
        <w:t>.</w:t>
      </w:r>
      <w:r w:rsidR="009E2387" w:rsidRPr="004164E4">
        <w:rPr>
          <w:rFonts w:ascii="Times New Roman" w:hAnsi="Times New Roman"/>
        </w:rPr>
        <w:t xml:space="preserve"> </w:t>
      </w:r>
      <w:r w:rsidR="00C125EF">
        <w:rPr>
          <w:rFonts w:ascii="Times New Roman" w:hAnsi="Times New Roman"/>
        </w:rPr>
        <w:t>tjednu</w:t>
      </w:r>
      <w:r w:rsidRPr="004164E4">
        <w:rPr>
          <w:rFonts w:ascii="Times New Roman" w:hAnsi="Times New Roman"/>
        </w:rPr>
        <w:t xml:space="preserve"> 2015</w:t>
      </w:r>
      <w:r w:rsidR="002053DE" w:rsidRPr="004164E4">
        <w:rPr>
          <w:rFonts w:ascii="Times New Roman" w:hAnsi="Times New Roman"/>
        </w:rPr>
        <w:t>.</w:t>
      </w:r>
      <w:r w:rsidRPr="004164E4">
        <w:rPr>
          <w:rFonts w:ascii="Times New Roman" w:hAnsi="Times New Roman"/>
        </w:rPr>
        <w:t xml:space="preserve"> godine (kraj </w:t>
      </w:r>
      <w:r w:rsidR="00C125EF">
        <w:rPr>
          <w:rFonts w:ascii="Times New Roman" w:hAnsi="Times New Roman"/>
        </w:rPr>
        <w:t>siječnja</w:t>
      </w:r>
      <w:r w:rsidRPr="004164E4">
        <w:rPr>
          <w:rFonts w:ascii="Times New Roman" w:hAnsi="Times New Roman"/>
        </w:rPr>
        <w:t xml:space="preserve"> i početak </w:t>
      </w:r>
      <w:r w:rsidR="00C125EF">
        <w:rPr>
          <w:rFonts w:ascii="Times New Roman" w:hAnsi="Times New Roman"/>
        </w:rPr>
        <w:t>veljače</w:t>
      </w:r>
      <w:r w:rsidRPr="004164E4">
        <w:rPr>
          <w:rFonts w:ascii="Times New Roman" w:hAnsi="Times New Roman"/>
        </w:rPr>
        <w:t>, sa najvećim p</w:t>
      </w:r>
      <w:r w:rsidR="00C125EF">
        <w:rPr>
          <w:rFonts w:ascii="Times New Roman" w:hAnsi="Times New Roman"/>
        </w:rPr>
        <w:t>rocentom</w:t>
      </w:r>
      <w:r w:rsidRPr="004164E4">
        <w:rPr>
          <w:rFonts w:ascii="Times New Roman" w:hAnsi="Times New Roman"/>
        </w:rPr>
        <w:t xml:space="preserve"> pozitivnih uzoraka testiranih na virus gripe u tom </w:t>
      </w:r>
      <w:r w:rsidR="00F70FD4">
        <w:rPr>
          <w:rFonts w:ascii="Times New Roman" w:hAnsi="Times New Roman"/>
        </w:rPr>
        <w:t>periodu</w:t>
      </w:r>
      <w:r w:rsidRPr="004164E4">
        <w:rPr>
          <w:rFonts w:ascii="Times New Roman" w:hAnsi="Times New Roman"/>
        </w:rPr>
        <w:t>).</w:t>
      </w:r>
    </w:p>
    <w:p w:rsidR="00A131AD" w:rsidRPr="004164E4" w:rsidRDefault="00A131AD" w:rsidP="004164E4">
      <w:pPr>
        <w:spacing w:line="276" w:lineRule="auto"/>
        <w:rPr>
          <w:rFonts w:ascii="Times New Roman" w:hAnsi="Times New Roman"/>
          <w:color w:val="FF0000"/>
        </w:rPr>
      </w:pPr>
      <w:r w:rsidRPr="004164E4">
        <w:rPr>
          <w:rFonts w:ascii="Times New Roman" w:hAnsi="Times New Roman"/>
        </w:rPr>
        <w:t>Aktivnost gripe u sezoni 2014/2015. započel</w:t>
      </w:r>
      <w:r w:rsidR="009E2387" w:rsidRPr="004164E4">
        <w:rPr>
          <w:rFonts w:ascii="Times New Roman" w:hAnsi="Times New Roman"/>
        </w:rPr>
        <w:t xml:space="preserve">a posljednjih nekoliko </w:t>
      </w:r>
      <w:r w:rsidR="00F0369C">
        <w:rPr>
          <w:rFonts w:ascii="Times New Roman" w:hAnsi="Times New Roman"/>
        </w:rPr>
        <w:t>sedmica</w:t>
      </w:r>
      <w:r w:rsidR="00C125EF">
        <w:rPr>
          <w:rFonts w:ascii="Times New Roman" w:hAnsi="Times New Roman"/>
        </w:rPr>
        <w:t>a</w:t>
      </w:r>
      <w:r w:rsidRPr="004164E4">
        <w:rPr>
          <w:rFonts w:ascii="Times New Roman" w:hAnsi="Times New Roman"/>
        </w:rPr>
        <w:t>, 201</w:t>
      </w:r>
      <w:r w:rsidR="009E2387" w:rsidRPr="004164E4">
        <w:rPr>
          <w:rFonts w:ascii="Times New Roman" w:hAnsi="Times New Roman"/>
        </w:rPr>
        <w:t xml:space="preserve">4. godine. Aktivnost  je rasla od </w:t>
      </w:r>
      <w:r w:rsidR="00C125EF">
        <w:rPr>
          <w:rFonts w:ascii="Times New Roman" w:hAnsi="Times New Roman"/>
        </w:rPr>
        <w:t>prosinca</w:t>
      </w:r>
      <w:r w:rsidRPr="004164E4">
        <w:rPr>
          <w:rFonts w:ascii="Times New Roman" w:hAnsi="Times New Roman"/>
        </w:rPr>
        <w:t>, počela op</w:t>
      </w:r>
      <w:r w:rsidR="009E2387" w:rsidRPr="004164E4">
        <w:rPr>
          <w:rFonts w:ascii="Times New Roman" w:hAnsi="Times New Roman"/>
        </w:rPr>
        <w:t xml:space="preserve">adati krajem </w:t>
      </w:r>
      <w:r w:rsidR="00C125EF">
        <w:rPr>
          <w:rFonts w:ascii="Times New Roman" w:hAnsi="Times New Roman"/>
        </w:rPr>
        <w:t>veljače</w:t>
      </w:r>
      <w:r w:rsidRPr="004164E4">
        <w:rPr>
          <w:rFonts w:ascii="Times New Roman" w:hAnsi="Times New Roman"/>
        </w:rPr>
        <w:t>,</w:t>
      </w:r>
      <w:r w:rsidR="009E2387" w:rsidRPr="004164E4">
        <w:rPr>
          <w:rFonts w:ascii="Times New Roman" w:hAnsi="Times New Roman"/>
        </w:rPr>
        <w:t xml:space="preserve"> uz stalno smanjenje u </w:t>
      </w:r>
      <w:r w:rsidR="00C125EF">
        <w:rPr>
          <w:rFonts w:ascii="Times New Roman" w:hAnsi="Times New Roman"/>
        </w:rPr>
        <w:t>ožujku</w:t>
      </w:r>
      <w:r w:rsidR="009E2387" w:rsidRPr="004164E4">
        <w:rPr>
          <w:rFonts w:ascii="Times New Roman" w:hAnsi="Times New Roman"/>
        </w:rPr>
        <w:t xml:space="preserve">, odnosno u </w:t>
      </w:r>
      <w:r w:rsidR="00C125EF">
        <w:rPr>
          <w:rFonts w:ascii="Times New Roman" w:hAnsi="Times New Roman"/>
        </w:rPr>
        <w:t>travnju</w:t>
      </w:r>
      <w:r w:rsidRPr="004164E4">
        <w:rPr>
          <w:rFonts w:ascii="Times New Roman" w:hAnsi="Times New Roman"/>
        </w:rPr>
        <w:t>.</w:t>
      </w:r>
      <w:bookmarkStart w:id="41" w:name="_Toc169494974"/>
    </w:p>
    <w:p w:rsidR="00A131AD" w:rsidRPr="004164E4" w:rsidRDefault="00A131AD" w:rsidP="004164E4">
      <w:pPr>
        <w:spacing w:line="276" w:lineRule="auto"/>
        <w:rPr>
          <w:rFonts w:ascii="Times New Roman" w:hAnsi="Times New Roman"/>
          <w:lang w:val="bs-Latn-BA"/>
        </w:rPr>
      </w:pPr>
      <w:r w:rsidRPr="004164E4">
        <w:rPr>
          <w:rFonts w:ascii="Times New Roman" w:hAnsi="Times New Roman"/>
          <w:lang w:val="bs-Latn-BA"/>
        </w:rPr>
        <w:t xml:space="preserve">Prema </w:t>
      </w:r>
      <w:r w:rsidR="002B489B">
        <w:rPr>
          <w:rFonts w:ascii="Times New Roman" w:hAnsi="Times New Roman"/>
          <w:lang w:val="bs-Latn-BA"/>
        </w:rPr>
        <w:t>podaci</w:t>
      </w:r>
      <w:r w:rsidRPr="004164E4">
        <w:rPr>
          <w:rFonts w:ascii="Times New Roman" w:hAnsi="Times New Roman"/>
          <w:lang w:val="bs-Latn-BA"/>
        </w:rPr>
        <w:t>ma testiranih uzoraka (sentinel/non sentinel) na virus gripe, kao i u drugim zemljama, u sezoni 2014/2015, registrirana su 3 tipa virusa influence, Tip A H3N2, A H1N1/pdm09  i tip B.</w:t>
      </w:r>
    </w:p>
    <w:p w:rsidR="00A131AD" w:rsidRPr="004164E4" w:rsidRDefault="00A131AD" w:rsidP="004164E4">
      <w:pPr>
        <w:spacing w:line="276" w:lineRule="auto"/>
        <w:rPr>
          <w:rFonts w:ascii="Times New Roman" w:hAnsi="Times New Roman"/>
          <w:lang w:val="bs-Latn-BA"/>
        </w:rPr>
      </w:pPr>
      <w:r w:rsidRPr="004164E4">
        <w:rPr>
          <w:rFonts w:ascii="Times New Roman" w:hAnsi="Times New Roman"/>
          <w:lang w:val="bs-Latn-BA"/>
        </w:rPr>
        <w:t xml:space="preserve">U sentinel SARI nadzoru, registrirana su 34 slučaja teške respiratorne infekcije, </w:t>
      </w:r>
      <w:r w:rsidR="009E2387" w:rsidRPr="004164E4">
        <w:rPr>
          <w:rFonts w:ascii="Times New Roman" w:hAnsi="Times New Roman"/>
          <w:lang w:val="bs-Latn-BA"/>
        </w:rPr>
        <w:t>koji su hospitalizirani na KC</w:t>
      </w:r>
      <w:r w:rsidR="00C125EF">
        <w:rPr>
          <w:rFonts w:ascii="Times New Roman" w:hAnsi="Times New Roman"/>
          <w:lang w:val="bs-Latn-BA"/>
        </w:rPr>
        <w:t>U</w:t>
      </w:r>
      <w:r w:rsidR="009E2387" w:rsidRPr="004164E4">
        <w:rPr>
          <w:rFonts w:ascii="Times New Roman" w:hAnsi="Times New Roman"/>
          <w:lang w:val="bs-Latn-BA"/>
        </w:rPr>
        <w:t xml:space="preserve"> </w:t>
      </w:r>
      <w:r w:rsidRPr="004164E4">
        <w:rPr>
          <w:rFonts w:ascii="Times New Roman" w:hAnsi="Times New Roman"/>
          <w:lang w:val="bs-Latn-BA"/>
        </w:rPr>
        <w:t>Sarajevo i Tuzla. Kod hospitaliziranih slučajeva teških respiratornih infekcija (SARI) dominirao je pandemijski virus influence, Tip A H1N1/pdm09 .</w:t>
      </w:r>
    </w:p>
    <w:p w:rsidR="00A131AD" w:rsidRPr="004164E4" w:rsidRDefault="00A131AD" w:rsidP="004164E4">
      <w:pPr>
        <w:spacing w:line="276" w:lineRule="auto"/>
        <w:rPr>
          <w:rFonts w:ascii="Times New Roman" w:hAnsi="Times New Roman"/>
          <w:lang w:val="hr-HR"/>
        </w:rPr>
      </w:pPr>
      <w:r w:rsidRPr="004164E4">
        <w:rPr>
          <w:rFonts w:ascii="Times New Roman" w:hAnsi="Times New Roman"/>
        </w:rPr>
        <w:t xml:space="preserve">U sezoni 2014/2015.godine, u Federaciji BiH je </w:t>
      </w:r>
      <w:r w:rsidR="00A80006">
        <w:rPr>
          <w:rFonts w:ascii="Times New Roman" w:hAnsi="Times New Roman"/>
        </w:rPr>
        <w:t>registrovano</w:t>
      </w:r>
      <w:r w:rsidRPr="004164E4">
        <w:rPr>
          <w:rFonts w:ascii="Times New Roman" w:hAnsi="Times New Roman"/>
        </w:rPr>
        <w:t xml:space="preserve"> 15 umrlih od gripe, (medijan 51 godina). Teška respiratorna infekcija i smrt od gripe je najčešće bila povezana sa </w:t>
      </w:r>
      <w:r w:rsidR="00512E30">
        <w:rPr>
          <w:rFonts w:ascii="Times New Roman" w:hAnsi="Times New Roman"/>
        </w:rPr>
        <w:t>hronični</w:t>
      </w:r>
      <w:r w:rsidRPr="004164E4">
        <w:rPr>
          <w:rFonts w:ascii="Times New Roman" w:hAnsi="Times New Roman"/>
        </w:rPr>
        <w:t xml:space="preserve">m oboljenjima, i to sa respiratornim i kardiovaskularnim oboljenjima, a najčešće izoliran virus je također bio pandemijski, </w:t>
      </w:r>
      <w:r w:rsidRPr="004164E4">
        <w:rPr>
          <w:rFonts w:ascii="Times New Roman" w:hAnsi="Times New Roman"/>
          <w:lang w:val="bs-Latn-BA"/>
        </w:rPr>
        <w:t>Tip A H1N1/pdm09</w:t>
      </w:r>
      <w:r w:rsidRPr="004164E4">
        <w:rPr>
          <w:rFonts w:ascii="Times New Roman" w:hAnsi="Times New Roman"/>
        </w:rPr>
        <w:t>.</w:t>
      </w:r>
    </w:p>
    <w:p w:rsidR="00A131AD" w:rsidRPr="004164E4" w:rsidRDefault="000E56ED" w:rsidP="004164E4">
      <w:pPr>
        <w:spacing w:line="276" w:lineRule="auto"/>
        <w:rPr>
          <w:rFonts w:ascii="Times New Roman" w:hAnsi="Times New Roman"/>
          <w:b/>
        </w:rPr>
      </w:pPr>
      <w:r>
        <w:rPr>
          <w:rFonts w:ascii="Times New Roman" w:hAnsi="Times New Roman"/>
        </w:rPr>
        <w:t>Vakcinacija</w:t>
      </w:r>
      <w:r w:rsidR="00A131AD" w:rsidRPr="004164E4">
        <w:rPr>
          <w:rFonts w:ascii="Times New Roman" w:hAnsi="Times New Roman"/>
        </w:rPr>
        <w:t xml:space="preserve"> protiv grip</w:t>
      </w:r>
      <w:r w:rsidR="00C125EF">
        <w:rPr>
          <w:rFonts w:ascii="Times New Roman" w:hAnsi="Times New Roman"/>
        </w:rPr>
        <w:t>a</w:t>
      </w:r>
      <w:r w:rsidR="00A131AD" w:rsidRPr="004164E4">
        <w:rPr>
          <w:rFonts w:ascii="Times New Roman" w:hAnsi="Times New Roman"/>
        </w:rPr>
        <w:t xml:space="preserve"> je u nadležnosti kantonalnih fondova, ali ona kao najbolja preventivna mjera se  ne primjenjuje na preporučeni način, </w:t>
      </w:r>
      <w:r w:rsidR="009E2387" w:rsidRPr="004164E4">
        <w:rPr>
          <w:rFonts w:ascii="Times New Roman" w:hAnsi="Times New Roman"/>
        </w:rPr>
        <w:t>zbog problema nabave kao i</w:t>
      </w:r>
      <w:r w:rsidR="00A131AD" w:rsidRPr="004164E4">
        <w:rPr>
          <w:rFonts w:ascii="Times New Roman" w:hAnsi="Times New Roman"/>
        </w:rPr>
        <w:t xml:space="preserve"> sumnji u kvalitet nako</w:t>
      </w:r>
      <w:r w:rsidR="009E2387" w:rsidRPr="004164E4">
        <w:rPr>
          <w:rFonts w:ascii="Times New Roman" w:hAnsi="Times New Roman"/>
        </w:rPr>
        <w:t>n</w:t>
      </w:r>
      <w:r w:rsidR="00A131AD" w:rsidRPr="004164E4">
        <w:rPr>
          <w:rFonts w:ascii="Times New Roman" w:hAnsi="Times New Roman"/>
        </w:rPr>
        <w:t xml:space="preserve"> 2009. godine (pandemijsk</w:t>
      </w:r>
      <w:r w:rsidR="00C125EF">
        <w:rPr>
          <w:rFonts w:ascii="Times New Roman" w:hAnsi="Times New Roman"/>
        </w:rPr>
        <w:t>og</w:t>
      </w:r>
      <w:r w:rsidR="00A131AD" w:rsidRPr="004164E4">
        <w:rPr>
          <w:rFonts w:ascii="Times New Roman" w:hAnsi="Times New Roman"/>
        </w:rPr>
        <w:t xml:space="preserve"> </w:t>
      </w:r>
      <w:r w:rsidR="00C125EF">
        <w:rPr>
          <w:rFonts w:ascii="Times New Roman" w:hAnsi="Times New Roman"/>
        </w:rPr>
        <w:t>cjepiva</w:t>
      </w:r>
      <w:r w:rsidR="00A131AD" w:rsidRPr="004164E4">
        <w:rPr>
          <w:rFonts w:ascii="Times New Roman" w:hAnsi="Times New Roman"/>
        </w:rPr>
        <w:t>) i nedovoljne promocije.</w:t>
      </w:r>
    </w:p>
    <w:p w:rsidR="00A131AD" w:rsidRPr="00155F80" w:rsidRDefault="00A131AD" w:rsidP="000C0138">
      <w:pPr>
        <w:pStyle w:val="Header"/>
        <w:spacing w:line="276" w:lineRule="auto"/>
        <w:outlineLvl w:val="0"/>
        <w:rPr>
          <w:b/>
          <w:sz w:val="22"/>
          <w:szCs w:val="22"/>
        </w:rPr>
      </w:pPr>
    </w:p>
    <w:p w:rsidR="00A131AD" w:rsidRDefault="00A131AD" w:rsidP="00FA3644">
      <w:pPr>
        <w:rPr>
          <w:rFonts w:ascii="Times New Roman" w:hAnsi="Times New Roman"/>
          <w:b/>
        </w:rPr>
      </w:pPr>
      <w:bookmarkStart w:id="42" w:name="_Toc453328506"/>
      <w:bookmarkStart w:id="43" w:name="_Toc453917697"/>
      <w:bookmarkStart w:id="44" w:name="_Toc454797797"/>
      <w:bookmarkStart w:id="45" w:name="_Toc454799694"/>
      <w:bookmarkStart w:id="46" w:name="_Toc454803305"/>
      <w:r w:rsidRPr="00FA3644">
        <w:rPr>
          <w:rFonts w:ascii="Times New Roman" w:hAnsi="Times New Roman"/>
          <w:b/>
        </w:rPr>
        <w:t>TUBERKULOZA</w:t>
      </w:r>
      <w:bookmarkEnd w:id="42"/>
      <w:bookmarkEnd w:id="43"/>
      <w:bookmarkEnd w:id="44"/>
      <w:bookmarkEnd w:id="45"/>
      <w:bookmarkEnd w:id="46"/>
    </w:p>
    <w:p w:rsidR="00FA3644" w:rsidRPr="00FA3644" w:rsidRDefault="00FA3644" w:rsidP="00FA3644">
      <w:pPr>
        <w:rPr>
          <w:rFonts w:ascii="Times New Roman" w:hAnsi="Times New Roman"/>
          <w:b/>
          <w:lang w:val="bs-Latn-BA"/>
        </w:rPr>
      </w:pP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U Federaciji BiH dva su </w:t>
      </w:r>
      <w:r w:rsidR="00512E30">
        <w:rPr>
          <w:rFonts w:ascii="Times New Roman" w:hAnsi="Times New Roman"/>
        </w:rPr>
        <w:t>sistem</w:t>
      </w:r>
      <w:r w:rsidR="00C125EF">
        <w:rPr>
          <w:rFonts w:ascii="Times New Roman" w:hAnsi="Times New Roman"/>
        </w:rPr>
        <w:t>a</w:t>
      </w:r>
      <w:r w:rsidRPr="00155F80">
        <w:rPr>
          <w:rFonts w:ascii="Times New Roman" w:hAnsi="Times New Roman"/>
        </w:rPr>
        <w:t xml:space="preserve"> nadzora nad tuberkulozom, pasivni i aktivni. Prema rezultatima pasivnog nadzora, u 2015. godini, registrirane su 664 osobe oboljele od tuberkuloze (28,4/100.000 stanovnika), dok je prema </w:t>
      </w:r>
      <w:r w:rsidR="002B489B">
        <w:rPr>
          <w:rFonts w:ascii="Times New Roman" w:hAnsi="Times New Roman"/>
        </w:rPr>
        <w:t>podaci</w:t>
      </w:r>
      <w:r w:rsidRPr="00155F80">
        <w:rPr>
          <w:rFonts w:ascii="Times New Roman" w:hAnsi="Times New Roman"/>
        </w:rPr>
        <w:t>ma Federalnog registra za tuberkulozu, koji se vodi u sklopu Federalno</w:t>
      </w:r>
      <w:r w:rsidR="00C125EF">
        <w:rPr>
          <w:rFonts w:ascii="Times New Roman" w:hAnsi="Times New Roman"/>
        </w:rPr>
        <w:t>g</w:t>
      </w:r>
      <w:r w:rsidRPr="00155F80">
        <w:rPr>
          <w:rFonts w:ascii="Times New Roman" w:hAnsi="Times New Roman"/>
        </w:rPr>
        <w:t xml:space="preserve"> program</w:t>
      </w:r>
      <w:r w:rsidR="00C125EF">
        <w:rPr>
          <w:rFonts w:ascii="Times New Roman" w:hAnsi="Times New Roman"/>
        </w:rPr>
        <w:t>a</w:t>
      </w:r>
      <w:r w:rsidRPr="00155F80">
        <w:rPr>
          <w:rFonts w:ascii="Times New Roman" w:hAnsi="Times New Roman"/>
        </w:rPr>
        <w:t xml:space="preserve"> za kontrolu tuberkuloze, u 2015. godini, prijavljeno 727 slučajeva tuberkuloze (Morbiditet 31/100.000).</w:t>
      </w:r>
    </w:p>
    <w:p w:rsidR="00A131AD" w:rsidRPr="00155F80" w:rsidRDefault="00A131AD" w:rsidP="000C0138">
      <w:pPr>
        <w:autoSpaceDE w:val="0"/>
        <w:autoSpaceDN w:val="0"/>
        <w:adjustRightInd w:val="0"/>
        <w:spacing w:line="276" w:lineRule="auto"/>
        <w:rPr>
          <w:rFonts w:ascii="Times New Roman" w:hAnsi="Times New Roman"/>
        </w:rPr>
      </w:pPr>
    </w:p>
    <w:p w:rsidR="009A5B2B"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rPr>
        <w:t xml:space="preserve">Tuberkuloza je oboljenje koje se prema Pravilniku o načinu prijavljivanja zaraznih bolesti prijavljuje prema posebnim propisima, odnosno prema Federalnom programu za kontrolu tuberkuloze. Prema </w:t>
      </w:r>
      <w:r w:rsidR="002B489B">
        <w:rPr>
          <w:rFonts w:ascii="Times New Roman" w:hAnsi="Times New Roman"/>
        </w:rPr>
        <w:t>podaci</w:t>
      </w:r>
      <w:r w:rsidRPr="00155F80">
        <w:rPr>
          <w:rFonts w:ascii="Times New Roman" w:hAnsi="Times New Roman"/>
        </w:rPr>
        <w:t>ma Federalnog registra za tuberkulozu, u 2015. godini prijavljeno je 727 slučajeva tuberkuloze.</w:t>
      </w:r>
      <w:r w:rsidRPr="00155F80">
        <w:rPr>
          <w:rFonts w:ascii="Times New Roman" w:hAnsi="Times New Roman"/>
          <w:lang w:val="sr-Latn-BA"/>
        </w:rPr>
        <w:t xml:space="preserve"> Među prijavljenim slučajevima tuberkuloze u 2015. godini, 90,1% (655 slučaj) su novootkriveni slučajevi, dok su 9,9% (72 slučaja) recidivi. Od ukupnog broja slučajeva tuberkuloze prijavljenih u 2015. godini, 84,7% (616) čini plućna tuberkuloza, 12,8% (93) vanplućna tuberkuloza i 2,5% (18) plućna i vanplućna tuberkuloza.</w:t>
      </w:r>
    </w:p>
    <w:p w:rsidR="00B4366E"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Prijavljena stopa obol</w:t>
      </w:r>
      <w:r w:rsidR="00C125EF">
        <w:rPr>
          <w:rFonts w:ascii="Times New Roman" w:hAnsi="Times New Roman"/>
        </w:rPr>
        <w:t>i</w:t>
      </w:r>
      <w:r w:rsidRPr="00155F80">
        <w:rPr>
          <w:rFonts w:ascii="Times New Roman" w:hAnsi="Times New Roman"/>
        </w:rPr>
        <w:t xml:space="preserve">jevanja iznosi 31,1/100.000 stanovnika. U </w:t>
      </w:r>
      <w:r w:rsidR="00F70FD4">
        <w:rPr>
          <w:rFonts w:ascii="Times New Roman" w:hAnsi="Times New Roman"/>
        </w:rPr>
        <w:t>periodu</w:t>
      </w:r>
      <w:r w:rsidRPr="00155F80">
        <w:rPr>
          <w:rFonts w:ascii="Times New Roman" w:hAnsi="Times New Roman"/>
        </w:rPr>
        <w:t xml:space="preserve"> 1996-2015. godina, u Federaciji Bosne i Hercegovine, stopa obol</w:t>
      </w:r>
      <w:r w:rsidR="00C125EF">
        <w:rPr>
          <w:rFonts w:ascii="Times New Roman" w:hAnsi="Times New Roman"/>
        </w:rPr>
        <w:t>i</w:t>
      </w:r>
      <w:r w:rsidRPr="00155F80">
        <w:rPr>
          <w:rFonts w:ascii="Times New Roman" w:hAnsi="Times New Roman"/>
        </w:rPr>
        <w:t>jevanja od tuberkuloze se kretala u rasponu od 93/100.000 slučaja (1998.) do 31/100.000 stanovnika (2015.).</w:t>
      </w:r>
    </w:p>
    <w:p w:rsidR="00B4366E" w:rsidRPr="004975B7" w:rsidRDefault="00B4366E" w:rsidP="000C0138">
      <w:pPr>
        <w:autoSpaceDE w:val="0"/>
        <w:autoSpaceDN w:val="0"/>
        <w:adjustRightInd w:val="0"/>
        <w:spacing w:line="276" w:lineRule="auto"/>
        <w:rPr>
          <w:rFonts w:ascii="Times New Roman" w:hAnsi="Times New Roman"/>
          <w:sz w:val="20"/>
          <w:szCs w:val="20"/>
        </w:rPr>
      </w:pPr>
    </w:p>
    <w:p w:rsidR="00A131AD" w:rsidRPr="00155F80" w:rsidRDefault="00A131AD" w:rsidP="00EB7CC7">
      <w:pPr>
        <w:pStyle w:val="refererere"/>
        <w:rPr>
          <w:b/>
        </w:rPr>
      </w:pPr>
      <w:r w:rsidRPr="004975B7">
        <w:rPr>
          <w:rStyle w:val="Strong"/>
          <w:b w:val="0"/>
        </w:rPr>
        <w:t>Grafikon 46:</w:t>
      </w:r>
      <w:r w:rsidRPr="004975B7">
        <w:rPr>
          <w:b/>
        </w:rPr>
        <w:t xml:space="preserve"> </w:t>
      </w:r>
      <w:r w:rsidRPr="004975B7">
        <w:t>In</w:t>
      </w:r>
      <w:r w:rsidRPr="00155F80">
        <w:t>cidenc</w:t>
      </w:r>
      <w:r w:rsidR="00C125EF">
        <w:t>ij</w:t>
      </w:r>
      <w:r w:rsidRPr="00155F80">
        <w:t xml:space="preserve">a tuberkuloze,  Federacija BiH za </w:t>
      </w:r>
      <w:r w:rsidR="00F70FD4">
        <w:t>period</w:t>
      </w:r>
      <w:r w:rsidRPr="00155F80">
        <w:t xml:space="preserve"> 1996.-2015. godina</w:t>
      </w:r>
    </w:p>
    <w:p w:rsidR="00A131AD" w:rsidRPr="006256C9" w:rsidRDefault="006E00D1" w:rsidP="006256C9">
      <w:pPr>
        <w:spacing w:line="276" w:lineRule="auto"/>
        <w:rPr>
          <w:rFonts w:ascii="Times New Roman" w:hAnsi="Times New Roman"/>
        </w:rPr>
      </w:pPr>
      <w:r>
        <w:rPr>
          <w:noProof/>
          <w:lang w:eastAsia="en-GB"/>
        </w:rPr>
        <w:drawing>
          <wp:inline distT="0" distB="0" distL="0" distR="0" wp14:anchorId="705F0821" wp14:editId="08C7DED7">
            <wp:extent cx="5686425" cy="2057400"/>
            <wp:effectExtent l="0" t="0" r="9525" b="0"/>
            <wp:docPr id="9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pic:cNvPicPr>
                      <a:picLocks noChangeAspect="1"/>
                    </pic:cNvPicPr>
                  </pic:nvPicPr>
                  <pic:blipFill>
                    <a:blip r:embed="rId57"/>
                    <a:stretch>
                      <a:fillRect/>
                    </a:stretch>
                  </pic:blipFill>
                  <pic:spPr>
                    <a:xfrm>
                      <a:off x="0" y="0"/>
                      <a:ext cx="5690105" cy="2058731"/>
                    </a:xfrm>
                    <a:prstGeom prst="rect">
                      <a:avLst/>
                    </a:prstGeom>
                  </pic:spPr>
                </pic:pic>
              </a:graphicData>
            </a:graphic>
          </wp:inline>
        </w:drawing>
      </w: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t xml:space="preserve">U ukupnom broju oboljelih od tuberkuloze bilo je 425 osoba muškog (58,5%) i 302 ženskog spola (41,5%). Kao i prethodnih godina, najviše prijavljenih slučajeva tuberkuloze je u </w:t>
      </w:r>
      <w:r w:rsidR="00A80006">
        <w:rPr>
          <w:rFonts w:ascii="Times New Roman" w:hAnsi="Times New Roman"/>
          <w:lang w:val="sr-Latn-BA"/>
        </w:rPr>
        <w:t>starosnoj</w:t>
      </w:r>
      <w:r w:rsidRPr="00155F80">
        <w:rPr>
          <w:rFonts w:ascii="Times New Roman" w:hAnsi="Times New Roman"/>
          <w:lang w:val="sr-Latn-BA"/>
        </w:rPr>
        <w:t xml:space="preserve"> </w:t>
      </w:r>
      <w:r w:rsidR="00A80006">
        <w:rPr>
          <w:rFonts w:ascii="Times New Roman" w:hAnsi="Times New Roman"/>
          <w:lang w:val="sr-Latn-BA"/>
        </w:rPr>
        <w:t>grupi</w:t>
      </w:r>
      <w:r w:rsidRPr="00155F80">
        <w:rPr>
          <w:rFonts w:ascii="Times New Roman" w:hAnsi="Times New Roman"/>
          <w:lang w:val="sr-Latn-BA"/>
        </w:rPr>
        <w:t xml:space="preserve"> preko 65 godina (35,5%). Oboljeli do 24 godine činili su 13,5 % u ukupnom broju oboljelih.</w:t>
      </w:r>
    </w:p>
    <w:p w:rsidR="00A131AD" w:rsidRPr="00155F80" w:rsidRDefault="00A131AD" w:rsidP="000C0138">
      <w:pPr>
        <w:autoSpaceDE w:val="0"/>
        <w:autoSpaceDN w:val="0"/>
        <w:adjustRightInd w:val="0"/>
        <w:spacing w:line="276" w:lineRule="auto"/>
        <w:rPr>
          <w:rFonts w:ascii="Times New Roman" w:hAnsi="Times New Roman"/>
          <w:b/>
          <w:lang w:val="sr-Latn-BA"/>
        </w:rPr>
      </w:pPr>
    </w:p>
    <w:p w:rsidR="008E731A" w:rsidRDefault="00A131AD" w:rsidP="00EB7CC7">
      <w:pPr>
        <w:pStyle w:val="refererere"/>
        <w:rPr>
          <w:lang w:val="sr-Latn-BA"/>
        </w:rPr>
      </w:pPr>
      <w:r w:rsidRPr="00155F80">
        <w:rPr>
          <w:lang w:val="sr-Latn-BA"/>
        </w:rPr>
        <w:t xml:space="preserve">Grafikon 47: Prijavljeni slučajevi tuberkuloze u Federaciji BiH, prema </w:t>
      </w:r>
      <w:r w:rsidR="00526FD0">
        <w:rPr>
          <w:lang w:val="sr-Latn-BA"/>
        </w:rPr>
        <w:t>starosnim</w:t>
      </w:r>
      <w:r w:rsidRPr="00155F80">
        <w:rPr>
          <w:lang w:val="sr-Latn-BA"/>
        </w:rPr>
        <w:t xml:space="preserve"> </w:t>
      </w:r>
      <w:r w:rsidR="00D21A46">
        <w:rPr>
          <w:lang w:val="sr-Latn-BA"/>
        </w:rPr>
        <w:t>grupa</w:t>
      </w:r>
      <w:r w:rsidRPr="00155F80">
        <w:rPr>
          <w:lang w:val="sr-Latn-BA"/>
        </w:rPr>
        <w:t>ma, 2015.godina</w:t>
      </w:r>
    </w:p>
    <w:p w:rsidR="00CB7637" w:rsidRDefault="008E731A" w:rsidP="000C0138">
      <w:pPr>
        <w:pStyle w:val="NoSpacing"/>
        <w:spacing w:line="276" w:lineRule="auto"/>
        <w:rPr>
          <w:sz w:val="22"/>
          <w:szCs w:val="22"/>
          <w:lang w:val="sr-Latn-BA"/>
        </w:rPr>
      </w:pPr>
      <w:r>
        <w:rPr>
          <w:noProof/>
          <w:lang w:eastAsia="en-GB"/>
        </w:rPr>
        <w:drawing>
          <wp:inline distT="0" distB="0" distL="0" distR="0" wp14:anchorId="76BC9387" wp14:editId="3B748F70">
            <wp:extent cx="5619750" cy="2728595"/>
            <wp:effectExtent l="0" t="0" r="0" b="1460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B7637" w:rsidRPr="00155F80" w:rsidRDefault="00CB7637" w:rsidP="000C0138">
      <w:pPr>
        <w:pStyle w:val="NoSpacing"/>
        <w:spacing w:line="276" w:lineRule="auto"/>
        <w:rPr>
          <w:sz w:val="22"/>
          <w:szCs w:val="22"/>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t xml:space="preserve">Kao i prošle godine, najviše slučajeva tuberkuloze </w:t>
      </w:r>
      <w:r w:rsidR="00A80006">
        <w:rPr>
          <w:rFonts w:ascii="Times New Roman" w:hAnsi="Times New Roman"/>
          <w:lang w:val="sr-Latn-BA"/>
        </w:rPr>
        <w:t>registrovano</w:t>
      </w:r>
      <w:r w:rsidRPr="00155F80">
        <w:rPr>
          <w:rFonts w:ascii="Times New Roman" w:hAnsi="Times New Roman"/>
          <w:lang w:val="sr-Latn-BA"/>
        </w:rPr>
        <w:t xml:space="preserve"> je u Tuzlanskom (218), Zeničko-dobojskom (173) i Unsko-sanskom kantonu (107). Najveći morbiditet se registira u Tuzlanskom (43,7/100.000) i Zeničko-dobojskom kantonu (43,6/100.000). </w:t>
      </w:r>
    </w:p>
    <w:p w:rsidR="00A131AD" w:rsidRPr="00155F80" w:rsidRDefault="00A131AD" w:rsidP="000C0138">
      <w:pPr>
        <w:autoSpaceDE w:val="0"/>
        <w:autoSpaceDN w:val="0"/>
        <w:adjustRightInd w:val="0"/>
        <w:spacing w:line="276" w:lineRule="auto"/>
        <w:rPr>
          <w:rFonts w:ascii="Times New Roman" w:hAnsi="Times New Roman"/>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t>U 2015. godini nije zabilježen slučaj MDR tuberkuloze (tuberkuloze rezistentne na više lijekova).</w:t>
      </w: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U 2015. godini završen je proces unapređenja </w:t>
      </w:r>
      <w:r w:rsidRPr="00155F80">
        <w:rPr>
          <w:rFonts w:ascii="Times New Roman" w:hAnsi="Times New Roman"/>
          <w:lang w:val="sr-Latn-BA"/>
        </w:rPr>
        <w:t>web orijentirane elektronske baz</w:t>
      </w:r>
      <w:r w:rsidR="00DA6463">
        <w:rPr>
          <w:rFonts w:ascii="Times New Roman" w:hAnsi="Times New Roman"/>
          <w:lang w:val="sr-Latn-BA"/>
        </w:rPr>
        <w:t>e</w:t>
      </w:r>
      <w:r w:rsidRPr="00155F80">
        <w:rPr>
          <w:rFonts w:ascii="Times New Roman" w:hAnsi="Times New Roman"/>
          <w:lang w:val="sr-Latn-BA"/>
        </w:rPr>
        <w:t xml:space="preserve"> podataka o tuberkulozi (podržana projektom finan</w:t>
      </w:r>
      <w:r w:rsidR="00DA6463">
        <w:rPr>
          <w:rFonts w:ascii="Times New Roman" w:hAnsi="Times New Roman"/>
          <w:lang w:val="sr-Latn-BA"/>
        </w:rPr>
        <w:t>c</w:t>
      </w:r>
      <w:r w:rsidRPr="00155F80">
        <w:rPr>
          <w:rFonts w:ascii="Times New Roman" w:hAnsi="Times New Roman"/>
          <w:lang w:val="sr-Latn-BA"/>
        </w:rPr>
        <w:t xml:space="preserve">iranim od strane Globalnog fonda za borbu protiv AIDS-a, tuberkuloze i malarije-GFATM). Nova </w:t>
      </w:r>
      <w:r w:rsidRPr="00155F80">
        <w:rPr>
          <w:rFonts w:ascii="Times New Roman" w:hAnsi="Times New Roman"/>
          <w:color w:val="000000"/>
          <w:lang w:val="en-US"/>
        </w:rPr>
        <w:t xml:space="preserve">verzija postavljena </w:t>
      </w:r>
      <w:r w:rsidR="00DA6463">
        <w:rPr>
          <w:rFonts w:ascii="Times New Roman" w:hAnsi="Times New Roman"/>
          <w:color w:val="000000"/>
          <w:lang w:val="en-US"/>
        </w:rPr>
        <w:t xml:space="preserve">je </w:t>
      </w:r>
      <w:r w:rsidRPr="00155F80">
        <w:rPr>
          <w:rFonts w:ascii="Times New Roman" w:hAnsi="Times New Roman"/>
          <w:color w:val="000000"/>
          <w:lang w:val="en-US"/>
        </w:rPr>
        <w:t>na odgovarajuće servere u Zavodu za javno zdravstvo FBiH, Institutu za javno zdravstvo Republike Srpske i Ministarstvu civilnih poslova BiH. Baza omogućava da se iz nje generiraju odgovarajuć</w:t>
      </w:r>
      <w:r w:rsidR="00DA6463">
        <w:rPr>
          <w:rFonts w:ascii="Times New Roman" w:hAnsi="Times New Roman"/>
          <w:color w:val="000000"/>
          <w:lang w:val="en-US"/>
        </w:rPr>
        <w:t>a</w:t>
      </w:r>
      <w:r w:rsidRPr="00155F80">
        <w:rPr>
          <w:rFonts w:ascii="Times New Roman" w:hAnsi="Times New Roman"/>
          <w:color w:val="000000"/>
          <w:lang w:val="en-US"/>
        </w:rPr>
        <w:t xml:space="preserve"> mjesečn</w:t>
      </w:r>
      <w:r w:rsidR="00DA6463">
        <w:rPr>
          <w:rFonts w:ascii="Times New Roman" w:hAnsi="Times New Roman"/>
          <w:color w:val="000000"/>
          <w:lang w:val="en-US"/>
        </w:rPr>
        <w:t>a</w:t>
      </w:r>
      <w:r w:rsidRPr="00155F80">
        <w:rPr>
          <w:rFonts w:ascii="Times New Roman" w:hAnsi="Times New Roman"/>
          <w:color w:val="000000"/>
          <w:lang w:val="en-US"/>
        </w:rPr>
        <w:t>, kvartaln</w:t>
      </w:r>
      <w:r w:rsidR="00DA6463">
        <w:rPr>
          <w:rFonts w:ascii="Times New Roman" w:hAnsi="Times New Roman"/>
          <w:color w:val="000000"/>
          <w:lang w:val="en-US"/>
        </w:rPr>
        <w:t>a</w:t>
      </w:r>
      <w:r w:rsidRPr="00155F80">
        <w:rPr>
          <w:rFonts w:ascii="Times New Roman" w:hAnsi="Times New Roman"/>
          <w:color w:val="000000"/>
          <w:lang w:val="en-US"/>
        </w:rPr>
        <w:t xml:space="preserve"> i godišnj</w:t>
      </w:r>
      <w:r w:rsidR="00DA6463">
        <w:rPr>
          <w:rFonts w:ascii="Times New Roman" w:hAnsi="Times New Roman"/>
          <w:color w:val="000000"/>
          <w:lang w:val="en-US"/>
        </w:rPr>
        <w:t>a</w:t>
      </w:r>
      <w:r w:rsidRPr="00155F80">
        <w:rPr>
          <w:rFonts w:ascii="Times New Roman" w:hAnsi="Times New Roman"/>
          <w:color w:val="000000"/>
          <w:lang w:val="en-US"/>
        </w:rPr>
        <w:t xml:space="preserve"> izvješ</w:t>
      </w:r>
      <w:r w:rsidR="00DA6463">
        <w:rPr>
          <w:rFonts w:ascii="Times New Roman" w:hAnsi="Times New Roman"/>
          <w:color w:val="000000"/>
          <w:lang w:val="en-US"/>
        </w:rPr>
        <w:t>ć</w:t>
      </w:r>
      <w:r w:rsidRPr="00155F80">
        <w:rPr>
          <w:rFonts w:ascii="Times New Roman" w:hAnsi="Times New Roman"/>
          <w:color w:val="000000"/>
          <w:lang w:val="en-US"/>
        </w:rPr>
        <w:t xml:space="preserve">a. U narednom </w:t>
      </w:r>
      <w:r w:rsidR="00F70FD4">
        <w:rPr>
          <w:rFonts w:ascii="Times New Roman" w:hAnsi="Times New Roman"/>
          <w:color w:val="000000"/>
          <w:lang w:val="en-US"/>
        </w:rPr>
        <w:t>periodu</w:t>
      </w:r>
      <w:r w:rsidRPr="00155F80">
        <w:rPr>
          <w:rFonts w:ascii="Times New Roman" w:hAnsi="Times New Roman"/>
          <w:color w:val="000000"/>
          <w:lang w:val="en-US"/>
        </w:rPr>
        <w:t>, redovitim ažuriranjem podataka i generiranjem izvješ</w:t>
      </w:r>
      <w:r w:rsidR="00DA6463">
        <w:rPr>
          <w:rFonts w:ascii="Times New Roman" w:hAnsi="Times New Roman"/>
          <w:color w:val="000000"/>
          <w:lang w:val="en-US"/>
        </w:rPr>
        <w:t>ć</w:t>
      </w:r>
      <w:r w:rsidRPr="00155F80">
        <w:rPr>
          <w:rFonts w:ascii="Times New Roman" w:hAnsi="Times New Roman"/>
          <w:color w:val="000000"/>
          <w:lang w:val="en-US"/>
        </w:rPr>
        <w:t>a, potrebno je izvršiti evaluaciju rada, s konačnim ciljem potpune funkcionalnosti baze i harmonizacije kada je riječ o izvješ</w:t>
      </w:r>
      <w:r w:rsidR="00DA6463">
        <w:rPr>
          <w:rFonts w:ascii="Times New Roman" w:hAnsi="Times New Roman"/>
          <w:color w:val="000000"/>
          <w:lang w:val="en-US"/>
        </w:rPr>
        <w:t>ćivanju</w:t>
      </w:r>
      <w:r w:rsidRPr="00155F80">
        <w:rPr>
          <w:rFonts w:ascii="Times New Roman" w:hAnsi="Times New Roman"/>
          <w:color w:val="000000"/>
          <w:lang w:val="en-US"/>
        </w:rPr>
        <w:t>.</w:t>
      </w:r>
    </w:p>
    <w:p w:rsidR="00A131AD" w:rsidRPr="00155F80" w:rsidRDefault="00A131AD" w:rsidP="000C0138">
      <w:pPr>
        <w:autoSpaceDE w:val="0"/>
        <w:autoSpaceDN w:val="0"/>
        <w:adjustRightInd w:val="0"/>
        <w:spacing w:line="276" w:lineRule="auto"/>
        <w:ind w:firstLine="708"/>
        <w:rPr>
          <w:rFonts w:ascii="Times New Roman" w:hAnsi="Times New Roman"/>
          <w:color w:val="000000"/>
          <w:lang w:val="en-US"/>
        </w:rPr>
      </w:pPr>
    </w:p>
    <w:bookmarkEnd w:id="41"/>
    <w:p w:rsidR="00A131AD" w:rsidRPr="00155F80" w:rsidRDefault="00A131AD" w:rsidP="000C0138">
      <w:pPr>
        <w:autoSpaceDE w:val="0"/>
        <w:autoSpaceDN w:val="0"/>
        <w:adjustRightInd w:val="0"/>
        <w:spacing w:line="276" w:lineRule="auto"/>
        <w:rPr>
          <w:rFonts w:ascii="Times New Roman" w:eastAsia="MS Mincho" w:hAnsi="Times New Roman"/>
          <w:b/>
          <w:color w:val="000000"/>
          <w:lang w:val="bs-Latn-BA" w:eastAsia="bs-Latn-BA"/>
        </w:rPr>
      </w:pPr>
      <w:r w:rsidRPr="00155F80">
        <w:rPr>
          <w:rFonts w:ascii="Times New Roman" w:eastAsia="MS Mincho" w:hAnsi="Times New Roman"/>
          <w:b/>
          <w:color w:val="000000"/>
          <w:lang w:val="bs-Latn-BA" w:eastAsia="bs-Latn-BA"/>
        </w:rPr>
        <w:t>HIV/AIDS</w:t>
      </w:r>
    </w:p>
    <w:p w:rsidR="00A131AD" w:rsidRPr="00155F80" w:rsidRDefault="00A131AD" w:rsidP="000C0138">
      <w:pPr>
        <w:autoSpaceDE w:val="0"/>
        <w:autoSpaceDN w:val="0"/>
        <w:adjustRightInd w:val="0"/>
        <w:spacing w:line="276" w:lineRule="auto"/>
        <w:rPr>
          <w:rFonts w:ascii="Times New Roman" w:eastAsia="MS Mincho" w:hAnsi="Times New Roman"/>
          <w:b/>
          <w:color w:val="000000"/>
          <w:lang w:val="bs-Latn-BA" w:eastAsia="bs-Latn-BA"/>
        </w:rPr>
      </w:pP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 xml:space="preserve">Od 1986. godine, kada je zabilježen prvi slučaj zaraze HIV-om u BiH, do konca 2015. godine, u BiH je </w:t>
      </w:r>
      <w:r w:rsidR="00A80006">
        <w:rPr>
          <w:rFonts w:ascii="Times New Roman" w:eastAsia="MS Mincho" w:hAnsi="Times New Roman"/>
          <w:color w:val="000000"/>
          <w:lang w:val="bs-Latn-BA" w:eastAsia="bs-Latn-BA"/>
        </w:rPr>
        <w:t>registrovano</w:t>
      </w:r>
      <w:r w:rsidRPr="00155F80">
        <w:rPr>
          <w:rFonts w:ascii="Times New Roman" w:eastAsia="MS Mincho" w:hAnsi="Times New Roman"/>
          <w:color w:val="000000"/>
          <w:lang w:val="bs-Latn-BA" w:eastAsia="bs-Latn-BA"/>
        </w:rPr>
        <w:t xml:space="preserve"> 287 osoba s HIV infekcijom, od kojih 125 (44%) sa razvijenim AIDS-om.</w:t>
      </w: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 xml:space="preserve">U 50% oboljelih, pretpostavljeni izvor zaražavanja je izvan Bosne i Hercegovine. U 2015. godini, u BiH je </w:t>
      </w:r>
      <w:r w:rsidR="00A80006">
        <w:rPr>
          <w:rFonts w:ascii="Times New Roman" w:eastAsia="MS Mincho" w:hAnsi="Times New Roman"/>
          <w:color w:val="000000"/>
          <w:lang w:val="bs-Latn-BA" w:eastAsia="bs-Latn-BA"/>
        </w:rPr>
        <w:t>registrovano</w:t>
      </w:r>
      <w:r w:rsidRPr="00155F80">
        <w:rPr>
          <w:rFonts w:ascii="Times New Roman" w:eastAsia="MS Mincho" w:hAnsi="Times New Roman"/>
          <w:color w:val="000000"/>
          <w:lang w:val="bs-Latn-BA" w:eastAsia="bs-Latn-BA"/>
        </w:rPr>
        <w:t xml:space="preserve"> 13 novih slučajeva HIV infekcije (10 u FBiH, 3 u RS), od kojih je 6 prešlo u stadij AIDS-a (5 u FBiH, 1 u RS). Registrirana su dva smrtna slučaja (svi sa razvijenim AIDS-om, 1 u FBiH, 1 u RS).</w:t>
      </w: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 xml:space="preserve">Posljednjih pet godina, u Bosni i Hercegovini se godišnje registrira prosječno 20-25 osoba s HIV-om, što BiH svrstava u zemlje s niskom razinom učestalosti HIV infekcije. Zahvaljujući boljem nadzoru i dostupnom </w:t>
      </w:r>
      <w:r w:rsidR="00526FD0">
        <w:rPr>
          <w:rFonts w:ascii="Times New Roman" w:eastAsia="MS Mincho" w:hAnsi="Times New Roman"/>
          <w:color w:val="000000"/>
          <w:lang w:val="bs-Latn-BA" w:eastAsia="bs-Latn-BA"/>
        </w:rPr>
        <w:t>dobrovoljno</w:t>
      </w:r>
      <w:r w:rsidRPr="00155F80">
        <w:rPr>
          <w:rFonts w:ascii="Times New Roman" w:eastAsia="MS Mincho" w:hAnsi="Times New Roman"/>
          <w:color w:val="000000"/>
          <w:lang w:val="bs-Latn-BA" w:eastAsia="bs-Latn-BA"/>
        </w:rPr>
        <w:t>m, povjerljivom, anonimnom i besplatnom testiranju kroz DPST centre, raste broj osoba kojima se HIV infekcija dijagnosticira u ranijem stadiju.</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t>Dominatni put prijenosa je seksualni, od čega heteroseksualni 46,0% (44% u FBiH, 50% u RS), homo/biseksualni 39% (43% u FBiH, 31% u RS), dok je u 8% (8% u FBiH, 6% u RS) slučajeva put prijenosa injekcijsko korištenje droge.</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t xml:space="preserve">U BiH od HIV/AIDS-a obolijeva blizu pet puta više muškaraca nego žena. Prema dobi u kojoj im je dijagnosticirana HIV infekcija, najveći udio </w:t>
      </w:r>
      <w:r w:rsidR="00A80006">
        <w:rPr>
          <w:rFonts w:ascii="Times New Roman" w:eastAsia="MS Mincho" w:hAnsi="Times New Roman"/>
          <w:lang w:val="bs-Latn-BA" w:eastAsia="bs-Latn-BA"/>
        </w:rPr>
        <w:t>registrovanih</w:t>
      </w:r>
      <w:r w:rsidRPr="00155F80">
        <w:rPr>
          <w:rFonts w:ascii="Times New Roman" w:eastAsia="MS Mincho" w:hAnsi="Times New Roman"/>
          <w:lang w:val="bs-Latn-BA" w:eastAsia="bs-Latn-BA"/>
        </w:rPr>
        <w:t xml:space="preserve"> pripadaju </w:t>
      </w:r>
      <w:r w:rsidR="00A80006">
        <w:rPr>
          <w:rFonts w:ascii="Times New Roman" w:eastAsia="MS Mincho" w:hAnsi="Times New Roman"/>
          <w:lang w:val="bs-Latn-BA" w:eastAsia="bs-Latn-BA"/>
        </w:rPr>
        <w:t>starosnoj</w:t>
      </w:r>
      <w:r w:rsidRPr="00155F80">
        <w:rPr>
          <w:rFonts w:ascii="Times New Roman" w:eastAsia="MS Mincho" w:hAnsi="Times New Roman"/>
          <w:lang w:val="bs-Latn-BA" w:eastAsia="bs-Latn-BA"/>
        </w:rPr>
        <w:t xml:space="preserve"> </w:t>
      </w:r>
      <w:r w:rsidR="00A80006">
        <w:rPr>
          <w:rFonts w:ascii="Times New Roman" w:eastAsia="MS Mincho" w:hAnsi="Times New Roman"/>
          <w:lang w:val="bs-Latn-BA" w:eastAsia="bs-Latn-BA"/>
        </w:rPr>
        <w:t>grupi</w:t>
      </w:r>
      <w:r w:rsidRPr="00155F80">
        <w:rPr>
          <w:rFonts w:ascii="Times New Roman" w:eastAsia="MS Mincho" w:hAnsi="Times New Roman"/>
          <w:lang w:val="bs-Latn-BA" w:eastAsia="bs-Latn-BA"/>
        </w:rPr>
        <w:t xml:space="preserve"> 30-39 godina.</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t xml:space="preserve">Prema dostupnim </w:t>
      </w:r>
      <w:r w:rsidR="002B489B">
        <w:rPr>
          <w:rFonts w:ascii="Times New Roman" w:eastAsia="MS Mincho" w:hAnsi="Times New Roman"/>
          <w:lang w:val="bs-Latn-BA" w:eastAsia="bs-Latn-BA"/>
        </w:rPr>
        <w:t>podaci</w:t>
      </w:r>
      <w:r w:rsidRPr="00155F80">
        <w:rPr>
          <w:rFonts w:ascii="Times New Roman" w:eastAsia="MS Mincho" w:hAnsi="Times New Roman"/>
          <w:lang w:val="bs-Latn-BA" w:eastAsia="bs-Latn-BA"/>
        </w:rPr>
        <w:t xml:space="preserve">ma od početka HIV epidemije, u Bosni i Hercegovini je </w:t>
      </w:r>
      <w:r w:rsidR="00A80006">
        <w:rPr>
          <w:rFonts w:ascii="Times New Roman" w:eastAsia="MS Mincho" w:hAnsi="Times New Roman"/>
          <w:lang w:val="bs-Latn-BA" w:eastAsia="bs-Latn-BA"/>
        </w:rPr>
        <w:t>registrovano</w:t>
      </w:r>
      <w:r w:rsidRPr="00155F80">
        <w:rPr>
          <w:rFonts w:ascii="Times New Roman" w:eastAsia="MS Mincho" w:hAnsi="Times New Roman"/>
          <w:lang w:val="bs-Latn-BA" w:eastAsia="bs-Latn-BA"/>
        </w:rPr>
        <w:t xml:space="preserve"> 64 umrlih od AIDS-a. U 2015. godini, 128 (87, FBiH + 41, RS) oboljelih prima - </w:t>
      </w:r>
      <w:r w:rsidR="009E2387">
        <w:rPr>
          <w:rFonts w:ascii="Times New Roman" w:eastAsia="MS Mincho" w:hAnsi="Times New Roman"/>
          <w:lang w:val="bs-Latn-BA" w:eastAsia="bs-Latn-BA"/>
        </w:rPr>
        <w:t xml:space="preserve">antiretroviralnu terapiju (ART). </w:t>
      </w:r>
      <w:r w:rsidRPr="00155F80">
        <w:rPr>
          <w:rFonts w:ascii="Times New Roman" w:eastAsia="MS Mincho" w:hAnsi="Times New Roman"/>
          <w:lang w:val="bs-Latn-BA" w:eastAsia="bs-Latn-BA"/>
        </w:rPr>
        <w:t xml:space="preserve">Bosna i Hercegovina, iako zemlja sa malim brojem </w:t>
      </w:r>
      <w:r w:rsidR="00A80006">
        <w:rPr>
          <w:rFonts w:ascii="Times New Roman" w:eastAsia="MS Mincho" w:hAnsi="Times New Roman"/>
          <w:lang w:val="bs-Latn-BA" w:eastAsia="bs-Latn-BA"/>
        </w:rPr>
        <w:t>registrovanih</w:t>
      </w:r>
      <w:r w:rsidRPr="00155F80">
        <w:rPr>
          <w:rFonts w:ascii="Times New Roman" w:eastAsia="MS Mincho" w:hAnsi="Times New Roman"/>
          <w:lang w:val="bs-Latn-BA" w:eastAsia="bs-Latn-BA"/>
        </w:rPr>
        <w:t xml:space="preserve"> osoba koje žive s HIV-om, s obzirom na brojne </w:t>
      </w:r>
      <w:r w:rsidR="00D21A46">
        <w:rPr>
          <w:rFonts w:ascii="Times New Roman" w:eastAsia="MS Mincho" w:hAnsi="Times New Roman"/>
          <w:lang w:val="bs-Latn-BA" w:eastAsia="bs-Latn-BA"/>
        </w:rPr>
        <w:t>faktor</w:t>
      </w:r>
      <w:r w:rsidR="00DA6463">
        <w:rPr>
          <w:rFonts w:ascii="Times New Roman" w:eastAsia="MS Mincho" w:hAnsi="Times New Roman"/>
          <w:lang w:val="bs-Latn-BA" w:eastAsia="bs-Latn-BA"/>
        </w:rPr>
        <w:t>e</w:t>
      </w:r>
      <w:r w:rsidRPr="00155F80">
        <w:rPr>
          <w:rFonts w:ascii="Times New Roman" w:eastAsia="MS Mincho" w:hAnsi="Times New Roman"/>
          <w:lang w:val="bs-Latn-BA" w:eastAsia="bs-Latn-BA"/>
        </w:rPr>
        <w:t xml:space="preserve"> rizika koji mogu dovesti do porasta broja zaraženih/oboljelih, ne može  dopustiti da  HIV/AIDS bude tabu tema</w:t>
      </w:r>
      <w:r w:rsidRPr="00155F80">
        <w:rPr>
          <w:rFonts w:ascii="Times New Roman" w:eastAsia="MS Mincho" w:hAnsi="Times New Roman"/>
          <w:b/>
          <w:lang w:val="bs-Latn-BA" w:eastAsia="bs-Latn-BA"/>
        </w:rPr>
        <w:t xml:space="preserve">. </w:t>
      </w:r>
      <w:r w:rsidRPr="00155F80">
        <w:rPr>
          <w:rFonts w:ascii="Times New Roman" w:eastAsia="MS Mincho" w:hAnsi="Times New Roman"/>
          <w:lang w:val="bs-Latn-BA" w:eastAsia="bs-Latn-BA"/>
        </w:rPr>
        <w:t xml:space="preserve">Državni odgovor na HIV epidemiju mora biti primjereno dizajniran </w:t>
      </w:r>
      <w:r w:rsidR="00526FD0">
        <w:rPr>
          <w:rFonts w:ascii="Times New Roman" w:eastAsia="MS Mincho" w:hAnsi="Times New Roman"/>
          <w:lang w:val="bs-Latn-BA" w:eastAsia="bs-Latn-BA"/>
        </w:rPr>
        <w:t>u skladu sa</w:t>
      </w:r>
      <w:r w:rsidR="00DA6463">
        <w:rPr>
          <w:rFonts w:ascii="Times New Roman" w:eastAsia="MS Mincho" w:hAnsi="Times New Roman"/>
          <w:lang w:val="bs-Latn-BA" w:eastAsia="bs-Latn-BA"/>
        </w:rPr>
        <w:t xml:space="preserve"> </w:t>
      </w:r>
      <w:r w:rsidRPr="00155F80">
        <w:rPr>
          <w:rFonts w:ascii="Times New Roman" w:eastAsia="MS Mincho" w:hAnsi="Times New Roman"/>
          <w:lang w:val="bs-Latn-BA" w:eastAsia="bs-Latn-BA"/>
        </w:rPr>
        <w:t>realno procijenjeno</w:t>
      </w:r>
      <w:r w:rsidR="00526FD0">
        <w:rPr>
          <w:rFonts w:ascii="Times New Roman" w:eastAsia="MS Mincho" w:hAnsi="Times New Roman"/>
          <w:lang w:val="bs-Latn-BA" w:eastAsia="bs-Latn-BA"/>
        </w:rPr>
        <w:t>m</w:t>
      </w:r>
      <w:r w:rsidRPr="00155F80">
        <w:rPr>
          <w:rFonts w:ascii="Times New Roman" w:eastAsia="MS Mincho" w:hAnsi="Times New Roman"/>
          <w:lang w:val="bs-Latn-BA" w:eastAsia="bs-Latn-BA"/>
        </w:rPr>
        <w:t xml:space="preserve"> stop</w:t>
      </w:r>
      <w:r w:rsidR="00526FD0">
        <w:rPr>
          <w:rFonts w:ascii="Times New Roman" w:eastAsia="MS Mincho" w:hAnsi="Times New Roman"/>
          <w:lang w:val="bs-Latn-BA" w:eastAsia="bs-Latn-BA"/>
        </w:rPr>
        <w:t>om</w:t>
      </w:r>
      <w:r w:rsidRPr="00155F80">
        <w:rPr>
          <w:rFonts w:ascii="Times New Roman" w:eastAsia="MS Mincho" w:hAnsi="Times New Roman"/>
          <w:lang w:val="bs-Latn-BA" w:eastAsia="bs-Latn-BA"/>
        </w:rPr>
        <w:t xml:space="preserve"> epidemije u državi i regij</w:t>
      </w:r>
      <w:r w:rsidR="00DA6463">
        <w:rPr>
          <w:rFonts w:ascii="Times New Roman" w:eastAsia="MS Mincho" w:hAnsi="Times New Roman"/>
          <w:lang w:val="bs-Latn-BA" w:eastAsia="bs-Latn-BA"/>
        </w:rPr>
        <w:t xml:space="preserve">i što je zacrtano usvojenom BiH </w:t>
      </w:r>
      <w:r w:rsidRPr="00155F80">
        <w:rPr>
          <w:rFonts w:ascii="Times New Roman" w:eastAsia="MS Mincho" w:hAnsi="Times New Roman"/>
          <w:lang w:val="bs-Latn-BA" w:eastAsia="bs-Latn-BA"/>
        </w:rPr>
        <w:t xml:space="preserve">strategijom („Odgovor na HIV i AIDS u BiH“, Strategija 2010-2015) gdje je </w:t>
      </w:r>
      <w:r w:rsidR="00526FD0">
        <w:rPr>
          <w:rFonts w:ascii="Times New Roman" w:eastAsia="MS Mincho" w:hAnsi="Times New Roman"/>
          <w:lang w:val="bs-Latn-BA" w:eastAsia="bs-Latn-BA"/>
        </w:rPr>
        <w:t>dobrovoljno</w:t>
      </w:r>
      <w:r w:rsidRPr="00155F80">
        <w:rPr>
          <w:rFonts w:ascii="Times New Roman" w:eastAsia="MS Mincho" w:hAnsi="Times New Roman"/>
          <w:lang w:val="bs-Latn-BA" w:eastAsia="bs-Latn-BA"/>
        </w:rPr>
        <w:t xml:space="preserve"> savjetovanje i testiranje na HIV posebno istaknuto kao bitna komponenta u </w:t>
      </w:r>
      <w:r w:rsidR="00DA6463">
        <w:rPr>
          <w:rFonts w:ascii="Times New Roman" w:eastAsia="MS Mincho" w:hAnsi="Times New Roman"/>
          <w:lang w:val="bs-Latn-BA" w:eastAsia="bs-Latn-BA"/>
        </w:rPr>
        <w:t>području</w:t>
      </w:r>
      <w:r w:rsidRPr="00155F80">
        <w:rPr>
          <w:rFonts w:ascii="Times New Roman" w:eastAsia="MS Mincho" w:hAnsi="Times New Roman"/>
          <w:lang w:val="bs-Latn-BA" w:eastAsia="bs-Latn-BA"/>
        </w:rPr>
        <w:t xml:space="preserve"> prevencije i kontrole HIV/AIDS-a.</w:t>
      </w:r>
    </w:p>
    <w:p w:rsidR="00A131AD" w:rsidRPr="00155F80" w:rsidRDefault="00A131AD" w:rsidP="000C0138">
      <w:pPr>
        <w:autoSpaceDE w:val="0"/>
        <w:autoSpaceDN w:val="0"/>
        <w:adjustRightInd w:val="0"/>
        <w:spacing w:line="276" w:lineRule="auto"/>
        <w:rPr>
          <w:rFonts w:ascii="Times New Roman" w:hAnsi="Times New Roman"/>
          <w:b/>
          <w:noProof/>
          <w:color w:val="FF0000"/>
          <w:lang w:val="sl-SI"/>
        </w:rPr>
      </w:pPr>
      <w:r w:rsidRPr="00155F80">
        <w:rPr>
          <w:rFonts w:ascii="Times New Roman" w:eastAsia="MS Mincho" w:hAnsi="Times New Roman"/>
          <w:lang w:val="bs-Latn-BA" w:eastAsia="bs-Latn-BA"/>
        </w:rPr>
        <w:t>Zahvaljujući Nacionalnom programu borbe protiv HIV/AIDS-a i potpori Globalnog Fonda za borbu protiv tuberkuloze, HIV/AIDS-a i malarije (GFTAM), zacrtani ciljevi, sa stopama HIV-a manjim od 1% u općoj populaciji i manjim od 5% u bilo kojoj grupi pod povećanim rizikom, uspješno se realiziraju.</w:t>
      </w:r>
    </w:p>
    <w:p w:rsidR="00A131AD" w:rsidRPr="00155F80" w:rsidRDefault="00A131AD" w:rsidP="00CD0B48">
      <w:pPr>
        <w:rPr>
          <w:lang w:val="bs-Latn-BA"/>
        </w:rPr>
      </w:pPr>
    </w:p>
    <w:p w:rsidR="00A131AD" w:rsidRPr="008106C3" w:rsidRDefault="00A131AD" w:rsidP="00CD0B48">
      <w:pPr>
        <w:rPr>
          <w:rFonts w:ascii="Times New Roman" w:hAnsi="Times New Roman"/>
          <w:b/>
        </w:rPr>
      </w:pPr>
      <w:bookmarkStart w:id="47" w:name="_Toc453328507"/>
      <w:bookmarkStart w:id="48" w:name="_Toc453917698"/>
      <w:r w:rsidRPr="008106C3">
        <w:rPr>
          <w:rFonts w:ascii="Times New Roman" w:hAnsi="Times New Roman"/>
          <w:b/>
        </w:rPr>
        <w:t>ANTROPOZOONOZE</w:t>
      </w:r>
      <w:bookmarkEnd w:id="47"/>
      <w:bookmarkEnd w:id="48"/>
    </w:p>
    <w:p w:rsidR="00A131AD" w:rsidRPr="00155F80" w:rsidRDefault="00A131AD" w:rsidP="000C0138">
      <w:pPr>
        <w:spacing w:line="276" w:lineRule="auto"/>
        <w:rPr>
          <w:rFonts w:ascii="Times New Roman" w:hAnsi="Times New Roman"/>
          <w:lang w:val="bs-Latn-BA"/>
        </w:rPr>
      </w:pPr>
    </w:p>
    <w:p w:rsidR="00A131AD" w:rsidRDefault="009E2387" w:rsidP="00834139">
      <w:pPr>
        <w:spacing w:line="276" w:lineRule="auto"/>
        <w:rPr>
          <w:rFonts w:ascii="Times New Roman" w:hAnsi="Times New Roman"/>
          <w:lang w:val="pl-PL"/>
        </w:rPr>
      </w:pPr>
      <w:r>
        <w:rPr>
          <w:rFonts w:ascii="Times New Roman" w:hAnsi="Times New Roman"/>
          <w:lang w:val="pl-PL"/>
        </w:rPr>
        <w:t xml:space="preserve">U 2015.godini, od antropozoonoza </w:t>
      </w:r>
      <w:r w:rsidR="00A131AD" w:rsidRPr="00155F80">
        <w:rPr>
          <w:rFonts w:ascii="Times New Roman" w:hAnsi="Times New Roman"/>
          <w:lang w:val="pl-PL"/>
        </w:rPr>
        <w:t xml:space="preserve">su </w:t>
      </w:r>
      <w:r w:rsidRPr="00155F80">
        <w:rPr>
          <w:rFonts w:ascii="Times New Roman" w:hAnsi="Times New Roman"/>
          <w:lang w:val="pl-PL"/>
        </w:rPr>
        <w:t xml:space="preserve">oboljele </w:t>
      </w:r>
      <w:r w:rsidR="00A131AD" w:rsidRPr="00155F80">
        <w:rPr>
          <w:rFonts w:ascii="Times New Roman" w:hAnsi="Times New Roman"/>
          <w:lang w:val="pl-PL"/>
        </w:rPr>
        <w:t>152 osobe. U strukturi svih zaraznih oboljenja učestvuju sa 0,28%. Stopa obolijevanja (6,51/100000 stanovnika) je niža nego 2014.</w:t>
      </w:r>
      <w:r w:rsidR="00DA6463">
        <w:rPr>
          <w:rFonts w:ascii="Times New Roman" w:hAnsi="Times New Roman"/>
          <w:lang w:val="pl-PL"/>
        </w:rPr>
        <w:t xml:space="preserve"> </w:t>
      </w:r>
      <w:r w:rsidR="00A131AD" w:rsidRPr="00155F80">
        <w:rPr>
          <w:rFonts w:ascii="Times New Roman" w:hAnsi="Times New Roman"/>
          <w:lang w:val="pl-PL"/>
        </w:rPr>
        <w:t>godin</w:t>
      </w:r>
      <w:r w:rsidR="00DA6463">
        <w:rPr>
          <w:rFonts w:ascii="Times New Roman" w:hAnsi="Times New Roman"/>
          <w:lang w:val="pl-PL"/>
        </w:rPr>
        <w:t>e</w:t>
      </w:r>
      <w:r w:rsidR="00A131AD" w:rsidRPr="00155F80">
        <w:rPr>
          <w:rFonts w:ascii="Times New Roman" w:hAnsi="Times New Roman"/>
          <w:lang w:val="pl-PL"/>
        </w:rPr>
        <w:t xml:space="preserve"> (14,5/100000). Najveća stopa incidenc</w:t>
      </w:r>
      <w:r w:rsidR="00DA6463">
        <w:rPr>
          <w:rFonts w:ascii="Times New Roman" w:hAnsi="Times New Roman"/>
          <w:lang w:val="pl-PL"/>
        </w:rPr>
        <w:t>ij</w:t>
      </w:r>
      <w:r w:rsidR="00A131AD" w:rsidRPr="00155F80">
        <w:rPr>
          <w:rFonts w:ascii="Times New Roman" w:hAnsi="Times New Roman"/>
          <w:lang w:val="pl-PL"/>
        </w:rPr>
        <w:t>e je od bruceloze</w:t>
      </w:r>
      <w:r w:rsidR="00CA5BC1">
        <w:rPr>
          <w:rFonts w:ascii="Times New Roman" w:hAnsi="Times New Roman"/>
          <w:lang w:val="pl-PL"/>
        </w:rPr>
        <w:t>, a registrirani su slučajevi l</w:t>
      </w:r>
      <w:r w:rsidR="00A131AD" w:rsidRPr="00155F80">
        <w:rPr>
          <w:rFonts w:ascii="Times New Roman" w:hAnsi="Times New Roman"/>
          <w:lang w:val="pl-PL"/>
        </w:rPr>
        <w:t>eptospiroze, hemoragijske groznice sa bubrežnim sindromom (HGBS) i Lymove bolesti. Zbog problema u nadzoru, neintegriranog pristupa u nadzoru, stope ovih oboljenja su podcijenjene.</w:t>
      </w:r>
    </w:p>
    <w:p w:rsidR="004975B7" w:rsidRDefault="004975B7" w:rsidP="00834139">
      <w:pPr>
        <w:spacing w:line="276" w:lineRule="auto"/>
        <w:rPr>
          <w:rFonts w:ascii="Times New Roman" w:hAnsi="Times New Roman"/>
          <w:lang w:val="pl-PL"/>
        </w:rPr>
      </w:pPr>
    </w:p>
    <w:p w:rsidR="00B560D0" w:rsidRDefault="00B560D0" w:rsidP="00834139">
      <w:pPr>
        <w:spacing w:line="276" w:lineRule="auto"/>
        <w:rPr>
          <w:rFonts w:ascii="Times New Roman" w:hAnsi="Times New Roman"/>
          <w:lang w:val="pl-PL"/>
        </w:rPr>
      </w:pPr>
    </w:p>
    <w:p w:rsidR="00B560D0" w:rsidRDefault="00B560D0" w:rsidP="00834139">
      <w:pPr>
        <w:spacing w:line="276" w:lineRule="auto"/>
        <w:rPr>
          <w:rFonts w:ascii="Times New Roman" w:hAnsi="Times New Roman"/>
          <w:lang w:val="pl-PL"/>
        </w:rPr>
      </w:pPr>
    </w:p>
    <w:p w:rsidR="00A131AD" w:rsidRPr="00155F80" w:rsidRDefault="00A80006" w:rsidP="00EB7CC7">
      <w:pPr>
        <w:pStyle w:val="refererere"/>
        <w:rPr>
          <w:lang w:val="hr-HR"/>
        </w:rPr>
      </w:pPr>
      <w:r>
        <w:rPr>
          <w:lang w:val="hr-BA" w:eastAsia="hr-BA"/>
        </w:rPr>
        <w:t>Tabela</w:t>
      </w:r>
      <w:r w:rsidR="00A131AD" w:rsidRPr="00155F80">
        <w:rPr>
          <w:lang w:val="hr-BA" w:eastAsia="hr-BA"/>
        </w:rPr>
        <w:t xml:space="preserve"> 9: </w:t>
      </w:r>
      <w:r w:rsidR="00A131AD" w:rsidRPr="00155F80">
        <w:t>Antropozoonoze  u Federaciji BiH, 2015. i 2014. godina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943"/>
        <w:gridCol w:w="1560"/>
        <w:gridCol w:w="1457"/>
        <w:gridCol w:w="1548"/>
        <w:gridCol w:w="1441"/>
      </w:tblGrid>
      <w:tr w:rsidR="00600020" w:rsidRPr="00155F80" w:rsidTr="00B560D0">
        <w:trPr>
          <w:cantSplit/>
          <w:trHeight w:hRule="exact" w:val="340"/>
          <w:jc w:val="center"/>
        </w:trPr>
        <w:tc>
          <w:tcPr>
            <w:tcW w:w="294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FA3644" w:rsidRDefault="00A131AD" w:rsidP="00FA3644">
            <w:pPr>
              <w:rPr>
                <w:rFonts w:ascii="Times New Roman" w:hAnsi="Times New Roman"/>
                <w:lang w:val="hr-HR"/>
              </w:rPr>
            </w:pPr>
            <w:r w:rsidRPr="00FA3644">
              <w:rPr>
                <w:rFonts w:ascii="Times New Roman" w:hAnsi="Times New Roman"/>
                <w:lang w:val="hr-HR"/>
              </w:rPr>
              <w:t>Bolest</w:t>
            </w:r>
          </w:p>
        </w:tc>
        <w:tc>
          <w:tcPr>
            <w:tcW w:w="3017"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jc w:val="center"/>
              <w:rPr>
                <w:rFonts w:ascii="Times New Roman" w:hAnsi="Times New Roman"/>
                <w:lang w:val="hr-HR"/>
              </w:rPr>
            </w:pPr>
            <w:r w:rsidRPr="00FA3644">
              <w:rPr>
                <w:rFonts w:ascii="Times New Roman" w:hAnsi="Times New Roman"/>
                <w:lang w:val="hr-HR"/>
              </w:rPr>
              <w:t>2015</w:t>
            </w:r>
            <w:r w:rsidR="00600020" w:rsidRPr="00FA3644">
              <w:rPr>
                <w:rFonts w:ascii="Times New Roman" w:hAnsi="Times New Roman"/>
                <w:lang w:val="hr-HR"/>
              </w:rPr>
              <w:t>.</w:t>
            </w:r>
          </w:p>
        </w:tc>
        <w:tc>
          <w:tcPr>
            <w:tcW w:w="2989"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jc w:val="center"/>
              <w:rPr>
                <w:rFonts w:ascii="Times New Roman" w:hAnsi="Times New Roman"/>
                <w:lang w:val="hr-HR"/>
              </w:rPr>
            </w:pPr>
            <w:r w:rsidRPr="00FA3644">
              <w:rPr>
                <w:rFonts w:ascii="Times New Roman" w:hAnsi="Times New Roman"/>
                <w:lang w:val="hr-HR"/>
              </w:rPr>
              <w:t>2014</w:t>
            </w:r>
            <w:r w:rsidR="00600020" w:rsidRPr="00FA3644">
              <w:rPr>
                <w:rFonts w:ascii="Times New Roman" w:hAnsi="Times New Roman"/>
                <w:lang w:val="hr-HR"/>
              </w:rPr>
              <w:t>.</w:t>
            </w:r>
          </w:p>
        </w:tc>
      </w:tr>
      <w:tr w:rsidR="00600020" w:rsidRPr="00155F80" w:rsidTr="00FA3644">
        <w:trPr>
          <w:cantSplit/>
          <w:trHeight w:hRule="exact" w:val="377"/>
          <w:jc w:val="center"/>
        </w:trPr>
        <w:tc>
          <w:tcPr>
            <w:tcW w:w="0" w:type="auto"/>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FA3644" w:rsidRDefault="00A131AD" w:rsidP="00FA3644">
            <w:pPr>
              <w:rPr>
                <w:rFonts w:ascii="Times New Roman" w:hAnsi="Times New Roman"/>
                <w:noProof/>
                <w:lang w:val="hr-HR"/>
              </w:rPr>
            </w:pP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lang w:val="hr-HR"/>
              </w:rPr>
            </w:pPr>
            <w:bookmarkStart w:id="49" w:name="_Toc453328508"/>
            <w:bookmarkStart w:id="50" w:name="_Toc453917699"/>
            <w:bookmarkStart w:id="51" w:name="_Toc454797082"/>
            <w:bookmarkStart w:id="52" w:name="_Toc454797798"/>
            <w:bookmarkStart w:id="53" w:name="_Toc454799695"/>
            <w:bookmarkStart w:id="54" w:name="_Toc454803306"/>
            <w:r w:rsidRPr="00FA3644">
              <w:rPr>
                <w:rFonts w:ascii="Times New Roman" w:hAnsi="Times New Roman"/>
                <w:noProof/>
              </w:rPr>
              <w:t>Broj slučajeva</w:t>
            </w:r>
            <w:bookmarkEnd w:id="49"/>
            <w:bookmarkEnd w:id="50"/>
            <w:bookmarkEnd w:id="51"/>
            <w:bookmarkEnd w:id="52"/>
            <w:bookmarkEnd w:id="53"/>
            <w:bookmarkEnd w:id="54"/>
          </w:p>
        </w:tc>
        <w:tc>
          <w:tcPr>
            <w:tcW w:w="1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55" w:name="_Toc453328509"/>
            <w:bookmarkStart w:id="56" w:name="_Toc453917700"/>
            <w:bookmarkStart w:id="57" w:name="_Toc454797083"/>
            <w:bookmarkStart w:id="58" w:name="_Toc454797799"/>
            <w:bookmarkStart w:id="59" w:name="_Toc454799696"/>
            <w:bookmarkStart w:id="60" w:name="_Toc454803307"/>
            <w:r w:rsidRPr="00FA3644">
              <w:rPr>
                <w:rFonts w:ascii="Times New Roman" w:hAnsi="Times New Roman"/>
                <w:noProof/>
              </w:rPr>
              <w:t>Mb/100000</w:t>
            </w:r>
            <w:bookmarkEnd w:id="55"/>
            <w:bookmarkEnd w:id="56"/>
            <w:bookmarkEnd w:id="57"/>
            <w:bookmarkEnd w:id="58"/>
            <w:bookmarkEnd w:id="59"/>
            <w:bookmarkEnd w:id="60"/>
          </w:p>
        </w:tc>
        <w:tc>
          <w:tcPr>
            <w:tcW w:w="15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61" w:name="_Toc453328510"/>
            <w:bookmarkStart w:id="62" w:name="_Toc453917701"/>
            <w:bookmarkStart w:id="63" w:name="_Toc454797084"/>
            <w:bookmarkStart w:id="64" w:name="_Toc454797800"/>
            <w:bookmarkStart w:id="65" w:name="_Toc454799697"/>
            <w:bookmarkStart w:id="66" w:name="_Toc454803308"/>
            <w:r w:rsidRPr="00FA3644">
              <w:rPr>
                <w:rFonts w:ascii="Times New Roman" w:hAnsi="Times New Roman"/>
                <w:noProof/>
              </w:rPr>
              <w:t>Broj slučajeva</w:t>
            </w:r>
            <w:bookmarkEnd w:id="61"/>
            <w:bookmarkEnd w:id="62"/>
            <w:bookmarkEnd w:id="63"/>
            <w:bookmarkEnd w:id="64"/>
            <w:bookmarkEnd w:id="65"/>
            <w:bookmarkEnd w:id="66"/>
          </w:p>
        </w:tc>
        <w:tc>
          <w:tcPr>
            <w:tcW w:w="14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67" w:name="_Toc453328511"/>
            <w:bookmarkStart w:id="68" w:name="_Toc453917702"/>
            <w:bookmarkStart w:id="69" w:name="_Toc454797085"/>
            <w:bookmarkStart w:id="70" w:name="_Toc454797801"/>
            <w:bookmarkStart w:id="71" w:name="_Toc454799698"/>
            <w:bookmarkStart w:id="72" w:name="_Toc454803309"/>
            <w:r w:rsidRPr="00FA3644">
              <w:rPr>
                <w:rFonts w:ascii="Times New Roman" w:hAnsi="Times New Roman"/>
                <w:noProof/>
              </w:rPr>
              <w:t>Mb/100000</w:t>
            </w:r>
            <w:bookmarkEnd w:id="67"/>
            <w:bookmarkEnd w:id="68"/>
            <w:bookmarkEnd w:id="69"/>
            <w:bookmarkEnd w:id="70"/>
            <w:bookmarkEnd w:id="71"/>
            <w:bookmarkEnd w:id="72"/>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Brucellosis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73" w:name="_Toc453328512"/>
            <w:bookmarkStart w:id="74" w:name="_Toc453917703"/>
            <w:bookmarkStart w:id="75" w:name="_Toc454797086"/>
            <w:bookmarkStart w:id="76" w:name="_Toc454797802"/>
            <w:bookmarkStart w:id="77" w:name="_Toc454799699"/>
            <w:bookmarkStart w:id="78" w:name="_Toc454803310"/>
            <w:r w:rsidRPr="00FA3644">
              <w:rPr>
                <w:rFonts w:ascii="Times New Roman" w:hAnsi="Times New Roman"/>
                <w:noProof/>
              </w:rPr>
              <w:t>101</w:t>
            </w:r>
            <w:bookmarkEnd w:id="73"/>
            <w:bookmarkEnd w:id="74"/>
            <w:bookmarkEnd w:id="75"/>
            <w:bookmarkEnd w:id="76"/>
            <w:bookmarkEnd w:id="77"/>
            <w:bookmarkEnd w:id="78"/>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79" w:name="_Toc453328513"/>
            <w:bookmarkStart w:id="80" w:name="_Toc453917704"/>
            <w:bookmarkStart w:id="81" w:name="_Toc454797087"/>
            <w:bookmarkStart w:id="82" w:name="_Toc454797803"/>
            <w:bookmarkStart w:id="83" w:name="_Toc454799700"/>
            <w:bookmarkStart w:id="84" w:name="_Toc454803311"/>
            <w:r w:rsidRPr="00FA3644">
              <w:rPr>
                <w:rFonts w:ascii="Times New Roman" w:hAnsi="Times New Roman"/>
                <w:noProof/>
              </w:rPr>
              <w:t>4,33</w:t>
            </w:r>
            <w:bookmarkEnd w:id="79"/>
            <w:bookmarkEnd w:id="80"/>
            <w:bookmarkEnd w:id="81"/>
            <w:bookmarkEnd w:id="82"/>
            <w:bookmarkEnd w:id="83"/>
            <w:bookmarkEnd w:id="84"/>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85" w:name="_Toc453328514"/>
            <w:bookmarkStart w:id="86" w:name="_Toc453917705"/>
            <w:bookmarkStart w:id="87" w:name="_Toc454797088"/>
            <w:bookmarkStart w:id="88" w:name="_Toc454797804"/>
            <w:bookmarkStart w:id="89" w:name="_Toc454799701"/>
            <w:bookmarkStart w:id="90" w:name="_Toc454803312"/>
            <w:r w:rsidRPr="00FA3644">
              <w:rPr>
                <w:rFonts w:ascii="Times New Roman" w:hAnsi="Times New Roman"/>
                <w:noProof/>
              </w:rPr>
              <w:t>118</w:t>
            </w:r>
            <w:bookmarkEnd w:id="85"/>
            <w:bookmarkEnd w:id="86"/>
            <w:bookmarkEnd w:id="87"/>
            <w:bookmarkEnd w:id="88"/>
            <w:bookmarkEnd w:id="89"/>
            <w:bookmarkEnd w:id="90"/>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91" w:name="_Toc453328515"/>
            <w:bookmarkStart w:id="92" w:name="_Toc453917706"/>
            <w:bookmarkStart w:id="93" w:name="_Toc454797089"/>
            <w:bookmarkStart w:id="94" w:name="_Toc454797805"/>
            <w:bookmarkStart w:id="95" w:name="_Toc454799702"/>
            <w:bookmarkStart w:id="96" w:name="_Toc454803313"/>
            <w:r w:rsidRPr="00FA3644">
              <w:rPr>
                <w:rFonts w:ascii="Times New Roman" w:hAnsi="Times New Roman"/>
                <w:noProof/>
              </w:rPr>
              <w:t>5,05</w:t>
            </w:r>
            <w:bookmarkEnd w:id="91"/>
            <w:bookmarkEnd w:id="92"/>
            <w:bookmarkEnd w:id="93"/>
            <w:bookmarkEnd w:id="94"/>
            <w:bookmarkEnd w:id="95"/>
            <w:bookmarkEnd w:id="96"/>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Q febris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97" w:name="_Toc453328516"/>
            <w:bookmarkStart w:id="98" w:name="_Toc453917707"/>
            <w:bookmarkStart w:id="99" w:name="_Toc454797090"/>
            <w:bookmarkStart w:id="100" w:name="_Toc454797806"/>
            <w:bookmarkStart w:id="101" w:name="_Toc454799703"/>
            <w:bookmarkStart w:id="102" w:name="_Toc454803314"/>
            <w:r w:rsidRPr="00FA3644">
              <w:rPr>
                <w:rFonts w:ascii="Times New Roman" w:hAnsi="Times New Roman"/>
                <w:noProof/>
              </w:rPr>
              <w:t>11</w:t>
            </w:r>
            <w:bookmarkEnd w:id="97"/>
            <w:bookmarkEnd w:id="98"/>
            <w:bookmarkEnd w:id="99"/>
            <w:bookmarkEnd w:id="100"/>
            <w:bookmarkEnd w:id="101"/>
            <w:bookmarkEnd w:id="102"/>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03" w:name="_Toc453328517"/>
            <w:bookmarkStart w:id="104" w:name="_Toc453917708"/>
            <w:bookmarkStart w:id="105" w:name="_Toc454797091"/>
            <w:bookmarkStart w:id="106" w:name="_Toc454797807"/>
            <w:bookmarkStart w:id="107" w:name="_Toc454799704"/>
            <w:bookmarkStart w:id="108" w:name="_Toc454803315"/>
            <w:r w:rsidRPr="00FA3644">
              <w:rPr>
                <w:rFonts w:ascii="Times New Roman" w:hAnsi="Times New Roman"/>
                <w:noProof/>
              </w:rPr>
              <w:t>0,47</w:t>
            </w:r>
            <w:bookmarkEnd w:id="103"/>
            <w:bookmarkEnd w:id="104"/>
            <w:bookmarkEnd w:id="105"/>
            <w:bookmarkEnd w:id="106"/>
            <w:bookmarkEnd w:id="107"/>
            <w:bookmarkEnd w:id="10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09" w:name="_Toc453328518"/>
            <w:bookmarkStart w:id="110" w:name="_Toc453917709"/>
            <w:bookmarkStart w:id="111" w:name="_Toc454797092"/>
            <w:bookmarkStart w:id="112" w:name="_Toc454797808"/>
            <w:bookmarkStart w:id="113" w:name="_Toc454799705"/>
            <w:bookmarkStart w:id="114" w:name="_Toc454803316"/>
            <w:r w:rsidRPr="00FA3644">
              <w:rPr>
                <w:rFonts w:ascii="Times New Roman" w:hAnsi="Times New Roman"/>
                <w:noProof/>
              </w:rPr>
              <w:t>11</w:t>
            </w:r>
            <w:bookmarkEnd w:id="109"/>
            <w:bookmarkEnd w:id="110"/>
            <w:bookmarkEnd w:id="111"/>
            <w:bookmarkEnd w:id="112"/>
            <w:bookmarkEnd w:id="113"/>
            <w:bookmarkEnd w:id="114"/>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15" w:name="_Toc453328519"/>
            <w:bookmarkStart w:id="116" w:name="_Toc453917710"/>
            <w:bookmarkStart w:id="117" w:name="_Toc454797093"/>
            <w:bookmarkStart w:id="118" w:name="_Toc454797809"/>
            <w:bookmarkStart w:id="119" w:name="_Toc454799706"/>
            <w:bookmarkStart w:id="120" w:name="_Toc454803317"/>
            <w:r w:rsidRPr="00FA3644">
              <w:rPr>
                <w:rFonts w:ascii="Times New Roman" w:hAnsi="Times New Roman"/>
                <w:noProof/>
              </w:rPr>
              <w:t>0,47</w:t>
            </w:r>
            <w:bookmarkEnd w:id="115"/>
            <w:bookmarkEnd w:id="116"/>
            <w:bookmarkEnd w:id="117"/>
            <w:bookmarkEnd w:id="118"/>
            <w:bookmarkEnd w:id="119"/>
            <w:bookmarkEnd w:id="120"/>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Leptospirosis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21" w:name="_Toc453328520"/>
            <w:bookmarkStart w:id="122" w:name="_Toc453917711"/>
            <w:bookmarkStart w:id="123" w:name="_Toc454797094"/>
            <w:bookmarkStart w:id="124" w:name="_Toc454797810"/>
            <w:bookmarkStart w:id="125" w:name="_Toc454799707"/>
            <w:bookmarkStart w:id="126" w:name="_Toc454803318"/>
            <w:r w:rsidRPr="00FA3644">
              <w:rPr>
                <w:rFonts w:ascii="Times New Roman" w:hAnsi="Times New Roman"/>
                <w:noProof/>
              </w:rPr>
              <w:t>32</w:t>
            </w:r>
            <w:bookmarkEnd w:id="121"/>
            <w:bookmarkEnd w:id="122"/>
            <w:bookmarkEnd w:id="123"/>
            <w:bookmarkEnd w:id="124"/>
            <w:bookmarkEnd w:id="125"/>
            <w:bookmarkEnd w:id="12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27" w:name="_Toc453328521"/>
            <w:bookmarkStart w:id="128" w:name="_Toc453917712"/>
            <w:bookmarkStart w:id="129" w:name="_Toc454797095"/>
            <w:bookmarkStart w:id="130" w:name="_Toc454797811"/>
            <w:bookmarkStart w:id="131" w:name="_Toc454799708"/>
            <w:bookmarkStart w:id="132" w:name="_Toc454803319"/>
            <w:r w:rsidRPr="00FA3644">
              <w:rPr>
                <w:rFonts w:ascii="Times New Roman" w:hAnsi="Times New Roman"/>
                <w:noProof/>
              </w:rPr>
              <w:t>1,37</w:t>
            </w:r>
            <w:bookmarkEnd w:id="127"/>
            <w:bookmarkEnd w:id="128"/>
            <w:bookmarkEnd w:id="129"/>
            <w:bookmarkEnd w:id="130"/>
            <w:bookmarkEnd w:id="131"/>
            <w:bookmarkEnd w:id="132"/>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33" w:name="_Toc453328522"/>
            <w:bookmarkStart w:id="134" w:name="_Toc453917713"/>
            <w:bookmarkStart w:id="135" w:name="_Toc454797096"/>
            <w:bookmarkStart w:id="136" w:name="_Toc454797812"/>
            <w:bookmarkStart w:id="137" w:name="_Toc454799709"/>
            <w:bookmarkStart w:id="138" w:name="_Toc454803320"/>
            <w:r w:rsidRPr="00FA3644">
              <w:rPr>
                <w:rFonts w:ascii="Times New Roman" w:hAnsi="Times New Roman"/>
                <w:noProof/>
              </w:rPr>
              <w:t>107</w:t>
            </w:r>
            <w:bookmarkEnd w:id="133"/>
            <w:bookmarkEnd w:id="134"/>
            <w:bookmarkEnd w:id="135"/>
            <w:bookmarkEnd w:id="136"/>
            <w:bookmarkEnd w:id="137"/>
            <w:bookmarkEnd w:id="138"/>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39" w:name="_Toc453328523"/>
            <w:bookmarkStart w:id="140" w:name="_Toc453917714"/>
            <w:bookmarkStart w:id="141" w:name="_Toc454797097"/>
            <w:bookmarkStart w:id="142" w:name="_Toc454797813"/>
            <w:bookmarkStart w:id="143" w:name="_Toc454799710"/>
            <w:bookmarkStart w:id="144" w:name="_Toc454803321"/>
            <w:r w:rsidRPr="00FA3644">
              <w:rPr>
                <w:rFonts w:ascii="Times New Roman" w:hAnsi="Times New Roman"/>
                <w:noProof/>
              </w:rPr>
              <w:t>4,58</w:t>
            </w:r>
            <w:bookmarkEnd w:id="139"/>
            <w:bookmarkEnd w:id="140"/>
            <w:bookmarkEnd w:id="141"/>
            <w:bookmarkEnd w:id="142"/>
            <w:bookmarkEnd w:id="143"/>
            <w:bookmarkEnd w:id="144"/>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Lyme borelliosis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45" w:name="_Toc453328524"/>
            <w:bookmarkStart w:id="146" w:name="_Toc453917715"/>
            <w:bookmarkStart w:id="147" w:name="_Toc454797098"/>
            <w:bookmarkStart w:id="148" w:name="_Toc454797814"/>
            <w:bookmarkStart w:id="149" w:name="_Toc454799711"/>
            <w:bookmarkStart w:id="150" w:name="_Toc454803322"/>
            <w:r w:rsidRPr="00FA3644">
              <w:rPr>
                <w:rFonts w:ascii="Times New Roman" w:hAnsi="Times New Roman"/>
                <w:noProof/>
              </w:rPr>
              <w:t>3</w:t>
            </w:r>
            <w:bookmarkEnd w:id="145"/>
            <w:bookmarkEnd w:id="146"/>
            <w:bookmarkEnd w:id="147"/>
            <w:bookmarkEnd w:id="148"/>
            <w:bookmarkEnd w:id="149"/>
            <w:bookmarkEnd w:id="150"/>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51" w:name="_Toc453328525"/>
            <w:bookmarkStart w:id="152" w:name="_Toc453917716"/>
            <w:bookmarkStart w:id="153" w:name="_Toc454797099"/>
            <w:bookmarkStart w:id="154" w:name="_Toc454797815"/>
            <w:bookmarkStart w:id="155" w:name="_Toc454799712"/>
            <w:bookmarkStart w:id="156" w:name="_Toc454803323"/>
            <w:r w:rsidRPr="00FA3644">
              <w:rPr>
                <w:rFonts w:ascii="Times New Roman" w:hAnsi="Times New Roman"/>
                <w:noProof/>
              </w:rPr>
              <w:t>0,13</w:t>
            </w:r>
            <w:bookmarkEnd w:id="151"/>
            <w:bookmarkEnd w:id="152"/>
            <w:bookmarkEnd w:id="153"/>
            <w:bookmarkEnd w:id="154"/>
            <w:bookmarkEnd w:id="155"/>
            <w:bookmarkEnd w:id="156"/>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57" w:name="_Toc453328526"/>
            <w:bookmarkStart w:id="158" w:name="_Toc453917717"/>
            <w:bookmarkStart w:id="159" w:name="_Toc454797100"/>
            <w:bookmarkStart w:id="160" w:name="_Toc454797816"/>
            <w:bookmarkStart w:id="161" w:name="_Toc454799713"/>
            <w:r w:rsidRPr="00FA3644">
              <w:rPr>
                <w:rFonts w:ascii="Times New Roman" w:hAnsi="Times New Roman"/>
                <w:noProof/>
              </w:rPr>
              <w:t>6</w:t>
            </w:r>
            <w:bookmarkEnd w:id="157"/>
            <w:bookmarkEnd w:id="158"/>
            <w:bookmarkEnd w:id="159"/>
            <w:bookmarkEnd w:id="160"/>
            <w:bookmarkEnd w:id="161"/>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62" w:name="_Toc453328527"/>
            <w:bookmarkStart w:id="163" w:name="_Toc453917718"/>
            <w:bookmarkStart w:id="164" w:name="_Toc454797101"/>
            <w:bookmarkStart w:id="165" w:name="_Toc454797817"/>
            <w:bookmarkStart w:id="166" w:name="_Toc454799714"/>
            <w:r w:rsidRPr="00FA3644">
              <w:rPr>
                <w:rFonts w:ascii="Times New Roman" w:hAnsi="Times New Roman"/>
                <w:noProof/>
              </w:rPr>
              <w:t>0,26</w:t>
            </w:r>
            <w:bookmarkEnd w:id="162"/>
            <w:bookmarkEnd w:id="163"/>
            <w:bookmarkEnd w:id="164"/>
            <w:bookmarkEnd w:id="165"/>
            <w:bookmarkEnd w:id="166"/>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bookmarkStart w:id="167" w:name="_Toc453328528"/>
            <w:bookmarkStart w:id="168" w:name="_Toc453917719"/>
            <w:bookmarkStart w:id="169" w:name="_Toc454797102"/>
            <w:bookmarkStart w:id="170" w:name="_Toc454797818"/>
            <w:bookmarkStart w:id="171" w:name="_Toc454799715"/>
            <w:r w:rsidRPr="00FA3644">
              <w:rPr>
                <w:rFonts w:ascii="Times New Roman" w:hAnsi="Times New Roman"/>
                <w:noProof/>
              </w:rPr>
              <w:t>Febris haemorrhagica</w:t>
            </w:r>
            <w:bookmarkEnd w:id="167"/>
            <w:bookmarkEnd w:id="168"/>
            <w:bookmarkEnd w:id="169"/>
            <w:bookmarkEnd w:id="170"/>
            <w:bookmarkEnd w:id="171"/>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72" w:name="_Toc453328529"/>
            <w:bookmarkStart w:id="173" w:name="_Toc453917720"/>
            <w:bookmarkStart w:id="174" w:name="_Toc454797103"/>
            <w:bookmarkStart w:id="175" w:name="_Toc454797819"/>
            <w:bookmarkStart w:id="176" w:name="_Toc454799716"/>
            <w:r w:rsidRPr="00FA3644">
              <w:rPr>
                <w:rFonts w:ascii="Times New Roman" w:hAnsi="Times New Roman"/>
                <w:noProof/>
              </w:rPr>
              <w:t>5</w:t>
            </w:r>
            <w:bookmarkEnd w:id="172"/>
            <w:bookmarkEnd w:id="173"/>
            <w:bookmarkEnd w:id="174"/>
            <w:bookmarkEnd w:id="175"/>
            <w:bookmarkEnd w:id="17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77" w:name="_Toc453328530"/>
            <w:bookmarkStart w:id="178" w:name="_Toc453917721"/>
            <w:bookmarkStart w:id="179" w:name="_Toc454797104"/>
            <w:bookmarkStart w:id="180" w:name="_Toc454797820"/>
            <w:bookmarkStart w:id="181" w:name="_Toc454799717"/>
            <w:r w:rsidRPr="00FA3644">
              <w:rPr>
                <w:rFonts w:ascii="Times New Roman" w:hAnsi="Times New Roman"/>
                <w:noProof/>
              </w:rPr>
              <w:t>0,21</w:t>
            </w:r>
            <w:bookmarkEnd w:id="177"/>
            <w:bookmarkEnd w:id="178"/>
            <w:bookmarkEnd w:id="179"/>
            <w:bookmarkEnd w:id="180"/>
            <w:bookmarkEnd w:id="18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82" w:name="_Toc453328531"/>
            <w:bookmarkStart w:id="183" w:name="_Toc453917722"/>
            <w:bookmarkStart w:id="184" w:name="_Toc454797105"/>
            <w:bookmarkStart w:id="185" w:name="_Toc454797821"/>
            <w:bookmarkStart w:id="186" w:name="_Toc454799718"/>
            <w:r w:rsidRPr="00FA3644">
              <w:rPr>
                <w:rFonts w:ascii="Times New Roman" w:hAnsi="Times New Roman"/>
                <w:noProof/>
              </w:rPr>
              <w:t>85</w:t>
            </w:r>
            <w:bookmarkEnd w:id="182"/>
            <w:bookmarkEnd w:id="183"/>
            <w:bookmarkEnd w:id="184"/>
            <w:bookmarkEnd w:id="185"/>
            <w:bookmarkEnd w:id="186"/>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87" w:name="_Toc453328532"/>
            <w:bookmarkStart w:id="188" w:name="_Toc453917723"/>
            <w:bookmarkStart w:id="189" w:name="_Toc454797106"/>
            <w:bookmarkStart w:id="190" w:name="_Toc454797822"/>
            <w:bookmarkStart w:id="191" w:name="_Toc454799719"/>
            <w:r w:rsidRPr="00FA3644">
              <w:rPr>
                <w:rFonts w:ascii="Times New Roman" w:hAnsi="Times New Roman"/>
                <w:noProof/>
              </w:rPr>
              <w:t>3,64</w:t>
            </w:r>
            <w:bookmarkEnd w:id="187"/>
            <w:bookmarkEnd w:id="188"/>
            <w:bookmarkEnd w:id="189"/>
            <w:bookmarkEnd w:id="190"/>
            <w:bookmarkEnd w:id="191"/>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Tetanus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92" w:name="_Toc453328533"/>
            <w:bookmarkStart w:id="193" w:name="_Toc453917724"/>
            <w:bookmarkStart w:id="194" w:name="_Toc454797107"/>
            <w:bookmarkStart w:id="195" w:name="_Toc454797823"/>
            <w:bookmarkStart w:id="196" w:name="_Toc454799720"/>
            <w:r w:rsidRPr="00FA3644">
              <w:rPr>
                <w:rFonts w:ascii="Times New Roman" w:hAnsi="Times New Roman"/>
                <w:noProof/>
              </w:rPr>
              <w:t>0</w:t>
            </w:r>
            <w:bookmarkEnd w:id="192"/>
            <w:bookmarkEnd w:id="193"/>
            <w:bookmarkEnd w:id="194"/>
            <w:bookmarkEnd w:id="195"/>
            <w:bookmarkEnd w:id="19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97" w:name="_Toc453328534"/>
            <w:bookmarkStart w:id="198" w:name="_Toc453917725"/>
            <w:bookmarkStart w:id="199" w:name="_Toc454797108"/>
            <w:bookmarkStart w:id="200" w:name="_Toc454797824"/>
            <w:bookmarkStart w:id="201" w:name="_Toc454799721"/>
            <w:r w:rsidRPr="00FA3644">
              <w:rPr>
                <w:rFonts w:ascii="Times New Roman" w:hAnsi="Times New Roman"/>
                <w:noProof/>
              </w:rPr>
              <w:t>0</w:t>
            </w:r>
            <w:bookmarkEnd w:id="197"/>
            <w:bookmarkEnd w:id="198"/>
            <w:bookmarkEnd w:id="199"/>
            <w:bookmarkEnd w:id="200"/>
            <w:bookmarkEnd w:id="20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02" w:name="_Toc453328535"/>
            <w:bookmarkStart w:id="203" w:name="_Toc453917726"/>
            <w:bookmarkStart w:id="204" w:name="_Toc454797109"/>
            <w:bookmarkStart w:id="205" w:name="_Toc454797825"/>
            <w:bookmarkStart w:id="206" w:name="_Toc454799722"/>
            <w:r w:rsidRPr="00FA3644">
              <w:rPr>
                <w:rFonts w:ascii="Times New Roman" w:hAnsi="Times New Roman"/>
                <w:noProof/>
              </w:rPr>
              <w:t>1</w:t>
            </w:r>
            <w:bookmarkEnd w:id="202"/>
            <w:bookmarkEnd w:id="203"/>
            <w:bookmarkEnd w:id="204"/>
            <w:bookmarkEnd w:id="205"/>
            <w:bookmarkEnd w:id="206"/>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07" w:name="_Toc453328536"/>
            <w:bookmarkStart w:id="208" w:name="_Toc453917727"/>
            <w:bookmarkStart w:id="209" w:name="_Toc454797110"/>
            <w:bookmarkStart w:id="210" w:name="_Toc454797826"/>
            <w:bookmarkStart w:id="211" w:name="_Toc454799723"/>
            <w:r w:rsidRPr="00FA3644">
              <w:rPr>
                <w:rFonts w:ascii="Times New Roman" w:hAnsi="Times New Roman"/>
                <w:noProof/>
              </w:rPr>
              <w:t>0,04</w:t>
            </w:r>
            <w:bookmarkEnd w:id="207"/>
            <w:bookmarkEnd w:id="208"/>
            <w:bookmarkEnd w:id="209"/>
            <w:bookmarkEnd w:id="210"/>
            <w:bookmarkEnd w:id="211"/>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Leishmaniasis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12" w:name="_Toc453328537"/>
            <w:bookmarkStart w:id="213" w:name="_Toc453917728"/>
            <w:bookmarkStart w:id="214" w:name="_Toc454797111"/>
            <w:bookmarkStart w:id="215" w:name="_Toc454797827"/>
            <w:bookmarkStart w:id="216" w:name="_Toc454799724"/>
            <w:r w:rsidRPr="00FA3644">
              <w:rPr>
                <w:rFonts w:ascii="Times New Roman" w:hAnsi="Times New Roman"/>
                <w:noProof/>
              </w:rPr>
              <w:t>0</w:t>
            </w:r>
            <w:bookmarkEnd w:id="212"/>
            <w:bookmarkEnd w:id="213"/>
            <w:bookmarkEnd w:id="214"/>
            <w:bookmarkEnd w:id="215"/>
            <w:bookmarkEnd w:id="21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17" w:name="_Toc453328538"/>
            <w:bookmarkStart w:id="218" w:name="_Toc453917729"/>
            <w:bookmarkStart w:id="219" w:name="_Toc454797112"/>
            <w:bookmarkStart w:id="220" w:name="_Toc454797828"/>
            <w:bookmarkStart w:id="221" w:name="_Toc454799725"/>
            <w:r w:rsidRPr="00FA3644">
              <w:rPr>
                <w:rFonts w:ascii="Times New Roman" w:hAnsi="Times New Roman"/>
                <w:noProof/>
              </w:rPr>
              <w:t>0</w:t>
            </w:r>
            <w:bookmarkEnd w:id="217"/>
            <w:bookmarkEnd w:id="218"/>
            <w:bookmarkEnd w:id="219"/>
            <w:bookmarkEnd w:id="220"/>
            <w:bookmarkEnd w:id="22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22" w:name="_Toc453328539"/>
            <w:bookmarkStart w:id="223" w:name="_Toc453917730"/>
            <w:bookmarkStart w:id="224" w:name="_Toc454797113"/>
            <w:bookmarkStart w:id="225" w:name="_Toc454797829"/>
            <w:bookmarkStart w:id="226" w:name="_Toc454799726"/>
            <w:r w:rsidRPr="00FA3644">
              <w:rPr>
                <w:rFonts w:ascii="Times New Roman" w:hAnsi="Times New Roman"/>
                <w:noProof/>
              </w:rPr>
              <w:t>2</w:t>
            </w:r>
            <w:bookmarkEnd w:id="222"/>
            <w:bookmarkEnd w:id="223"/>
            <w:bookmarkEnd w:id="224"/>
            <w:bookmarkEnd w:id="225"/>
            <w:bookmarkEnd w:id="226"/>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27" w:name="_Toc453328540"/>
            <w:bookmarkStart w:id="228" w:name="_Toc453917731"/>
            <w:bookmarkStart w:id="229" w:name="_Toc454797114"/>
            <w:bookmarkStart w:id="230" w:name="_Toc454797830"/>
            <w:bookmarkStart w:id="231" w:name="_Toc454799727"/>
            <w:r w:rsidRPr="00FA3644">
              <w:rPr>
                <w:rFonts w:ascii="Times New Roman" w:hAnsi="Times New Roman"/>
                <w:noProof/>
              </w:rPr>
              <w:t>0,09</w:t>
            </w:r>
            <w:bookmarkEnd w:id="227"/>
            <w:bookmarkEnd w:id="228"/>
            <w:bookmarkEnd w:id="229"/>
            <w:bookmarkEnd w:id="230"/>
            <w:bookmarkEnd w:id="231"/>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Tularemia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32" w:name="_Toc453328541"/>
            <w:bookmarkStart w:id="233" w:name="_Toc453917732"/>
            <w:bookmarkStart w:id="234" w:name="_Toc454797115"/>
            <w:bookmarkStart w:id="235" w:name="_Toc454797831"/>
            <w:bookmarkStart w:id="236" w:name="_Toc454799728"/>
            <w:r w:rsidRPr="00FA3644">
              <w:rPr>
                <w:rFonts w:ascii="Times New Roman" w:hAnsi="Times New Roman"/>
                <w:noProof/>
              </w:rPr>
              <w:t>0</w:t>
            </w:r>
            <w:bookmarkEnd w:id="232"/>
            <w:bookmarkEnd w:id="233"/>
            <w:bookmarkEnd w:id="234"/>
            <w:bookmarkEnd w:id="235"/>
            <w:bookmarkEnd w:id="23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37" w:name="_Toc453328542"/>
            <w:bookmarkStart w:id="238" w:name="_Toc453917733"/>
            <w:bookmarkStart w:id="239" w:name="_Toc454797116"/>
            <w:bookmarkStart w:id="240" w:name="_Toc454797832"/>
            <w:bookmarkStart w:id="241" w:name="_Toc454799729"/>
            <w:r w:rsidRPr="00FA3644">
              <w:rPr>
                <w:rFonts w:ascii="Times New Roman" w:hAnsi="Times New Roman"/>
                <w:noProof/>
              </w:rPr>
              <w:t>0</w:t>
            </w:r>
            <w:bookmarkEnd w:id="237"/>
            <w:bookmarkEnd w:id="238"/>
            <w:bookmarkEnd w:id="239"/>
            <w:bookmarkEnd w:id="240"/>
            <w:bookmarkEnd w:id="24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42" w:name="_Toc453328543"/>
            <w:bookmarkStart w:id="243" w:name="_Toc453917734"/>
            <w:bookmarkStart w:id="244" w:name="_Toc454797117"/>
            <w:bookmarkStart w:id="245" w:name="_Toc454797833"/>
            <w:bookmarkStart w:id="246" w:name="_Toc454799730"/>
            <w:r w:rsidRPr="00FA3644">
              <w:rPr>
                <w:rFonts w:ascii="Times New Roman" w:hAnsi="Times New Roman"/>
                <w:noProof/>
              </w:rPr>
              <w:t>1</w:t>
            </w:r>
            <w:bookmarkEnd w:id="242"/>
            <w:bookmarkEnd w:id="243"/>
            <w:bookmarkEnd w:id="244"/>
            <w:bookmarkEnd w:id="245"/>
            <w:bookmarkEnd w:id="246"/>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47" w:name="_Toc453328544"/>
            <w:bookmarkStart w:id="248" w:name="_Toc453917735"/>
            <w:bookmarkStart w:id="249" w:name="_Toc454797118"/>
            <w:bookmarkStart w:id="250" w:name="_Toc454797834"/>
            <w:bookmarkStart w:id="251" w:name="_Toc454799731"/>
            <w:r w:rsidRPr="00FA3644">
              <w:rPr>
                <w:rFonts w:ascii="Times New Roman" w:hAnsi="Times New Roman"/>
                <w:noProof/>
              </w:rPr>
              <w:t>0,04</w:t>
            </w:r>
            <w:bookmarkEnd w:id="247"/>
            <w:bookmarkEnd w:id="248"/>
            <w:bookmarkEnd w:id="249"/>
            <w:bookmarkEnd w:id="250"/>
            <w:bookmarkEnd w:id="251"/>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Trichinellosis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52" w:name="_Toc453328545"/>
            <w:bookmarkStart w:id="253" w:name="_Toc453917736"/>
            <w:bookmarkStart w:id="254" w:name="_Toc454797119"/>
            <w:bookmarkStart w:id="255" w:name="_Toc454797835"/>
            <w:bookmarkStart w:id="256" w:name="_Toc454799732"/>
            <w:r w:rsidRPr="00FA3644">
              <w:rPr>
                <w:rFonts w:ascii="Times New Roman" w:hAnsi="Times New Roman"/>
                <w:noProof/>
              </w:rPr>
              <w:t>0</w:t>
            </w:r>
            <w:bookmarkEnd w:id="252"/>
            <w:bookmarkEnd w:id="253"/>
            <w:bookmarkEnd w:id="254"/>
            <w:bookmarkEnd w:id="255"/>
            <w:bookmarkEnd w:id="256"/>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57" w:name="_Toc453328546"/>
            <w:bookmarkStart w:id="258" w:name="_Toc453917737"/>
            <w:bookmarkStart w:id="259" w:name="_Toc454797120"/>
            <w:bookmarkStart w:id="260" w:name="_Toc454797836"/>
            <w:bookmarkStart w:id="261" w:name="_Toc454799733"/>
            <w:r w:rsidRPr="00FA3644">
              <w:rPr>
                <w:rFonts w:ascii="Times New Roman" w:hAnsi="Times New Roman"/>
                <w:noProof/>
              </w:rPr>
              <w:t>0</w:t>
            </w:r>
            <w:bookmarkEnd w:id="257"/>
            <w:bookmarkEnd w:id="258"/>
            <w:bookmarkEnd w:id="259"/>
            <w:bookmarkEnd w:id="260"/>
            <w:bookmarkEnd w:id="26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62" w:name="_Toc453328547"/>
            <w:bookmarkStart w:id="263" w:name="_Toc453917738"/>
            <w:bookmarkStart w:id="264" w:name="_Toc454797121"/>
            <w:bookmarkStart w:id="265" w:name="_Toc454797837"/>
            <w:bookmarkStart w:id="266" w:name="_Toc454799734"/>
            <w:r w:rsidRPr="00FA3644">
              <w:rPr>
                <w:rFonts w:ascii="Times New Roman" w:hAnsi="Times New Roman"/>
                <w:noProof/>
              </w:rPr>
              <w:t>6</w:t>
            </w:r>
            <w:bookmarkEnd w:id="262"/>
            <w:bookmarkEnd w:id="263"/>
            <w:bookmarkEnd w:id="264"/>
            <w:bookmarkEnd w:id="265"/>
            <w:bookmarkEnd w:id="266"/>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67" w:name="_Toc453328548"/>
            <w:bookmarkStart w:id="268" w:name="_Toc453917739"/>
            <w:bookmarkStart w:id="269" w:name="_Toc454797122"/>
            <w:bookmarkStart w:id="270" w:name="_Toc454797838"/>
            <w:bookmarkStart w:id="271" w:name="_Toc454799735"/>
            <w:r w:rsidRPr="00FA3644">
              <w:rPr>
                <w:rFonts w:ascii="Times New Roman" w:hAnsi="Times New Roman"/>
                <w:noProof/>
              </w:rPr>
              <w:t>0,26</w:t>
            </w:r>
            <w:bookmarkEnd w:id="267"/>
            <w:bookmarkEnd w:id="268"/>
            <w:bookmarkEnd w:id="269"/>
            <w:bookmarkEnd w:id="270"/>
            <w:bookmarkEnd w:id="271"/>
          </w:p>
        </w:tc>
      </w:tr>
    </w:tbl>
    <w:p w:rsidR="00A131AD" w:rsidRPr="00155F80" w:rsidRDefault="00A131AD" w:rsidP="000C0138">
      <w:pPr>
        <w:pStyle w:val="Tekst0"/>
        <w:spacing w:before="0" w:line="276" w:lineRule="auto"/>
        <w:outlineLvl w:val="0"/>
        <w:rPr>
          <w:b/>
          <w:sz w:val="22"/>
          <w:szCs w:val="22"/>
        </w:rPr>
      </w:pPr>
    </w:p>
    <w:p w:rsidR="00A131AD" w:rsidRPr="00155F80" w:rsidRDefault="00A131AD" w:rsidP="000C0138">
      <w:pPr>
        <w:spacing w:line="276" w:lineRule="auto"/>
        <w:rPr>
          <w:rFonts w:ascii="Times New Roman" w:hAnsi="Times New Roman"/>
          <w:b/>
          <w:lang w:val="bs-Latn-BA" w:eastAsia="ja-JP"/>
        </w:rPr>
      </w:pPr>
      <w:bookmarkStart w:id="272" w:name="_Toc104101032"/>
      <w:bookmarkStart w:id="273" w:name="_Toc169495012"/>
    </w:p>
    <w:p w:rsidR="00A131AD" w:rsidRPr="00EA6011" w:rsidRDefault="00A131AD" w:rsidP="00EA6011">
      <w:pPr>
        <w:rPr>
          <w:rFonts w:ascii="Times New Roman" w:hAnsi="Times New Roman"/>
          <w:b/>
          <w:lang w:val="bs-Latn-BA" w:eastAsia="ja-JP"/>
        </w:rPr>
      </w:pPr>
      <w:r w:rsidRPr="003819E7">
        <w:t xml:space="preserve"> </w:t>
      </w:r>
      <w:bookmarkStart w:id="274" w:name="_Toc453328549"/>
      <w:bookmarkStart w:id="275" w:name="_Toc453917740"/>
      <w:bookmarkStart w:id="276" w:name="_Toc454797839"/>
      <w:bookmarkStart w:id="277" w:name="_Toc454799736"/>
      <w:r w:rsidRPr="00EA6011">
        <w:rPr>
          <w:rFonts w:ascii="Times New Roman" w:hAnsi="Times New Roman"/>
          <w:b/>
        </w:rPr>
        <w:t>EPIDEMIJE ZARAZNIH BOLESTI</w:t>
      </w:r>
      <w:bookmarkEnd w:id="274"/>
      <w:bookmarkEnd w:id="275"/>
      <w:bookmarkEnd w:id="276"/>
      <w:bookmarkEnd w:id="277"/>
    </w:p>
    <w:p w:rsidR="00A131AD" w:rsidRPr="00155F80" w:rsidRDefault="00A131AD" w:rsidP="000C0138">
      <w:pPr>
        <w:pStyle w:val="Heading2"/>
        <w:spacing w:line="276" w:lineRule="auto"/>
        <w:rPr>
          <w:rFonts w:ascii="Times New Roman" w:hAnsi="Times New Roman" w:cs="Times New Roman"/>
          <w:sz w:val="22"/>
          <w:szCs w:val="22"/>
        </w:rPr>
      </w:pPr>
      <w:r w:rsidRPr="00155F80">
        <w:rPr>
          <w:rFonts w:ascii="Times New Roman" w:hAnsi="Times New Roman" w:cs="Times New Roman"/>
          <w:sz w:val="22"/>
          <w:szCs w:val="22"/>
        </w:rPr>
        <w:t xml:space="preserve"> </w:t>
      </w:r>
      <w:bookmarkEnd w:id="272"/>
      <w:bookmarkEnd w:id="273"/>
    </w:p>
    <w:p w:rsidR="00A131AD" w:rsidRPr="00EA6011" w:rsidRDefault="00F0369C" w:rsidP="00EA6011">
      <w:pPr>
        <w:spacing w:line="276" w:lineRule="auto"/>
        <w:rPr>
          <w:rFonts w:ascii="Times New Roman" w:hAnsi="Times New Roman"/>
        </w:rPr>
      </w:pPr>
      <w:bookmarkStart w:id="278" w:name="_Toc453328550"/>
      <w:bookmarkStart w:id="279" w:name="_Toc453917741"/>
      <w:bookmarkStart w:id="280" w:name="_Toc454797124"/>
      <w:bookmarkStart w:id="281" w:name="_Toc454797840"/>
      <w:bookmarkStart w:id="282" w:name="_Toc454799737"/>
      <w:r>
        <w:rPr>
          <w:rFonts w:ascii="Times New Roman" w:hAnsi="Times New Roman"/>
          <w:iCs/>
          <w:lang w:val="bs-Latn-BA"/>
        </w:rPr>
        <w:t>Tokom</w:t>
      </w:r>
      <w:r w:rsidR="00CA5BC1" w:rsidRPr="00EA6011">
        <w:rPr>
          <w:rFonts w:ascii="Times New Roman" w:hAnsi="Times New Roman"/>
          <w:iCs/>
          <w:lang w:val="bs-Latn-BA"/>
        </w:rPr>
        <w:t xml:space="preserve"> </w:t>
      </w:r>
      <w:r w:rsidR="00A131AD" w:rsidRPr="00EA6011">
        <w:rPr>
          <w:rFonts w:ascii="Times New Roman" w:hAnsi="Times New Roman"/>
          <w:iCs/>
          <w:lang w:val="bs-Latn-BA"/>
        </w:rPr>
        <w:t xml:space="preserve">2015. </w:t>
      </w:r>
      <w:r w:rsidR="00CA5BC1" w:rsidRPr="00EA6011">
        <w:rPr>
          <w:rFonts w:ascii="Times New Roman" w:hAnsi="Times New Roman"/>
          <w:iCs/>
          <w:lang w:val="pl-PL"/>
        </w:rPr>
        <w:t>godine</w:t>
      </w:r>
      <w:r w:rsidR="00A131AD" w:rsidRPr="00EA6011">
        <w:rPr>
          <w:rFonts w:ascii="Times New Roman" w:hAnsi="Times New Roman"/>
          <w:iCs/>
          <w:lang w:val="bs-Latn-BA"/>
        </w:rPr>
        <w:t xml:space="preserve"> </w:t>
      </w:r>
      <w:r w:rsidR="00A131AD" w:rsidRPr="00EA6011">
        <w:rPr>
          <w:rFonts w:ascii="Times New Roman" w:hAnsi="Times New Roman"/>
          <w:iCs/>
          <w:lang w:val="pl-PL"/>
        </w:rPr>
        <w:t>prijavljeno</w:t>
      </w:r>
      <w:r w:rsidR="00A131AD" w:rsidRPr="00EA6011">
        <w:rPr>
          <w:rFonts w:ascii="Times New Roman" w:hAnsi="Times New Roman"/>
          <w:iCs/>
          <w:lang w:val="bs-Latn-BA"/>
        </w:rPr>
        <w:t xml:space="preserve"> </w:t>
      </w:r>
      <w:r w:rsidR="00A131AD" w:rsidRPr="00EA6011">
        <w:rPr>
          <w:rFonts w:ascii="Times New Roman" w:hAnsi="Times New Roman"/>
          <w:iCs/>
          <w:lang w:val="pl-PL"/>
        </w:rPr>
        <w:t>je</w:t>
      </w:r>
      <w:r w:rsidR="00A131AD" w:rsidRPr="00EA6011">
        <w:rPr>
          <w:rFonts w:ascii="Times New Roman" w:hAnsi="Times New Roman"/>
          <w:iCs/>
          <w:lang w:val="bs-Latn-BA"/>
        </w:rPr>
        <w:t xml:space="preserve"> 5 </w:t>
      </w:r>
      <w:r w:rsidR="00A131AD" w:rsidRPr="00EA6011">
        <w:rPr>
          <w:rFonts w:ascii="Times New Roman" w:hAnsi="Times New Roman"/>
          <w:iCs/>
          <w:lang w:val="pl-PL"/>
        </w:rPr>
        <w:t>epidemija</w:t>
      </w:r>
      <w:r w:rsidR="00A131AD" w:rsidRPr="00EA6011">
        <w:rPr>
          <w:rFonts w:ascii="Times New Roman" w:hAnsi="Times New Roman"/>
          <w:iCs/>
          <w:lang w:val="bs-Latn-BA"/>
        </w:rPr>
        <w:t xml:space="preserve"> </w:t>
      </w:r>
      <w:r w:rsidR="00A131AD" w:rsidRPr="00EA6011">
        <w:rPr>
          <w:rFonts w:ascii="Times New Roman" w:hAnsi="Times New Roman"/>
          <w:iCs/>
          <w:lang w:val="pl-PL"/>
        </w:rPr>
        <w:t>zaraznih</w:t>
      </w:r>
      <w:r w:rsidR="00A131AD" w:rsidRPr="00EA6011">
        <w:rPr>
          <w:rFonts w:ascii="Times New Roman" w:hAnsi="Times New Roman"/>
          <w:iCs/>
          <w:lang w:val="bs-Latn-BA"/>
        </w:rPr>
        <w:t xml:space="preserve"> </w:t>
      </w:r>
      <w:r w:rsidR="00A131AD" w:rsidRPr="00EA6011">
        <w:rPr>
          <w:rFonts w:ascii="Times New Roman" w:hAnsi="Times New Roman"/>
          <w:iCs/>
          <w:lang w:val="pl-PL"/>
        </w:rPr>
        <w:t>bolesti</w:t>
      </w:r>
      <w:r w:rsidR="00A131AD" w:rsidRPr="00EA6011">
        <w:rPr>
          <w:rFonts w:ascii="Times New Roman" w:hAnsi="Times New Roman"/>
          <w:iCs/>
          <w:lang w:val="bs-Latn-BA"/>
        </w:rPr>
        <w:t xml:space="preserve"> </w:t>
      </w:r>
      <w:r w:rsidR="00A131AD" w:rsidRPr="00EA6011">
        <w:rPr>
          <w:rFonts w:ascii="Times New Roman" w:hAnsi="Times New Roman"/>
          <w:iCs/>
          <w:lang w:val="pl-PL"/>
        </w:rPr>
        <w:t>s</w:t>
      </w:r>
      <w:r w:rsidR="00A131AD" w:rsidRPr="00EA6011">
        <w:rPr>
          <w:rFonts w:ascii="Times New Roman" w:hAnsi="Times New Roman"/>
          <w:iCs/>
          <w:lang w:val="bs-Latn-BA"/>
        </w:rPr>
        <w:t xml:space="preserve"> </w:t>
      </w:r>
      <w:r w:rsidR="00A131AD" w:rsidRPr="00EA6011">
        <w:rPr>
          <w:rFonts w:ascii="Times New Roman" w:hAnsi="Times New Roman"/>
          <w:iCs/>
          <w:lang w:val="pl-PL"/>
        </w:rPr>
        <w:t>ukupno</w:t>
      </w:r>
      <w:r w:rsidR="00A131AD" w:rsidRPr="00EA6011">
        <w:rPr>
          <w:rFonts w:ascii="Times New Roman" w:hAnsi="Times New Roman"/>
          <w:iCs/>
          <w:lang w:val="bs-Latn-BA"/>
        </w:rPr>
        <w:t xml:space="preserve"> 473 </w:t>
      </w:r>
      <w:r w:rsidR="00A131AD" w:rsidRPr="00EA6011">
        <w:rPr>
          <w:rFonts w:ascii="Times New Roman" w:hAnsi="Times New Roman"/>
          <w:iCs/>
          <w:lang w:val="pl-PL"/>
        </w:rPr>
        <w:t>oboljele</w:t>
      </w:r>
      <w:r w:rsidR="00A131AD" w:rsidRPr="00EA6011">
        <w:rPr>
          <w:rFonts w:ascii="Times New Roman" w:hAnsi="Times New Roman"/>
          <w:iCs/>
          <w:lang w:val="bs-Latn-BA"/>
        </w:rPr>
        <w:t xml:space="preserve"> </w:t>
      </w:r>
      <w:r w:rsidR="00A131AD" w:rsidRPr="00EA6011">
        <w:rPr>
          <w:rFonts w:ascii="Times New Roman" w:hAnsi="Times New Roman"/>
          <w:iCs/>
          <w:lang w:val="pl-PL"/>
        </w:rPr>
        <w:t>osobe</w:t>
      </w:r>
      <w:r w:rsidR="00A131AD" w:rsidRPr="00EA6011">
        <w:rPr>
          <w:rFonts w:ascii="Times New Roman" w:hAnsi="Times New Roman"/>
          <w:iCs/>
          <w:lang w:val="bs-Latn-BA"/>
        </w:rPr>
        <w:t xml:space="preserve">. </w:t>
      </w:r>
      <w:r w:rsidR="00A131AD" w:rsidRPr="00EA6011">
        <w:rPr>
          <w:rFonts w:ascii="Times New Roman" w:hAnsi="Times New Roman"/>
        </w:rPr>
        <w:t xml:space="preserve">Najveći broj oboljelih je registriran u epidemiji salmoneloze s ukupno 249 oboljelih. Epidemija je prijavljena u vrtiću JU Djeca Sarajeva, gdje je kao uzročnik </w:t>
      </w:r>
      <w:r>
        <w:rPr>
          <w:rFonts w:ascii="Times New Roman" w:hAnsi="Times New Roman"/>
        </w:rPr>
        <w:t>izolovana</w:t>
      </w:r>
      <w:r w:rsidR="00A131AD" w:rsidRPr="00EA6011">
        <w:rPr>
          <w:rFonts w:ascii="Times New Roman" w:hAnsi="Times New Roman"/>
        </w:rPr>
        <w:t xml:space="preserve"> Salmonella enteritidis, a kao izvor infekcije navodi se hrana-</w:t>
      </w:r>
      <w:r w:rsidR="00C651BA">
        <w:rPr>
          <w:rFonts w:ascii="Times New Roman" w:hAnsi="Times New Roman"/>
        </w:rPr>
        <w:t>kiselo vrhnje</w:t>
      </w:r>
      <w:r w:rsidR="00A131AD" w:rsidRPr="00EA6011">
        <w:rPr>
          <w:rFonts w:ascii="Times New Roman" w:hAnsi="Times New Roman"/>
        </w:rPr>
        <w:t xml:space="preserve">. Kao nosokomijalna infekcija, prijavljena je epidemija gripe na Klinici za hematologiju KUC Sarajevo, gdje je oboljelo 11 osoba. Izvor infekcije nije utvrđen, a </w:t>
      </w:r>
      <w:r w:rsidR="008A7130">
        <w:rPr>
          <w:rFonts w:ascii="Times New Roman" w:hAnsi="Times New Roman"/>
        </w:rPr>
        <w:t>cjepni</w:t>
      </w:r>
      <w:r w:rsidR="00A131AD" w:rsidRPr="00EA6011">
        <w:rPr>
          <w:rFonts w:ascii="Times New Roman" w:hAnsi="Times New Roman"/>
        </w:rPr>
        <w:t xml:space="preserve"> status </w:t>
      </w:r>
      <w:r w:rsidR="00950A64">
        <w:rPr>
          <w:rFonts w:ascii="Times New Roman" w:hAnsi="Times New Roman"/>
        </w:rPr>
        <w:t>zaposlen</w:t>
      </w:r>
      <w:r w:rsidR="00A131AD" w:rsidRPr="00EA6011">
        <w:rPr>
          <w:rFonts w:ascii="Times New Roman" w:hAnsi="Times New Roman"/>
        </w:rPr>
        <w:t>ika nije poznat.</w:t>
      </w:r>
      <w:bookmarkEnd w:id="278"/>
      <w:bookmarkEnd w:id="279"/>
      <w:bookmarkEnd w:id="280"/>
      <w:bookmarkEnd w:id="281"/>
      <w:bookmarkEnd w:id="282"/>
      <w:r w:rsidR="00A131AD" w:rsidRPr="00EA6011">
        <w:rPr>
          <w:rFonts w:ascii="Times New Roman" w:hAnsi="Times New Roman"/>
        </w:rPr>
        <w:t xml:space="preserve"> </w:t>
      </w:r>
    </w:p>
    <w:p w:rsidR="00A131AD" w:rsidRPr="00155F80" w:rsidRDefault="00A131AD" w:rsidP="000C0138">
      <w:pPr>
        <w:spacing w:line="276" w:lineRule="auto"/>
        <w:rPr>
          <w:rFonts w:ascii="Times New Roman" w:hAnsi="Times New Roman"/>
          <w:iCs/>
          <w:lang w:val="bs-Latn-BA"/>
        </w:rPr>
      </w:pPr>
      <w:r w:rsidRPr="00155F80">
        <w:rPr>
          <w:rFonts w:ascii="Times New Roman" w:hAnsi="Times New Roman"/>
          <w:iCs/>
          <w:lang w:val="pl-PL"/>
        </w:rPr>
        <w:t>U</w:t>
      </w:r>
      <w:r w:rsidRPr="00155F80">
        <w:rPr>
          <w:rFonts w:ascii="Times New Roman" w:hAnsi="Times New Roman"/>
          <w:iCs/>
          <w:lang w:val="bs-Latn-BA"/>
        </w:rPr>
        <w:t xml:space="preserve"> </w:t>
      </w:r>
      <w:r w:rsidRPr="00155F80">
        <w:rPr>
          <w:rFonts w:ascii="Times New Roman" w:hAnsi="Times New Roman"/>
          <w:iCs/>
          <w:lang w:val="pl-PL"/>
        </w:rPr>
        <w:t>posljednjem</w:t>
      </w:r>
      <w:r w:rsidRPr="00155F80">
        <w:rPr>
          <w:rFonts w:ascii="Times New Roman" w:hAnsi="Times New Roman"/>
          <w:iCs/>
          <w:lang w:val="bs-Latn-BA"/>
        </w:rPr>
        <w:t xml:space="preserve"> </w:t>
      </w:r>
      <w:r w:rsidRPr="00155F80">
        <w:rPr>
          <w:rFonts w:ascii="Times New Roman" w:hAnsi="Times New Roman"/>
          <w:iCs/>
          <w:lang w:val="pl-PL"/>
        </w:rPr>
        <w:t>petogodi</w:t>
      </w:r>
      <w:r w:rsidRPr="00155F80">
        <w:rPr>
          <w:rFonts w:ascii="Times New Roman" w:hAnsi="Times New Roman"/>
          <w:iCs/>
          <w:lang w:val="bs-Latn-BA"/>
        </w:rPr>
        <w:t>š</w:t>
      </w:r>
      <w:r w:rsidRPr="00155F80">
        <w:rPr>
          <w:rFonts w:ascii="Times New Roman" w:hAnsi="Times New Roman"/>
          <w:iCs/>
          <w:lang w:val="pl-PL"/>
        </w:rPr>
        <w:t>njem</w:t>
      </w:r>
      <w:r w:rsidRPr="00155F80">
        <w:rPr>
          <w:rFonts w:ascii="Times New Roman" w:hAnsi="Times New Roman"/>
          <w:iCs/>
          <w:lang w:val="bs-Latn-BA"/>
        </w:rPr>
        <w:t xml:space="preserve"> </w:t>
      </w:r>
      <w:r w:rsidR="00F70FD4">
        <w:rPr>
          <w:rFonts w:ascii="Times New Roman" w:hAnsi="Times New Roman"/>
          <w:iCs/>
          <w:lang w:val="pl-PL"/>
        </w:rPr>
        <w:t>periodu</w:t>
      </w:r>
      <w:r w:rsidRPr="00155F80">
        <w:rPr>
          <w:rFonts w:ascii="Times New Roman" w:hAnsi="Times New Roman"/>
          <w:iCs/>
          <w:lang w:val="bs-Latn-BA"/>
        </w:rPr>
        <w:t xml:space="preserve">, </w:t>
      </w:r>
      <w:r w:rsidRPr="00155F80">
        <w:rPr>
          <w:rFonts w:ascii="Times New Roman" w:hAnsi="Times New Roman"/>
          <w:iCs/>
          <w:lang w:val="pl-PL"/>
        </w:rPr>
        <w:t>najvi</w:t>
      </w:r>
      <w:r w:rsidRPr="00155F80">
        <w:rPr>
          <w:rFonts w:ascii="Times New Roman" w:hAnsi="Times New Roman"/>
          <w:iCs/>
          <w:lang w:val="bs-Latn-BA"/>
        </w:rPr>
        <w:t>š</w:t>
      </w:r>
      <w:r w:rsidRPr="00155F80">
        <w:rPr>
          <w:rFonts w:ascii="Times New Roman" w:hAnsi="Times New Roman"/>
          <w:iCs/>
          <w:lang w:val="pl-PL"/>
        </w:rPr>
        <w:t>e</w:t>
      </w:r>
      <w:r w:rsidRPr="00155F80">
        <w:rPr>
          <w:rFonts w:ascii="Times New Roman" w:hAnsi="Times New Roman"/>
          <w:iCs/>
          <w:lang w:val="bs-Latn-BA"/>
        </w:rPr>
        <w:t xml:space="preserve">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je</w:t>
      </w:r>
      <w:r w:rsidRPr="00155F80">
        <w:rPr>
          <w:rFonts w:ascii="Times New Roman" w:hAnsi="Times New Roman"/>
          <w:iCs/>
          <w:lang w:val="bs-Latn-BA"/>
        </w:rPr>
        <w:t xml:space="preserve"> </w:t>
      </w:r>
      <w:r w:rsidRPr="00155F80">
        <w:rPr>
          <w:rFonts w:ascii="Times New Roman" w:hAnsi="Times New Roman"/>
          <w:iCs/>
          <w:lang w:val="pl-PL"/>
        </w:rPr>
        <w:t>prijavljeno</w:t>
      </w:r>
      <w:r w:rsidRPr="00155F80">
        <w:rPr>
          <w:rFonts w:ascii="Times New Roman" w:hAnsi="Times New Roman"/>
          <w:iCs/>
          <w:lang w:val="bs-Latn-BA"/>
        </w:rPr>
        <w:t xml:space="preserve"> 2010. </w:t>
      </w:r>
      <w:r w:rsidRPr="00155F80">
        <w:rPr>
          <w:rFonts w:ascii="Times New Roman" w:hAnsi="Times New Roman"/>
          <w:iCs/>
          <w:lang w:val="pl-PL"/>
        </w:rPr>
        <w:t>godine</w:t>
      </w:r>
      <w:r w:rsidRPr="00155F80">
        <w:rPr>
          <w:rFonts w:ascii="Times New Roman" w:hAnsi="Times New Roman"/>
          <w:iCs/>
          <w:lang w:val="bs-Latn-BA"/>
        </w:rPr>
        <w:t xml:space="preserve"> (11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a</w:t>
      </w:r>
      <w:r w:rsidRPr="00155F80">
        <w:rPr>
          <w:rFonts w:ascii="Times New Roman" w:hAnsi="Times New Roman"/>
          <w:iCs/>
          <w:lang w:val="bs-Latn-BA"/>
        </w:rPr>
        <w:t xml:space="preserve"> </w:t>
      </w:r>
      <w:r w:rsidRPr="00155F80">
        <w:rPr>
          <w:rFonts w:ascii="Times New Roman" w:hAnsi="Times New Roman"/>
          <w:iCs/>
          <w:lang w:val="pl-PL"/>
        </w:rPr>
        <w:t>najve</w:t>
      </w:r>
      <w:r w:rsidRPr="00155F80">
        <w:rPr>
          <w:rFonts w:ascii="Times New Roman" w:hAnsi="Times New Roman"/>
          <w:iCs/>
          <w:lang w:val="bs-Latn-BA"/>
        </w:rPr>
        <w:t>ć</w:t>
      </w:r>
      <w:r w:rsidRPr="00155F80">
        <w:rPr>
          <w:rFonts w:ascii="Times New Roman" w:hAnsi="Times New Roman"/>
          <w:iCs/>
          <w:lang w:val="pl-PL"/>
        </w:rPr>
        <w:t>i</w:t>
      </w:r>
      <w:r w:rsidRPr="00155F80">
        <w:rPr>
          <w:rFonts w:ascii="Times New Roman" w:hAnsi="Times New Roman"/>
          <w:iCs/>
          <w:lang w:val="bs-Latn-BA"/>
        </w:rPr>
        <w:t xml:space="preserve"> </w:t>
      </w:r>
      <w:r w:rsidRPr="00155F80">
        <w:rPr>
          <w:rFonts w:ascii="Times New Roman" w:hAnsi="Times New Roman"/>
          <w:iCs/>
          <w:lang w:val="pl-PL"/>
        </w:rPr>
        <w:t>broj</w:t>
      </w:r>
      <w:r w:rsidRPr="00155F80">
        <w:rPr>
          <w:rFonts w:ascii="Times New Roman" w:hAnsi="Times New Roman"/>
          <w:iCs/>
          <w:lang w:val="bs-Latn-BA"/>
        </w:rPr>
        <w:t xml:space="preserve"> </w:t>
      </w:r>
      <w:r w:rsidRPr="00155F80">
        <w:rPr>
          <w:rFonts w:ascii="Times New Roman" w:hAnsi="Times New Roman"/>
          <w:iCs/>
          <w:lang w:val="pl-PL"/>
        </w:rPr>
        <w:t>oboljelih</w:t>
      </w:r>
      <w:r w:rsidRPr="00155F80">
        <w:rPr>
          <w:rFonts w:ascii="Times New Roman" w:hAnsi="Times New Roman"/>
          <w:iCs/>
          <w:lang w:val="bs-Latn-BA"/>
        </w:rPr>
        <w:t xml:space="preserve"> </w:t>
      </w:r>
      <w:r w:rsidRPr="00155F80">
        <w:rPr>
          <w:rFonts w:ascii="Times New Roman" w:hAnsi="Times New Roman"/>
          <w:iCs/>
          <w:lang w:val="pl-PL"/>
        </w:rPr>
        <w:t>u</w:t>
      </w:r>
      <w:r w:rsidRPr="00155F80">
        <w:rPr>
          <w:rFonts w:ascii="Times New Roman" w:hAnsi="Times New Roman"/>
          <w:iCs/>
          <w:lang w:val="bs-Latn-BA"/>
        </w:rPr>
        <w:t xml:space="preserve"> </w:t>
      </w:r>
      <w:r w:rsidRPr="00155F80">
        <w:rPr>
          <w:rFonts w:ascii="Times New Roman" w:hAnsi="Times New Roman"/>
          <w:iCs/>
          <w:lang w:val="pl-PL"/>
        </w:rPr>
        <w:t>epidemijama</w:t>
      </w:r>
      <w:r w:rsidRPr="00155F80">
        <w:rPr>
          <w:rFonts w:ascii="Times New Roman" w:hAnsi="Times New Roman"/>
          <w:iCs/>
          <w:lang w:val="bs-Latn-BA"/>
        </w:rPr>
        <w:t xml:space="preserve"> 2011. </w:t>
      </w:r>
      <w:r w:rsidRPr="00155F80">
        <w:rPr>
          <w:rFonts w:ascii="Times New Roman" w:hAnsi="Times New Roman"/>
          <w:iCs/>
          <w:lang w:val="pl-PL"/>
        </w:rPr>
        <w:t>godine</w:t>
      </w:r>
      <w:r w:rsidRPr="00155F80">
        <w:rPr>
          <w:rFonts w:ascii="Times New Roman" w:hAnsi="Times New Roman"/>
          <w:iCs/>
          <w:lang w:val="bs-Latn-BA"/>
        </w:rPr>
        <w:t xml:space="preserve">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gripe</w:t>
      </w:r>
      <w:r w:rsidRPr="00155F80">
        <w:rPr>
          <w:rFonts w:ascii="Times New Roman" w:hAnsi="Times New Roman"/>
          <w:iCs/>
          <w:lang w:val="bs-Latn-BA"/>
        </w:rPr>
        <w:t xml:space="preserve">). </w:t>
      </w:r>
    </w:p>
    <w:p w:rsidR="00A131AD" w:rsidRPr="00155F80" w:rsidRDefault="00A131AD" w:rsidP="000C0138">
      <w:pPr>
        <w:spacing w:line="276" w:lineRule="auto"/>
        <w:jc w:val="center"/>
        <w:rPr>
          <w:rFonts w:ascii="Times New Roman" w:hAnsi="Times New Roman"/>
          <w:b/>
          <w:iCs/>
          <w:lang w:val="hr-HR"/>
        </w:rPr>
      </w:pPr>
    </w:p>
    <w:p w:rsidR="00A131AD" w:rsidRPr="00155F80" w:rsidRDefault="00A80006" w:rsidP="00EB7CC7">
      <w:pPr>
        <w:pStyle w:val="refererere"/>
      </w:pPr>
      <w:r>
        <w:t>Tabela</w:t>
      </w:r>
      <w:r w:rsidR="00A131AD" w:rsidRPr="00155F80">
        <w:t xml:space="preserve"> 10: Epidemije zaraznih bolesti u Federaciji BiH za period 2011.-2015. godina, prema putu prenosa</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8"/>
        <w:gridCol w:w="3827"/>
        <w:gridCol w:w="2032"/>
        <w:gridCol w:w="2172"/>
      </w:tblGrid>
      <w:tr w:rsidR="00A131AD" w:rsidRPr="00B560D0" w:rsidTr="00B560D0">
        <w:trPr>
          <w:cantSplit/>
          <w:trHeight w:hRule="exact" w:val="321"/>
          <w:jc w:val="center"/>
        </w:trPr>
        <w:tc>
          <w:tcPr>
            <w:tcW w:w="4815"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Godina / broj epidemija</w:t>
            </w:r>
          </w:p>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oboljelih</w:t>
            </w:r>
          </w:p>
        </w:tc>
        <w:tc>
          <w:tcPr>
            <w:tcW w:w="420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Epidemija</w:t>
            </w:r>
          </w:p>
        </w:tc>
      </w:tr>
      <w:tr w:rsidR="00A131AD" w:rsidRPr="00B560D0" w:rsidTr="00B560D0">
        <w:trPr>
          <w:cantSplit/>
          <w:trHeight w:hRule="exact" w:val="321"/>
          <w:jc w:val="center"/>
        </w:trPr>
        <w:tc>
          <w:tcPr>
            <w:tcW w:w="4815"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rPr>
                <w:rFonts w:ascii="Times New Roman" w:hAnsi="Times New Roman"/>
                <w:b/>
                <w:bCs/>
                <w:noProof/>
                <w:lang w:val="hr-BA" w:eastAsia="hr-BA"/>
              </w:rPr>
            </w:pPr>
          </w:p>
        </w:tc>
        <w:tc>
          <w:tcPr>
            <w:tcW w:w="203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rPr>
                <w:rFonts w:ascii="Times New Roman" w:hAnsi="Times New Roman"/>
                <w:b/>
                <w:bCs/>
                <w:lang w:val="hr-BA" w:eastAsia="hr-BA"/>
              </w:rPr>
            </w:pPr>
            <w:r w:rsidRPr="00B560D0">
              <w:rPr>
                <w:rFonts w:ascii="Times New Roman" w:hAnsi="Times New Roman"/>
                <w:b/>
                <w:bCs/>
                <w:lang w:val="hr-BA" w:eastAsia="hr-BA"/>
              </w:rPr>
              <w:t>Kapljična</w:t>
            </w:r>
          </w:p>
        </w:tc>
        <w:tc>
          <w:tcPr>
            <w:tcW w:w="217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rPr>
                <w:rFonts w:ascii="Times New Roman" w:hAnsi="Times New Roman"/>
                <w:b/>
                <w:bCs/>
                <w:lang w:val="hr-BA" w:eastAsia="hr-BA"/>
              </w:rPr>
            </w:pPr>
            <w:r w:rsidRPr="00B560D0">
              <w:rPr>
                <w:rFonts w:ascii="Times New Roman" w:hAnsi="Times New Roman"/>
                <w:b/>
                <w:bCs/>
                <w:lang w:val="hr-BA" w:eastAsia="hr-BA"/>
              </w:rPr>
              <w:t>Alimentarna</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1</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5998</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86</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2</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60</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41</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3</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131AD" w:rsidRPr="00B560D0" w:rsidRDefault="005E297E" w:rsidP="000C0138">
            <w:pPr>
              <w:spacing w:line="276" w:lineRule="auto"/>
              <w:jc w:val="center"/>
              <w:rPr>
                <w:rFonts w:ascii="Times New Roman" w:hAnsi="Times New Roman"/>
                <w:lang w:val="hr-BA" w:eastAsia="hr-BA"/>
              </w:rPr>
            </w:pPr>
            <w:r w:rsidRPr="00B560D0">
              <w:rPr>
                <w:rFonts w:ascii="Times New Roman" w:hAnsi="Times New Roman"/>
                <w:lang w:val="hr-BA" w:eastAsia="hr-BA"/>
              </w:rPr>
              <w:t>-</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131AD" w:rsidRPr="00B560D0" w:rsidRDefault="005E297E" w:rsidP="000C0138">
            <w:pPr>
              <w:spacing w:line="276" w:lineRule="auto"/>
              <w:jc w:val="center"/>
              <w:rPr>
                <w:rFonts w:ascii="Times New Roman" w:hAnsi="Times New Roman"/>
                <w:lang w:val="hr-BA" w:eastAsia="hr-BA"/>
              </w:rPr>
            </w:pPr>
            <w:r w:rsidRPr="00B560D0">
              <w:rPr>
                <w:rFonts w:ascii="Times New Roman" w:hAnsi="Times New Roman"/>
                <w:lang w:val="hr-BA" w:eastAsia="hr-BA"/>
              </w:rPr>
              <w:t>-</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117</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4</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5</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3375</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215</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2015</w:t>
            </w:r>
            <w:r w:rsidR="00874E9B">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451</w:t>
            </w:r>
          </w:p>
        </w:tc>
      </w:tr>
    </w:tbl>
    <w:p w:rsidR="00A131AD" w:rsidRDefault="00A131AD" w:rsidP="000C0138">
      <w:pPr>
        <w:spacing w:line="276" w:lineRule="auto"/>
        <w:outlineLvl w:val="0"/>
        <w:rPr>
          <w:rFonts w:ascii="Times New Roman" w:hAnsi="Times New Roman"/>
          <w:b/>
        </w:rPr>
      </w:pPr>
    </w:p>
    <w:p w:rsidR="00B4366E" w:rsidRDefault="00B4366E"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3E3695" w:rsidRDefault="003E3695"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A131AD" w:rsidRPr="00155F80" w:rsidRDefault="00A80006" w:rsidP="00EB7CC7">
      <w:pPr>
        <w:pStyle w:val="refererere"/>
        <w:rPr>
          <w:lang w:val="pl-PL"/>
        </w:rPr>
      </w:pPr>
      <w:r>
        <w:rPr>
          <w:lang w:val="pl-PL"/>
        </w:rPr>
        <w:t>Tabela</w:t>
      </w:r>
      <w:r w:rsidR="00A131AD" w:rsidRPr="00155F80">
        <w:rPr>
          <w:lang w:val="pl-PL"/>
        </w:rPr>
        <w:t xml:space="preserve"> 11: </w:t>
      </w:r>
      <w:r w:rsidR="00A131AD" w:rsidRPr="00155F80">
        <w:t xml:space="preserve"> </w:t>
      </w:r>
      <w:r w:rsidR="00A131AD" w:rsidRPr="00155F80">
        <w:rPr>
          <w:lang w:val="pl-PL"/>
        </w:rPr>
        <w:t>Epidemije na podru</w:t>
      </w:r>
      <w:r w:rsidR="00A131AD" w:rsidRPr="00155F80">
        <w:t>č</w:t>
      </w:r>
      <w:r w:rsidR="00A131AD" w:rsidRPr="00155F80">
        <w:rPr>
          <w:lang w:val="pl-PL"/>
        </w:rPr>
        <w:t>ju Federacije BiH</w:t>
      </w:r>
      <w:r w:rsidR="00A131AD" w:rsidRPr="00155F80">
        <w:t xml:space="preserve">, 2015. </w:t>
      </w:r>
      <w:r w:rsidR="00A131AD" w:rsidRPr="00155F80">
        <w:rPr>
          <w:lang w:val="pl-PL"/>
        </w:rPr>
        <w:t>godina</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41"/>
        <w:gridCol w:w="2028"/>
        <w:gridCol w:w="1842"/>
        <w:gridCol w:w="2527"/>
        <w:gridCol w:w="1416"/>
        <w:gridCol w:w="1276"/>
      </w:tblGrid>
      <w:tr w:rsidR="00A131AD" w:rsidRPr="00155F80" w:rsidTr="00B560D0">
        <w:trPr>
          <w:jc w:val="center"/>
        </w:trPr>
        <w:tc>
          <w:tcPr>
            <w:tcW w:w="541"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B560D0" w:rsidRDefault="00A131AD" w:rsidP="000C0138">
            <w:pPr>
              <w:spacing w:line="276" w:lineRule="auto"/>
              <w:jc w:val="center"/>
              <w:rPr>
                <w:rFonts w:ascii="Times New Roman" w:hAnsi="Times New Roman"/>
                <w:bCs/>
                <w:sz w:val="20"/>
                <w:szCs w:val="20"/>
                <w:lang w:val="pl-PL"/>
              </w:rPr>
            </w:pPr>
          </w:p>
          <w:p w:rsidR="00A131AD" w:rsidRPr="00B560D0" w:rsidRDefault="00A131AD" w:rsidP="000C0138">
            <w:pPr>
              <w:spacing w:line="276" w:lineRule="auto"/>
              <w:jc w:val="center"/>
              <w:rPr>
                <w:rFonts w:ascii="Times New Roman" w:hAnsi="Times New Roman"/>
                <w:bCs/>
                <w:sz w:val="20"/>
                <w:szCs w:val="20"/>
                <w:lang w:val="pl-PL"/>
              </w:rPr>
            </w:pPr>
            <w:r w:rsidRPr="00B560D0">
              <w:rPr>
                <w:rFonts w:ascii="Times New Roman" w:hAnsi="Times New Roman"/>
                <w:bCs/>
                <w:sz w:val="20"/>
                <w:szCs w:val="20"/>
                <w:lang w:val="pl-PL"/>
              </w:rPr>
              <w:t>R/B</w:t>
            </w:r>
          </w:p>
        </w:tc>
        <w:tc>
          <w:tcPr>
            <w:tcW w:w="20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Bolest</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Kanton</w:t>
            </w:r>
          </w:p>
        </w:tc>
        <w:tc>
          <w:tcPr>
            <w:tcW w:w="252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CB080B" w:rsidP="000C0138">
            <w:pPr>
              <w:spacing w:line="276" w:lineRule="auto"/>
              <w:jc w:val="center"/>
              <w:rPr>
                <w:rFonts w:ascii="Times New Roman" w:hAnsi="Times New Roman"/>
                <w:sz w:val="20"/>
                <w:szCs w:val="20"/>
                <w:lang w:val="pl-PL"/>
              </w:rPr>
            </w:pPr>
            <w:r>
              <w:rPr>
                <w:rFonts w:ascii="Times New Roman" w:hAnsi="Times New Roman"/>
                <w:sz w:val="20"/>
                <w:szCs w:val="20"/>
                <w:lang w:val="pl-PL"/>
              </w:rPr>
              <w:t>Opšti</w:t>
            </w:r>
            <w:r w:rsidR="00A131AD" w:rsidRPr="00B560D0">
              <w:rPr>
                <w:rFonts w:ascii="Times New Roman" w:hAnsi="Times New Roman"/>
                <w:sz w:val="20"/>
                <w:szCs w:val="20"/>
                <w:lang w:val="pl-PL"/>
              </w:rPr>
              <w:t>na</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Datum prijave</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Broj oboljelih</w:t>
            </w:r>
          </w:p>
        </w:tc>
      </w:tr>
      <w:tr w:rsidR="00A131AD" w:rsidRPr="00155F80" w:rsidTr="001911A6">
        <w:trPr>
          <w:trHeight w:val="614"/>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hr-HR"/>
              </w:rPr>
            </w:pPr>
            <w:r w:rsidRPr="00155F80">
              <w:rPr>
                <w:rFonts w:ascii="Times New Roman" w:hAnsi="Times New Roman"/>
                <w:sz w:val="20"/>
                <w:szCs w:val="20"/>
              </w:rPr>
              <w:t>1.</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Enterocollitis ac.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8A7130" w:rsidP="008A7130">
            <w:pPr>
              <w:spacing w:line="276" w:lineRule="auto"/>
              <w:rPr>
                <w:rFonts w:ascii="Times New Roman" w:hAnsi="Times New Roman"/>
                <w:sz w:val="20"/>
                <w:szCs w:val="20"/>
              </w:rPr>
            </w:pPr>
            <w:r>
              <w:rPr>
                <w:rFonts w:ascii="Times New Roman" w:hAnsi="Times New Roman"/>
                <w:sz w:val="20"/>
                <w:szCs w:val="20"/>
              </w:rPr>
              <w:t>Tuzlanski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bCs/>
                <w:sz w:val="20"/>
                <w:szCs w:val="20"/>
              </w:rPr>
            </w:pPr>
            <w:r w:rsidRPr="00155F80">
              <w:rPr>
                <w:rFonts w:ascii="Times New Roman" w:hAnsi="Times New Roman"/>
                <w:bCs/>
                <w:sz w:val="20"/>
                <w:szCs w:val="20"/>
              </w:rPr>
              <w:t>Živinice (MZ Đurđevik)-vodovod „Sinac“</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26.1.2015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rPr>
            </w:pPr>
            <w:r w:rsidRPr="00155F80">
              <w:rPr>
                <w:rFonts w:ascii="Times New Roman" w:hAnsi="Times New Roman"/>
                <w:bCs/>
                <w:sz w:val="20"/>
                <w:szCs w:val="20"/>
              </w:rPr>
              <w:t>55</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2.</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Toxiinfectio alimentaris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8A7130">
            <w:pPr>
              <w:spacing w:line="276" w:lineRule="auto"/>
              <w:rPr>
                <w:rFonts w:ascii="Times New Roman" w:hAnsi="Times New Roman"/>
                <w:sz w:val="20"/>
                <w:szCs w:val="20"/>
              </w:rPr>
            </w:pPr>
            <w:r w:rsidRPr="00155F80">
              <w:rPr>
                <w:rFonts w:ascii="Times New Roman" w:hAnsi="Times New Roman"/>
                <w:sz w:val="20"/>
                <w:szCs w:val="20"/>
              </w:rPr>
              <w:t>Tuzlansk</w:t>
            </w:r>
            <w:r w:rsidR="008A7130">
              <w:rPr>
                <w:rFonts w:ascii="Times New Roman" w:hAnsi="Times New Roman"/>
                <w:sz w:val="20"/>
                <w:szCs w:val="20"/>
              </w:rPr>
              <w:t>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Tuzla (restoran društvene ishrane ”Termoelektrana”</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28.1.2015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44</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3.</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Bolnička 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bCs/>
                <w:sz w:val="20"/>
                <w:szCs w:val="20"/>
              </w:rPr>
              <w:t>Sarajevski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KCU u Sarajevu/Klinika za hematologiju</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6.4.2015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11</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4.</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Salmonellosis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bCs/>
                <w:sz w:val="20"/>
                <w:szCs w:val="20"/>
              </w:rPr>
              <w:t>Sarajevski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JU Djeca Sarajeva-vrtići/Kanton Sarajevo</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23.4.2015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249</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5.</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Enterocollitis ac.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8A7130">
            <w:pPr>
              <w:spacing w:line="276" w:lineRule="auto"/>
              <w:rPr>
                <w:rFonts w:ascii="Times New Roman" w:hAnsi="Times New Roman"/>
                <w:sz w:val="20"/>
                <w:szCs w:val="20"/>
              </w:rPr>
            </w:pPr>
            <w:r w:rsidRPr="00155F80">
              <w:rPr>
                <w:rFonts w:ascii="Times New Roman" w:hAnsi="Times New Roman"/>
                <w:sz w:val="20"/>
                <w:szCs w:val="20"/>
              </w:rPr>
              <w:t>Tuzlansk</w:t>
            </w:r>
            <w:r w:rsidR="008A7130">
              <w:rPr>
                <w:rFonts w:ascii="Times New Roman" w:hAnsi="Times New Roman"/>
                <w:sz w:val="20"/>
                <w:szCs w:val="20"/>
              </w:rPr>
              <w:t>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Gračanica-vodovod Malešići</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29.9.2015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103</w:t>
            </w:r>
          </w:p>
        </w:tc>
      </w:tr>
    </w:tbl>
    <w:p w:rsidR="00A131AD" w:rsidRDefault="00A131AD" w:rsidP="000C0138">
      <w:pPr>
        <w:pStyle w:val="Tekst0"/>
        <w:spacing w:before="0" w:line="276" w:lineRule="auto"/>
        <w:rPr>
          <w:sz w:val="22"/>
          <w:szCs w:val="22"/>
          <w:lang w:val="hr-HR"/>
        </w:rPr>
      </w:pPr>
    </w:p>
    <w:p w:rsidR="006A31AA" w:rsidRPr="00155F80" w:rsidRDefault="006A31AA" w:rsidP="000C0138">
      <w:pPr>
        <w:spacing w:line="276" w:lineRule="auto"/>
        <w:rPr>
          <w:rFonts w:ascii="Times New Roman" w:hAnsi="Times New Roman"/>
          <w:b/>
          <w:lang w:val="bs-Latn-BA" w:eastAsia="bs-Latn-BA"/>
        </w:rPr>
      </w:pPr>
      <w:r>
        <w:rPr>
          <w:rFonts w:ascii="Times New Roman" w:hAnsi="Times New Roman"/>
          <w:b/>
        </w:rPr>
        <w:t>Imunizacija</w:t>
      </w:r>
      <w:r w:rsidRPr="00155F80">
        <w:rPr>
          <w:rFonts w:ascii="Times New Roman" w:hAnsi="Times New Roman"/>
          <w:b/>
        </w:rPr>
        <w:t xml:space="preserve"> </w:t>
      </w:r>
    </w:p>
    <w:p w:rsidR="00A131AD" w:rsidRPr="00155F80" w:rsidRDefault="00A131AD" w:rsidP="000C0138">
      <w:pPr>
        <w:spacing w:line="276" w:lineRule="auto"/>
        <w:rPr>
          <w:rFonts w:ascii="Times New Roman" w:hAnsi="Times New Roman"/>
        </w:rPr>
      </w:pPr>
    </w:p>
    <w:p w:rsidR="00834139" w:rsidRPr="00155F80" w:rsidRDefault="002B489B" w:rsidP="000C0138">
      <w:pPr>
        <w:spacing w:line="276" w:lineRule="auto"/>
        <w:rPr>
          <w:rFonts w:ascii="Times New Roman" w:hAnsi="Times New Roman"/>
          <w:color w:val="000000"/>
        </w:rPr>
      </w:pPr>
      <w:r>
        <w:rPr>
          <w:rFonts w:ascii="Times New Roman" w:hAnsi="Times New Roman"/>
          <w:color w:val="000000"/>
        </w:rPr>
        <w:t>Podaci</w:t>
      </w:r>
      <w:r w:rsidR="00A131AD" w:rsidRPr="00155F80">
        <w:rPr>
          <w:rFonts w:ascii="Times New Roman" w:hAnsi="Times New Roman"/>
          <w:color w:val="000000"/>
        </w:rPr>
        <w:t xml:space="preserve"> o pokrivenosti djece u Federaciji Bosne i Hercegovine </w:t>
      </w:r>
      <w:r w:rsidR="00311436">
        <w:rPr>
          <w:rFonts w:ascii="Times New Roman" w:hAnsi="Times New Roman"/>
          <w:color w:val="000000"/>
        </w:rPr>
        <w:t>cjepivima</w:t>
      </w:r>
      <w:r w:rsidR="00A131AD" w:rsidRPr="00155F80">
        <w:rPr>
          <w:rFonts w:ascii="Times New Roman" w:hAnsi="Times New Roman"/>
          <w:color w:val="000000"/>
        </w:rPr>
        <w:t xml:space="preserve"> iz obveznog programa </w:t>
      </w:r>
      <w:r w:rsidR="00311436">
        <w:rPr>
          <w:rFonts w:ascii="Times New Roman" w:hAnsi="Times New Roman"/>
          <w:color w:val="000000"/>
        </w:rPr>
        <w:t>cijepljenja</w:t>
      </w:r>
      <w:r w:rsidR="00A131AD" w:rsidRPr="00155F80">
        <w:rPr>
          <w:rFonts w:ascii="Times New Roman" w:hAnsi="Times New Roman"/>
          <w:color w:val="000000"/>
        </w:rPr>
        <w:t>, prikupljeni administrativnom metodom, rutinskim izvješ</w:t>
      </w:r>
      <w:r w:rsidR="008A7130">
        <w:rPr>
          <w:rFonts w:ascii="Times New Roman" w:hAnsi="Times New Roman"/>
          <w:color w:val="000000"/>
        </w:rPr>
        <w:t>ćiva</w:t>
      </w:r>
      <w:r w:rsidR="00A131AD" w:rsidRPr="00155F80">
        <w:rPr>
          <w:rFonts w:ascii="Times New Roman" w:hAnsi="Times New Roman"/>
          <w:color w:val="000000"/>
        </w:rPr>
        <w:t>njem, počevši od zdravstvene ustanove koja obavlja obveznu imunizaciju, preko nadležnih kantonalnih zavoda za javno zdravstvo do Federalnog zavoda za javno zdravstvo.</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 xml:space="preserve">Grafikon 48: Pokrivenosti djece u Federaciji BiH </w:t>
      </w:r>
      <w:r w:rsidR="008A7130">
        <w:t>cjepivom</w:t>
      </w:r>
      <w:r w:rsidRPr="00155F80">
        <w:t xml:space="preserve">, za </w:t>
      </w:r>
      <w:r w:rsidR="00F70FD4">
        <w:t>period</w:t>
      </w:r>
      <w:r w:rsidRPr="00155F80">
        <w:t xml:space="preserve"> 2011.- 2015.godina, indeks strukture</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01AF9D06" wp14:editId="4927A0C8">
            <wp:extent cx="5807676" cy="2740025"/>
            <wp:effectExtent l="0" t="0" r="3175" b="317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2015. godini, registriran je pad pokrivnosti djece svim </w:t>
      </w:r>
      <w:r w:rsidR="00311436">
        <w:rPr>
          <w:rFonts w:ascii="Times New Roman" w:hAnsi="Times New Roman"/>
        </w:rPr>
        <w:t>cjepivima</w:t>
      </w:r>
      <w:r w:rsidRPr="00155F80">
        <w:rPr>
          <w:rFonts w:ascii="Times New Roman" w:hAnsi="Times New Roman"/>
        </w:rPr>
        <w:t xml:space="preserve"> iz obveznog programa imuniz</w:t>
      </w:r>
      <w:r w:rsidR="009E2387">
        <w:rPr>
          <w:rFonts w:ascii="Times New Roman" w:hAnsi="Times New Roman"/>
        </w:rPr>
        <w:t xml:space="preserve">acije, osim </w:t>
      </w:r>
      <w:r w:rsidR="00311436">
        <w:rPr>
          <w:rFonts w:ascii="Times New Roman" w:hAnsi="Times New Roman"/>
        </w:rPr>
        <w:t>cjepivom</w:t>
      </w:r>
      <w:r w:rsidRPr="00155F80">
        <w:rPr>
          <w:rFonts w:ascii="Times New Roman" w:hAnsi="Times New Roman"/>
        </w:rPr>
        <w:t xml:space="preserve"> protiv tuberkuloze (BCG) koja je registrirala najveći procenat pokrivenosti,  95,7% . Obu</w:t>
      </w:r>
      <w:r w:rsidR="009E2387">
        <w:rPr>
          <w:rFonts w:ascii="Times New Roman" w:hAnsi="Times New Roman"/>
        </w:rPr>
        <w:t xml:space="preserve">hvat sa tri doze </w:t>
      </w:r>
      <w:r w:rsidR="00311436">
        <w:rPr>
          <w:rFonts w:ascii="Times New Roman" w:hAnsi="Times New Roman"/>
        </w:rPr>
        <w:t>cjepiva</w:t>
      </w:r>
      <w:r w:rsidRPr="00155F80">
        <w:rPr>
          <w:rFonts w:ascii="Times New Roman" w:hAnsi="Times New Roman"/>
        </w:rPr>
        <w:t xml:space="preserve"> protiv hepatitisa B  iznosio je 78,8% (obuhvat s prvom dozom je 95,4</w:t>
      </w:r>
      <w:r w:rsidR="00DF5CCD">
        <w:rPr>
          <w:rFonts w:ascii="Times New Roman" w:hAnsi="Times New Roman"/>
          <w:color w:val="000000"/>
        </w:rPr>
        <w:t>%).</w:t>
      </w:r>
      <w:r w:rsidRPr="00155F80">
        <w:rPr>
          <w:rFonts w:ascii="Times New Roman" w:hAnsi="Times New Roman"/>
          <w:color w:val="000000"/>
        </w:rPr>
        <w:t xml:space="preserve"> Nizak obuhvat je sasvim sigurno povezan s odustajanjem od </w:t>
      </w:r>
      <w:r w:rsidR="00311436">
        <w:rPr>
          <w:rFonts w:ascii="Times New Roman" w:hAnsi="Times New Roman"/>
          <w:color w:val="000000"/>
        </w:rPr>
        <w:t>cijepljenja</w:t>
      </w:r>
      <w:r w:rsidRPr="00155F80">
        <w:rPr>
          <w:rFonts w:ascii="Times New Roman" w:hAnsi="Times New Roman"/>
          <w:color w:val="000000"/>
        </w:rPr>
        <w:t xml:space="preserve"> trećom dozom </w:t>
      </w:r>
      <w:r w:rsidR="00FE3B0D">
        <w:rPr>
          <w:rFonts w:ascii="Times New Roman" w:hAnsi="Times New Roman"/>
          <w:color w:val="000000"/>
        </w:rPr>
        <w:t>cjepiva</w:t>
      </w:r>
      <w:r w:rsidRPr="00155F80">
        <w:rPr>
          <w:rFonts w:ascii="Times New Roman" w:hAnsi="Times New Roman"/>
          <w:color w:val="000000"/>
        </w:rPr>
        <w:t xml:space="preserve"> protiv zarazne žutice tip B (hepatitis B) koja se </w:t>
      </w:r>
      <w:r w:rsidR="00F0369C">
        <w:rPr>
          <w:rFonts w:ascii="Times New Roman" w:hAnsi="Times New Roman"/>
          <w:color w:val="000000"/>
        </w:rPr>
        <w:t>istovremeno</w:t>
      </w:r>
      <w:r w:rsidRPr="00155F80">
        <w:rPr>
          <w:rFonts w:ascii="Times New Roman" w:hAnsi="Times New Roman"/>
          <w:color w:val="000000"/>
        </w:rPr>
        <w:t xml:space="preserve"> primjenjivala sa t</w:t>
      </w:r>
      <w:r w:rsidR="009E2387">
        <w:rPr>
          <w:rFonts w:ascii="Times New Roman" w:hAnsi="Times New Roman"/>
          <w:color w:val="000000"/>
        </w:rPr>
        <w:t>rećom dozom celularn</w:t>
      </w:r>
      <w:r w:rsidR="008A7130">
        <w:rPr>
          <w:rFonts w:ascii="Times New Roman" w:hAnsi="Times New Roman"/>
          <w:color w:val="000000"/>
        </w:rPr>
        <w:t>og</w:t>
      </w:r>
      <w:r w:rsidR="009E2387">
        <w:rPr>
          <w:rFonts w:ascii="Times New Roman" w:hAnsi="Times New Roman"/>
          <w:color w:val="000000"/>
        </w:rPr>
        <w:t xml:space="preserve"> </w:t>
      </w:r>
      <w:r w:rsidR="008A7130">
        <w:rPr>
          <w:rFonts w:ascii="Times New Roman" w:hAnsi="Times New Roman"/>
          <w:color w:val="000000"/>
        </w:rPr>
        <w:t>cjepiva</w:t>
      </w:r>
      <w:r w:rsidRPr="00155F80">
        <w:rPr>
          <w:rFonts w:ascii="Times New Roman" w:hAnsi="Times New Roman"/>
          <w:color w:val="000000"/>
        </w:rPr>
        <w:t xml:space="preserve"> protiv difterije, tetanusa i velikog kašlja,</w:t>
      </w:r>
      <w:r w:rsidRPr="00155F80">
        <w:rPr>
          <w:rFonts w:ascii="Times New Roman" w:hAnsi="Times New Roman"/>
        </w:rPr>
        <w:t xml:space="preserve"> te odbijanja roditelja i</w:t>
      </w:r>
      <w:r w:rsidR="009E2387">
        <w:rPr>
          <w:rFonts w:ascii="Times New Roman" w:hAnsi="Times New Roman"/>
        </w:rPr>
        <w:t xml:space="preserve"> zdravstvenih </w:t>
      </w:r>
      <w:r w:rsidR="00950A64">
        <w:rPr>
          <w:rFonts w:ascii="Times New Roman" w:hAnsi="Times New Roman"/>
        </w:rPr>
        <w:t>radnika</w:t>
      </w:r>
      <w:r w:rsidR="009E2387">
        <w:rPr>
          <w:rFonts w:ascii="Times New Roman" w:hAnsi="Times New Roman"/>
        </w:rPr>
        <w:t xml:space="preserve"> da </w:t>
      </w:r>
      <w:r w:rsidR="00311436">
        <w:rPr>
          <w:rFonts w:ascii="Times New Roman" w:hAnsi="Times New Roman"/>
        </w:rPr>
        <w:t>cijepe djecu ovom vrstom cjepiva</w:t>
      </w:r>
      <w:r w:rsidRPr="00155F80">
        <w:rPr>
          <w:rFonts w:ascii="Times New Roman" w:hAnsi="Times New Roman"/>
        </w:rPr>
        <w:t>. Iz istih razloga, kao i zbog nestaš</w:t>
      </w:r>
      <w:r w:rsidR="009E2387">
        <w:rPr>
          <w:rFonts w:ascii="Times New Roman" w:hAnsi="Times New Roman"/>
        </w:rPr>
        <w:t xml:space="preserve">ice kombiniranih </w:t>
      </w:r>
      <w:r w:rsidR="00311436">
        <w:rPr>
          <w:rFonts w:ascii="Times New Roman" w:hAnsi="Times New Roman"/>
        </w:rPr>
        <w:t>cjepiva</w:t>
      </w:r>
      <w:r w:rsidRPr="00155F80">
        <w:rPr>
          <w:rFonts w:ascii="Times New Roman" w:hAnsi="Times New Roman"/>
        </w:rPr>
        <w:t xml:space="preserve">, obuhvat </w:t>
      </w:r>
      <w:r w:rsidR="000E56ED">
        <w:rPr>
          <w:rFonts w:ascii="Times New Roman" w:hAnsi="Times New Roman"/>
        </w:rPr>
        <w:t>vakcinacijom</w:t>
      </w:r>
      <w:r w:rsidR="00311436">
        <w:rPr>
          <w:rFonts w:ascii="Times New Roman" w:hAnsi="Times New Roman"/>
        </w:rPr>
        <w:t xml:space="preserve"> </w:t>
      </w:r>
      <w:r w:rsidRPr="00155F80">
        <w:rPr>
          <w:rFonts w:ascii="Times New Roman" w:hAnsi="Times New Roman"/>
        </w:rPr>
        <w:t xml:space="preserve"> protiv difterije, tetanusa, velikog kašlja i dječje paralize je </w:t>
      </w:r>
      <w:r w:rsidR="009E2387">
        <w:rPr>
          <w:rFonts w:ascii="Times New Roman" w:hAnsi="Times New Roman"/>
        </w:rPr>
        <w:t>ispod ciljne</w:t>
      </w:r>
      <w:r w:rsidRPr="00155F80">
        <w:rPr>
          <w:rFonts w:ascii="Times New Roman" w:hAnsi="Times New Roman"/>
        </w:rPr>
        <w:t xml:space="preserve"> i iznosio je 76,3%.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Docjepljivanje/revakcinacija </w:t>
      </w:r>
      <w:r w:rsidR="00311436">
        <w:rPr>
          <w:rFonts w:ascii="Times New Roman" w:hAnsi="Times New Roman"/>
        </w:rPr>
        <w:t>cjepivom</w:t>
      </w:r>
      <w:r w:rsidRPr="00155F80">
        <w:rPr>
          <w:rFonts w:ascii="Times New Roman" w:hAnsi="Times New Roman"/>
        </w:rPr>
        <w:t xml:space="preserve"> protiv difterije, velikog kašlja, tetanusa i dječije paralize (DTP+POLIO cjepivom) je provedeno sa vrlo niskim obuhvatom od 68,3%. </w:t>
      </w:r>
    </w:p>
    <w:p w:rsidR="00A131AD" w:rsidRPr="00155F80" w:rsidRDefault="009E2387" w:rsidP="000C0138">
      <w:pPr>
        <w:spacing w:line="276" w:lineRule="auto"/>
        <w:rPr>
          <w:rFonts w:ascii="Times New Roman" w:hAnsi="Times New Roman"/>
        </w:rPr>
      </w:pPr>
      <w:r>
        <w:rPr>
          <w:rFonts w:ascii="Times New Roman" w:hAnsi="Times New Roman"/>
        </w:rPr>
        <w:t xml:space="preserve">Obuhvat školske djece </w:t>
      </w:r>
      <w:r w:rsidR="008A7130">
        <w:rPr>
          <w:rFonts w:ascii="Times New Roman" w:hAnsi="Times New Roman"/>
        </w:rPr>
        <w:t>cjepivom</w:t>
      </w:r>
      <w:r w:rsidR="00A131AD" w:rsidRPr="00155F80">
        <w:rPr>
          <w:rFonts w:ascii="Times New Roman" w:hAnsi="Times New Roman"/>
        </w:rPr>
        <w:t xml:space="preserve"> protiv difterije, tetanusa i dječije paralize je zadovoljavajući i iznosio je  93,4%  za difteriju i tetanus, a za dječiju paralizu 91,7%. </w:t>
      </w:r>
    </w:p>
    <w:p w:rsidR="00A131AD" w:rsidRPr="00155F80" w:rsidRDefault="00A131AD" w:rsidP="000C0138">
      <w:pPr>
        <w:spacing w:line="276" w:lineRule="auto"/>
        <w:rPr>
          <w:rFonts w:ascii="Times New Roman" w:hAnsi="Times New Roman"/>
          <w:color w:val="FF0000"/>
        </w:rPr>
      </w:pPr>
    </w:p>
    <w:p w:rsidR="00A131AD" w:rsidRPr="00155F80" w:rsidRDefault="00A131AD" w:rsidP="000C0138">
      <w:pPr>
        <w:spacing w:line="276" w:lineRule="auto"/>
        <w:rPr>
          <w:rFonts w:ascii="Times New Roman" w:hAnsi="Times New Roman"/>
        </w:rPr>
      </w:pPr>
      <w:r w:rsidRPr="00155F80">
        <w:rPr>
          <w:rFonts w:ascii="Times New Roman" w:hAnsi="Times New Roman"/>
        </w:rPr>
        <w:t>Obuhvat cjepljenjem  protiv hemofilusa influence</w:t>
      </w:r>
      <w:r w:rsidR="009E2387">
        <w:rPr>
          <w:rFonts w:ascii="Times New Roman" w:hAnsi="Times New Roman"/>
        </w:rPr>
        <w:t xml:space="preserve"> tip b je iznosio 79,4%, dok je</w:t>
      </w:r>
      <w:r w:rsidRPr="00155F80">
        <w:rPr>
          <w:rFonts w:ascii="Times New Roman" w:hAnsi="Times New Roman"/>
        </w:rPr>
        <w:t xml:space="preserve"> u docjepljivanju  u osamnaestom mjesecu života iznosio 75,5%.</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color w:val="000000"/>
        </w:rPr>
        <w:t xml:space="preserve">U 2015. godini obuhvat prvom dozom MRP </w:t>
      </w:r>
      <w:r w:rsidR="008A7130">
        <w:rPr>
          <w:rFonts w:ascii="Times New Roman" w:hAnsi="Times New Roman"/>
          <w:color w:val="000000"/>
        </w:rPr>
        <w:t>cjepiva</w:t>
      </w:r>
      <w:r w:rsidRPr="00155F80">
        <w:rPr>
          <w:rFonts w:ascii="Times New Roman" w:hAnsi="Times New Roman"/>
          <w:color w:val="000000"/>
        </w:rPr>
        <w:t xml:space="preserve"> je ispod ciljne, iznosi 77,9%, dok je obuhvat d</w:t>
      </w:r>
      <w:r w:rsidR="00311436">
        <w:rPr>
          <w:rFonts w:ascii="Times New Roman" w:hAnsi="Times New Roman"/>
          <w:color w:val="000000"/>
        </w:rPr>
        <w:t xml:space="preserve">rugom dozom MRP cjepiva </w:t>
      </w:r>
      <w:r w:rsidRPr="00155F80">
        <w:rPr>
          <w:rFonts w:ascii="Times New Roman" w:hAnsi="Times New Roman"/>
          <w:color w:val="000000"/>
        </w:rPr>
        <w:t>nešto veći, a iznosio je 81,5%. I</w:t>
      </w:r>
      <w:r w:rsidRPr="00155F80">
        <w:rPr>
          <w:rFonts w:ascii="Times New Roman" w:hAnsi="Times New Roman"/>
          <w:color w:val="FF0000"/>
        </w:rPr>
        <w:t xml:space="preserve"> </w:t>
      </w:r>
      <w:r w:rsidRPr="00155F80">
        <w:rPr>
          <w:rFonts w:ascii="Times New Roman" w:hAnsi="Times New Roman"/>
        </w:rPr>
        <w:t>ovdje je također zabilježen pad obuhvata u odnosu na prethodn</w:t>
      </w:r>
      <w:r w:rsidR="008A7130">
        <w:rPr>
          <w:rFonts w:ascii="Times New Roman" w:hAnsi="Times New Roman"/>
        </w:rPr>
        <w:t>o</w:t>
      </w:r>
      <w:r w:rsidRPr="00155F80">
        <w:rPr>
          <w:rFonts w:ascii="Times New Roman" w:hAnsi="Times New Roman"/>
        </w:rPr>
        <w:t xml:space="preserve"> petogodišnj</w:t>
      </w:r>
      <w:r w:rsidR="008A7130">
        <w:rPr>
          <w:rFonts w:ascii="Times New Roman" w:hAnsi="Times New Roman"/>
        </w:rPr>
        <w:t>e</w:t>
      </w:r>
      <w:r w:rsidRPr="00155F80">
        <w:rPr>
          <w:rFonts w:ascii="Times New Roman" w:hAnsi="Times New Roman"/>
        </w:rPr>
        <w:t xml:space="preserve"> </w:t>
      </w:r>
      <w:r w:rsidR="00F70FD4">
        <w:rPr>
          <w:rFonts w:ascii="Times New Roman" w:hAnsi="Times New Roman"/>
        </w:rPr>
        <w:t>period</w:t>
      </w:r>
      <w:r w:rsidRPr="00155F80">
        <w:rPr>
          <w:rFonts w:ascii="Times New Roman" w:hAnsi="Times New Roman"/>
        </w:rPr>
        <w:t>. Zbog epidemije morbila prov</w:t>
      </w:r>
      <w:r w:rsidR="00311436">
        <w:rPr>
          <w:rFonts w:ascii="Times New Roman" w:hAnsi="Times New Roman"/>
        </w:rPr>
        <w:t xml:space="preserve">edeno je </w:t>
      </w:r>
      <w:r w:rsidR="000E56ED">
        <w:rPr>
          <w:rFonts w:ascii="Times New Roman" w:hAnsi="Times New Roman"/>
        </w:rPr>
        <w:t>vakcinacija</w:t>
      </w:r>
      <w:r w:rsidRPr="00155F80">
        <w:rPr>
          <w:rFonts w:ascii="Times New Roman" w:hAnsi="Times New Roman"/>
        </w:rPr>
        <w:t xml:space="preserve"> djece i starijih dobnih </w:t>
      </w:r>
      <w:r w:rsidR="00D21A46">
        <w:rPr>
          <w:rFonts w:ascii="Times New Roman" w:hAnsi="Times New Roman"/>
        </w:rPr>
        <w:t>grupa</w:t>
      </w:r>
      <w:r w:rsidRPr="00155F80">
        <w:rPr>
          <w:rFonts w:ascii="Times New Roman" w:hAnsi="Times New Roman"/>
        </w:rPr>
        <w:t>, pa se procje</w:t>
      </w:r>
      <w:r w:rsidR="00311436">
        <w:rPr>
          <w:rFonts w:ascii="Times New Roman" w:hAnsi="Times New Roman"/>
        </w:rPr>
        <w:t>njuje da je obuhvat ipak veći (</w:t>
      </w:r>
      <w:r w:rsidRPr="00155F80">
        <w:rPr>
          <w:rFonts w:ascii="Times New Roman" w:hAnsi="Times New Roman"/>
        </w:rPr>
        <w:t>83,5%, odnosno 89,5%).</w:t>
      </w:r>
    </w:p>
    <w:p w:rsidR="00A131AD" w:rsidRPr="00155F80" w:rsidRDefault="00A131AD" w:rsidP="000C0138">
      <w:pPr>
        <w:spacing w:line="276" w:lineRule="auto"/>
        <w:rPr>
          <w:rFonts w:ascii="Times New Roman" w:hAnsi="Times New Roman"/>
        </w:rPr>
      </w:pPr>
    </w:p>
    <w:p w:rsidR="00A131AD" w:rsidRPr="00155F80" w:rsidRDefault="002B489B" w:rsidP="000C0138">
      <w:pPr>
        <w:spacing w:line="276" w:lineRule="auto"/>
        <w:rPr>
          <w:rFonts w:ascii="Times New Roman" w:hAnsi="Times New Roman"/>
        </w:rPr>
      </w:pPr>
      <w:r>
        <w:rPr>
          <w:rFonts w:ascii="Times New Roman" w:hAnsi="Times New Roman"/>
        </w:rPr>
        <w:t>Podaci</w:t>
      </w:r>
      <w:r w:rsidR="00A131AD" w:rsidRPr="00155F80">
        <w:rPr>
          <w:rFonts w:ascii="Times New Roman" w:hAnsi="Times New Roman"/>
        </w:rPr>
        <w:t xml:space="preserve"> o broju </w:t>
      </w:r>
      <w:r w:rsidR="00311436">
        <w:rPr>
          <w:rFonts w:ascii="Times New Roman" w:hAnsi="Times New Roman"/>
        </w:rPr>
        <w:t>cijepljenih</w:t>
      </w:r>
      <w:r w:rsidR="00A131AD" w:rsidRPr="00155F80">
        <w:rPr>
          <w:rFonts w:ascii="Times New Roman" w:hAnsi="Times New Roman"/>
        </w:rPr>
        <w:t xml:space="preserve"> u privatnom sektoru nisu dostupni, ali je izvjesno da je značajan dio roditelja upravo tu cjepilo djecu cjepivom </w:t>
      </w:r>
      <w:r w:rsidR="00311436">
        <w:rPr>
          <w:rFonts w:ascii="Times New Roman" w:hAnsi="Times New Roman"/>
        </w:rPr>
        <w:t>s kombiniranim cjepivom</w:t>
      </w:r>
      <w:r w:rsidR="00A131AD" w:rsidRPr="00155F80">
        <w:rPr>
          <w:rFonts w:ascii="Times New Roman" w:hAnsi="Times New Roman"/>
        </w:rPr>
        <w:t xml:space="preserve"> i da je obuhvat veći od zabilježenog.</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2015., kao </w:t>
      </w:r>
      <w:r w:rsidR="00311436">
        <w:rPr>
          <w:rFonts w:ascii="Times New Roman" w:hAnsi="Times New Roman"/>
        </w:rPr>
        <w:t>i u 2014. godini Federacija BiH</w:t>
      </w:r>
      <w:r w:rsidRPr="00155F80">
        <w:rPr>
          <w:rFonts w:ascii="Times New Roman" w:hAnsi="Times New Roman"/>
        </w:rPr>
        <w:t xml:space="preserve"> se suočila s problemom nabave</w:t>
      </w:r>
      <w:r w:rsidR="00311436">
        <w:rPr>
          <w:rFonts w:ascii="Times New Roman" w:hAnsi="Times New Roman"/>
        </w:rPr>
        <w:t xml:space="preserve"> kombiniranih cjepiva</w:t>
      </w:r>
      <w:r w:rsidRPr="00155F80">
        <w:rPr>
          <w:rFonts w:ascii="Times New Roman" w:hAnsi="Times New Roman"/>
        </w:rPr>
        <w:t xml:space="preserve">, što je za posljedicu imalo izmjenu kalendara cijepljenja. Problemi s nabavom i izmjena programa izazivaju nezadovoljstvo među općom i stručnom javnosti, te kompromitiraju program imunizacije. </w:t>
      </w:r>
      <w:r w:rsidR="00311436">
        <w:rPr>
          <w:rFonts w:ascii="Times New Roman" w:hAnsi="Times New Roman"/>
        </w:rPr>
        <w:t xml:space="preserve">Mnoge isporuke i drugih </w:t>
      </w:r>
      <w:r w:rsidRPr="00155F80">
        <w:rPr>
          <w:rFonts w:ascii="Times New Roman" w:hAnsi="Times New Roman"/>
        </w:rPr>
        <w:t>cjepiva su kasnile, što će biti izazovi za učinkovitu nabavu cjepiva u budućnosti. Ograničena baza dobavljača, ograničene opcije za nabavu cjepiva, nekoliko proizvođača na europskom tržištu za nov</w:t>
      </w:r>
      <w:r w:rsidR="008A7130">
        <w:rPr>
          <w:rFonts w:ascii="Times New Roman" w:hAnsi="Times New Roman"/>
        </w:rPr>
        <w:t>a</w:t>
      </w:r>
      <w:r w:rsidRPr="00155F80">
        <w:rPr>
          <w:rFonts w:ascii="Times New Roman" w:hAnsi="Times New Roman"/>
        </w:rPr>
        <w:t xml:space="preserve"> </w:t>
      </w:r>
      <w:r w:rsidR="008A7130">
        <w:rPr>
          <w:rFonts w:ascii="Times New Roman" w:hAnsi="Times New Roman"/>
        </w:rPr>
        <w:t>cjepiva</w:t>
      </w:r>
      <w:r w:rsidRPr="00155F80">
        <w:rPr>
          <w:rFonts w:ascii="Times New Roman" w:hAnsi="Times New Roman"/>
        </w:rPr>
        <w:t xml:space="preserve">, ograničena nabavna moć jer se ugovaraju male količine i izostanak višegodišnjih </w:t>
      </w:r>
      <w:r w:rsidR="008A7130">
        <w:rPr>
          <w:rFonts w:ascii="Times New Roman" w:hAnsi="Times New Roman"/>
        </w:rPr>
        <w:t>natječaja</w:t>
      </w:r>
      <w:r w:rsidRPr="00155F80">
        <w:rPr>
          <w:rFonts w:ascii="Times New Roman" w:hAnsi="Times New Roman"/>
        </w:rPr>
        <w:t xml:space="preserve">, nejednakost cijena (cijene za različite formulacije variraju), neučinkoviti </w:t>
      </w:r>
      <w:r w:rsidR="00512E30">
        <w:rPr>
          <w:rFonts w:ascii="Times New Roman" w:hAnsi="Times New Roman"/>
        </w:rPr>
        <w:t>sistem</w:t>
      </w:r>
      <w:r w:rsidRPr="00155F80">
        <w:rPr>
          <w:rFonts w:ascii="Times New Roman" w:hAnsi="Times New Roman"/>
        </w:rPr>
        <w:t xml:space="preserve">i nabave koji su neprilagođeni specifičnom tržištu cjepiva, te, što je naročito bio slučaj u ovoj godini, kasno raspisivanje </w:t>
      </w:r>
      <w:r w:rsidR="008A7130">
        <w:rPr>
          <w:rFonts w:ascii="Times New Roman" w:hAnsi="Times New Roman"/>
        </w:rPr>
        <w:t>natječaja</w:t>
      </w:r>
      <w:r w:rsidRPr="00155F80">
        <w:rPr>
          <w:rFonts w:ascii="Times New Roman" w:hAnsi="Times New Roman"/>
        </w:rPr>
        <w:t xml:space="preserve"> (nakon usvajanja </w:t>
      </w:r>
      <w:r w:rsidR="008A7130">
        <w:rPr>
          <w:rFonts w:ascii="Times New Roman" w:hAnsi="Times New Roman"/>
        </w:rPr>
        <w:t>P</w:t>
      </w:r>
      <w:r w:rsidRPr="00155F80">
        <w:rPr>
          <w:rFonts w:ascii="Times New Roman" w:hAnsi="Times New Roman"/>
        </w:rPr>
        <w:t>roračuna od strane Parlamenta).</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Drugi izazovi koji stoje pred programom imunizacije, dio su šireg društvenog fenomena, a vezani su uz t</w:t>
      </w:r>
      <w:r w:rsidR="005E297E">
        <w:rPr>
          <w:rFonts w:ascii="Times New Roman" w:hAnsi="Times New Roman"/>
        </w:rPr>
        <w:t>endenciju ka promjeni percepcije</w:t>
      </w:r>
      <w:r w:rsidRPr="00155F80">
        <w:rPr>
          <w:rFonts w:ascii="Times New Roman" w:hAnsi="Times New Roman"/>
        </w:rPr>
        <w:t xml:space="preserve"> rizika, gdje se bolesti koje se mogu prevenirati cjepivom smatraju manje opasnim ili s niskom incidenc</w:t>
      </w:r>
      <w:r w:rsidR="008A7130">
        <w:rPr>
          <w:rFonts w:ascii="Times New Roman" w:hAnsi="Times New Roman"/>
        </w:rPr>
        <w:t>ij</w:t>
      </w:r>
      <w:r w:rsidRPr="00155F80">
        <w:rPr>
          <w:rFonts w:ascii="Times New Roman" w:hAnsi="Times New Roman"/>
        </w:rPr>
        <w:t>om, neopravdan strah od cjepiva, skepticizam i nepovjerenje prema državnim ustanovama i farmaceutskoj industriji, izostanak adekvatne medijske potpore, bilo zbog potrage za senzacionalizmom ili nedovoljne edukacije kada je riječ o temama vezanim za zdravstvo, i konačno djelovanje antivakcinalnih lobista, prije svega na internetu i društvenim mrežama.</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Zemlja mora imati jasnu strateg</w:t>
      </w:r>
      <w:r w:rsidR="005E297E">
        <w:rPr>
          <w:rFonts w:ascii="Times New Roman" w:hAnsi="Times New Roman"/>
        </w:rPr>
        <w:t>iju kada je riječ o imunizaciji</w:t>
      </w:r>
      <w:r w:rsidRPr="00155F80">
        <w:rPr>
          <w:rFonts w:ascii="Times New Roman" w:hAnsi="Times New Roman"/>
        </w:rPr>
        <w:t xml:space="preserve"> u cilju sinhronog odgovora svih </w:t>
      </w:r>
      <w:r w:rsidR="0027028E">
        <w:rPr>
          <w:rFonts w:ascii="Times New Roman" w:hAnsi="Times New Roman"/>
        </w:rPr>
        <w:t>nosilac</w:t>
      </w:r>
      <w:r w:rsidRPr="00155F80">
        <w:rPr>
          <w:rFonts w:ascii="Times New Roman" w:hAnsi="Times New Roman"/>
        </w:rPr>
        <w:t xml:space="preserve">a Programa </w:t>
      </w:r>
      <w:r w:rsidR="005E297E">
        <w:rPr>
          <w:rFonts w:ascii="Times New Roman" w:hAnsi="Times New Roman"/>
        </w:rPr>
        <w:t>imunizacije, održanja i unapr</w:t>
      </w:r>
      <w:r w:rsidRPr="00155F80">
        <w:rPr>
          <w:rFonts w:ascii="Times New Roman" w:hAnsi="Times New Roman"/>
        </w:rPr>
        <w:t>eđenja dostignutih vrijednosti prema državnim strateškim ciljevima, odnosno prema preporukama Svjetske zdravstvene organizacije i Globalnom/Europskom akcijskom planu cijepljenja.</w:t>
      </w:r>
    </w:p>
    <w:p w:rsidR="00A131AD" w:rsidRPr="00155F80" w:rsidRDefault="00A131AD" w:rsidP="000C0138">
      <w:pPr>
        <w:spacing w:line="276" w:lineRule="auto"/>
        <w:rPr>
          <w:rFonts w:ascii="Times New Roman" w:hAnsi="Times New Roman"/>
        </w:rPr>
      </w:pPr>
    </w:p>
    <w:p w:rsidR="00A131AD" w:rsidRPr="00FA3644" w:rsidRDefault="00A131AD" w:rsidP="00FA3644">
      <w:pPr>
        <w:rPr>
          <w:rFonts w:ascii="Times New Roman" w:hAnsi="Times New Roman"/>
          <w:b/>
        </w:rPr>
      </w:pPr>
      <w:bookmarkStart w:id="283" w:name="_Toc453328552"/>
      <w:bookmarkStart w:id="284" w:name="_Toc453917742"/>
      <w:bookmarkStart w:id="285" w:name="_Toc454797841"/>
      <w:bookmarkStart w:id="286" w:name="_Toc454799738"/>
      <w:r w:rsidRPr="00FA3644">
        <w:rPr>
          <w:rFonts w:ascii="Times New Roman" w:hAnsi="Times New Roman"/>
          <w:b/>
        </w:rPr>
        <w:t>EPI BOLESTI (BOLESTI KOJE SE MOGU SPRIJEČITI CJEPIVOM)</w:t>
      </w:r>
      <w:bookmarkEnd w:id="283"/>
      <w:bookmarkEnd w:id="284"/>
      <w:bookmarkEnd w:id="285"/>
      <w:bookmarkEnd w:id="286"/>
    </w:p>
    <w:p w:rsidR="00A131AD" w:rsidRPr="00155F80" w:rsidRDefault="00A131AD" w:rsidP="00250204">
      <w:pPr>
        <w:pStyle w:val="TEKST"/>
        <w:rPr>
          <w:i/>
        </w:rPr>
      </w:pPr>
      <w:r w:rsidRPr="00155F80">
        <w:t>Morbili (Ospice, krzamak)</w:t>
      </w:r>
    </w:p>
    <w:p w:rsidR="00A131AD" w:rsidRPr="00155F80" w:rsidRDefault="00A131AD" w:rsidP="00250204">
      <w:pPr>
        <w:pStyle w:val="TEKST"/>
        <w:rPr>
          <w:b/>
          <w:i/>
        </w:rPr>
      </w:pPr>
      <w:r w:rsidRPr="00155F80">
        <w:t xml:space="preserve">Epidemija morbila koja je započela u </w:t>
      </w:r>
      <w:r w:rsidR="00436B43">
        <w:t>veljači</w:t>
      </w:r>
      <w:r w:rsidRPr="00155F80">
        <w:t xml:space="preserve"> 2014. god</w:t>
      </w:r>
      <w:r w:rsidR="002053DE" w:rsidRPr="00155F80">
        <w:t>i</w:t>
      </w:r>
      <w:r w:rsidRPr="00155F80">
        <w:t>ne, nastavila se širiti  i u 2015.</w:t>
      </w:r>
      <w:r w:rsidR="002053DE" w:rsidRPr="00155F80">
        <w:t xml:space="preserve"> </w:t>
      </w:r>
      <w:r w:rsidRPr="00155F80">
        <w:t>godini. Zabilježeni su slu</w:t>
      </w:r>
      <w:r w:rsidR="005E297E">
        <w:t>čajevi morbila u sedam kantona, pa je u</w:t>
      </w:r>
      <w:r w:rsidRPr="00155F80">
        <w:t xml:space="preserve"> 2015.</w:t>
      </w:r>
      <w:r w:rsidR="005E297E">
        <w:t xml:space="preserve"> godini ukupno</w:t>
      </w:r>
      <w:r w:rsidRPr="00155F80">
        <w:t xml:space="preserve"> prijavljeno 1.677 slučajeva. O</w:t>
      </w:r>
      <w:r w:rsidR="002053DE" w:rsidRPr="00155F80">
        <w:t>boljeli,</w:t>
      </w:r>
      <w:r w:rsidRPr="00155F80">
        <w:t xml:space="preserve"> najčešće ne</w:t>
      </w:r>
      <w:r w:rsidR="00436B43">
        <w:t>cijepljeni</w:t>
      </w:r>
      <w:r w:rsidRPr="00155F80">
        <w:t xml:space="preserve"> ili s nepoznatim </w:t>
      </w:r>
      <w:r w:rsidR="00436B43">
        <w:t xml:space="preserve">cjepnim </w:t>
      </w:r>
      <w:r w:rsidRPr="00155F80">
        <w:t xml:space="preserve">statusom činili su 87,9% (1.474) te nepotpuno cijepljeni 8,2% (138). Gotovo deset posto oboljelih je bilo mlađe od godinu dana, premladi za </w:t>
      </w:r>
      <w:r w:rsidR="000E56ED">
        <w:t>vakcinacija</w:t>
      </w:r>
      <w:r w:rsidRPr="00155F80">
        <w:t>, koji su trebali biti zaštićeni kolektivnim imunitetom.</w:t>
      </w:r>
      <w:r w:rsidRPr="00155F80">
        <w:rPr>
          <w:bCs/>
          <w:color w:val="000000"/>
        </w:rPr>
        <w:t xml:space="preserve"> Komplikacije koje su zahtijevale hospitalizaciju u smislu pneumonije, meningitisa, pa čak i gubitka ploda kod trudnice oboljele </w:t>
      </w:r>
      <w:r w:rsidR="009E2387">
        <w:rPr>
          <w:bCs/>
          <w:color w:val="000000"/>
        </w:rPr>
        <w:t xml:space="preserve">od morbila, 9 % oboljele djece mlađe od </w:t>
      </w:r>
      <w:r w:rsidRPr="00155F80">
        <w:rPr>
          <w:bCs/>
          <w:color w:val="000000"/>
        </w:rPr>
        <w:t>1 godine života, koja su trebala biti zaštićena</w:t>
      </w:r>
      <w:r w:rsidR="002053DE" w:rsidRPr="00155F80">
        <w:rPr>
          <w:bCs/>
          <w:color w:val="000000"/>
        </w:rPr>
        <w:t xml:space="preserve"> kolektivnim imunitetom</w:t>
      </w:r>
      <w:r w:rsidRPr="00155F80">
        <w:rPr>
          <w:bCs/>
          <w:color w:val="000000"/>
        </w:rPr>
        <w:t>, kao i druga iskustva sa epidemijom u Federaciji BiH naglašavaju potrebu za implementacijom svih preporuka SZO strateškog plana za eliminaciju morbila i rubeole, 2012</w:t>
      </w:r>
      <w:r w:rsidR="002053DE" w:rsidRPr="00155F80">
        <w:rPr>
          <w:bCs/>
          <w:color w:val="000000"/>
        </w:rPr>
        <w:t>.</w:t>
      </w:r>
      <w:r w:rsidRPr="00155F80">
        <w:rPr>
          <w:bCs/>
          <w:color w:val="000000"/>
        </w:rPr>
        <w:t>-2020. (http://www.who.int/immunization/newsroom/Measles_Rubella_StrategicPlan_2012_2020.pdf).  Implementacija ključnih preporuka Plana, doprinijet će spr</w:t>
      </w:r>
      <w:r w:rsidR="00436B43">
        <w:rPr>
          <w:bCs/>
          <w:color w:val="000000"/>
        </w:rPr>
        <w:t>j</w:t>
      </w:r>
      <w:r w:rsidRPr="00155F80">
        <w:rPr>
          <w:bCs/>
          <w:color w:val="000000"/>
        </w:rPr>
        <w:t>ečavanju sličnih epidemija u budućnosti, i voditi Federaciju BiH prema eliminaciji morbila i rubeole.</w:t>
      </w:r>
    </w:p>
    <w:p w:rsidR="00A131AD" w:rsidRPr="00155F80" w:rsidRDefault="00A131AD" w:rsidP="000C0138">
      <w:pPr>
        <w:spacing w:line="276" w:lineRule="auto"/>
        <w:rPr>
          <w:rFonts w:ascii="Times New Roman" w:hAnsi="Times New Roman"/>
          <w:lang w:val="hr-BA"/>
        </w:rPr>
      </w:pPr>
      <w:r w:rsidRPr="00155F80">
        <w:rPr>
          <w:rFonts w:ascii="Times New Roman" w:hAnsi="Times New Roman"/>
        </w:rPr>
        <w:t xml:space="preserve">Osim epidemije morbila, druge bolesti koje </w:t>
      </w:r>
      <w:r w:rsidR="005E297E">
        <w:rPr>
          <w:rFonts w:ascii="Times New Roman" w:hAnsi="Times New Roman"/>
        </w:rPr>
        <w:t xml:space="preserve">se mogu spriječiti </w:t>
      </w:r>
      <w:r w:rsidR="000E56ED">
        <w:rPr>
          <w:rFonts w:ascii="Times New Roman" w:hAnsi="Times New Roman"/>
        </w:rPr>
        <w:t>vakcinacijom</w:t>
      </w:r>
      <w:r w:rsidRPr="00155F80">
        <w:rPr>
          <w:rFonts w:ascii="Times New Roman" w:hAnsi="Times New Roman"/>
        </w:rPr>
        <w:t xml:space="preserve"> registriraju se sporadično.</w:t>
      </w:r>
    </w:p>
    <w:p w:rsidR="00A131AD" w:rsidRPr="00155F80" w:rsidRDefault="00A131AD" w:rsidP="00250204">
      <w:pPr>
        <w:pStyle w:val="TEKST"/>
        <w:rPr>
          <w:i/>
        </w:rPr>
      </w:pPr>
      <w:r w:rsidRPr="00155F80">
        <w:t xml:space="preserve">U 2015. godini među bolestima koje se mogu prevenirati </w:t>
      </w:r>
      <w:r w:rsidR="000E56ED">
        <w:t>vakcinacijom</w:t>
      </w:r>
      <w:r w:rsidRPr="00155F80">
        <w:t xml:space="preserve"> </w:t>
      </w:r>
      <w:r w:rsidR="00A80006">
        <w:t>registrovano</w:t>
      </w:r>
      <w:r w:rsidRPr="00155F80">
        <w:t xml:space="preserve"> je 56 slučajeva zaušnjaka (parotitisa), 12 slučajeva velikog kašlja (pertusisa) i 8 slučajeva rubeole. </w:t>
      </w:r>
    </w:p>
    <w:p w:rsidR="00A131AD" w:rsidRPr="00155F80" w:rsidRDefault="00A131AD" w:rsidP="00250204">
      <w:pPr>
        <w:pStyle w:val="TEKST"/>
        <w:rPr>
          <w:i/>
        </w:rPr>
      </w:pPr>
      <w:r w:rsidRPr="00155F80">
        <w:t>Invazivna oboljenja koja uzrokuje hemofilus influence tip b, u Federaciji BiH se ne prijavljuju, tako da pouzdanim informacijama o njima Zavod za javno zdravstvo FBiH ne raspolaže.</w:t>
      </w:r>
    </w:p>
    <w:p w:rsidR="009E2387" w:rsidRDefault="009E2387" w:rsidP="009E2387">
      <w:pPr>
        <w:tabs>
          <w:tab w:val="left" w:pos="567"/>
        </w:tabs>
        <w:spacing w:line="276" w:lineRule="auto"/>
        <w:rPr>
          <w:rFonts w:ascii="Times New Roman" w:hAnsi="Times New Roman"/>
          <w:bCs/>
          <w:lang w:val="it-IT"/>
        </w:rPr>
      </w:pPr>
    </w:p>
    <w:p w:rsidR="00A131AD" w:rsidRPr="009E2387" w:rsidRDefault="00A131AD" w:rsidP="009E2387">
      <w:pPr>
        <w:tabs>
          <w:tab w:val="left" w:pos="567"/>
        </w:tabs>
        <w:spacing w:line="276" w:lineRule="auto"/>
        <w:rPr>
          <w:rFonts w:ascii="Times New Roman" w:hAnsi="Times New Roman"/>
          <w:bCs/>
          <w:lang w:val="it-IT"/>
        </w:rPr>
      </w:pPr>
      <w:r w:rsidRPr="00155F80">
        <w:rPr>
          <w:rFonts w:ascii="Times New Roman" w:hAnsi="Times New Roman"/>
          <w:bCs/>
          <w:lang w:val="it-IT"/>
        </w:rPr>
        <w:t xml:space="preserve">U Federaciji BiH, u 2015. godini je registriran samo 1 slučaj akutne flakcidne paralize, na području Unsko-sanskog kantona, te </w:t>
      </w:r>
      <w:r w:rsidRPr="00155F80">
        <w:rPr>
          <w:rFonts w:ascii="Times New Roman" w:hAnsi="Times New Roman"/>
          <w:bCs/>
          <w:lang w:val="pl-PL"/>
        </w:rPr>
        <w:t>osjetlji</w:t>
      </w:r>
      <w:r w:rsidR="009E2387">
        <w:rPr>
          <w:rFonts w:ascii="Times New Roman" w:hAnsi="Times New Roman"/>
          <w:bCs/>
          <w:lang w:val="pl-PL"/>
        </w:rPr>
        <w:t>vost nadzora nad AFP, u F</w:t>
      </w:r>
      <w:r w:rsidRPr="00155F80">
        <w:rPr>
          <w:rFonts w:ascii="Times New Roman" w:hAnsi="Times New Roman"/>
          <w:bCs/>
          <w:lang w:val="pl-PL"/>
        </w:rPr>
        <w:t>ederaciji BiH je ispod  zadane vrijednosti i iznosi 0,3/100 000 djece mlađe od 15 godina</w:t>
      </w:r>
      <w:r w:rsidRPr="00155F80">
        <w:rPr>
          <w:rFonts w:ascii="Times New Roman" w:hAnsi="Times New Roman"/>
          <w:bCs/>
          <w:lang w:val="it-IT"/>
        </w:rPr>
        <w:t>. Slučaj je prijavljen od strane UKC Sarajevo, gdje je dijete liječeno. Uzorci stolice koji su obrađeni u akreditiranoj laboratoriji za polio, Svjetske</w:t>
      </w:r>
      <w:r w:rsidR="009E2387">
        <w:rPr>
          <w:rFonts w:ascii="Times New Roman" w:hAnsi="Times New Roman"/>
          <w:bCs/>
          <w:lang w:val="it-IT"/>
        </w:rPr>
        <w:t xml:space="preserve"> zdravstvene organizacije (Rim)</w:t>
      </w:r>
      <w:r w:rsidRPr="00155F80">
        <w:rPr>
          <w:rFonts w:ascii="Times New Roman" w:hAnsi="Times New Roman"/>
          <w:bCs/>
          <w:lang w:val="it-IT"/>
        </w:rPr>
        <w:t xml:space="preserve"> su negativni na POLIO virus. Dijete pregledano nakon 60 dana od pojave bolesti, od strane specijalista, nakon čega je potrebna dokumentacija data na uvid Ekspertno</w:t>
      </w:r>
      <w:r w:rsidR="004E052E">
        <w:rPr>
          <w:rFonts w:ascii="Times New Roman" w:hAnsi="Times New Roman"/>
          <w:bCs/>
          <w:lang w:val="it-IT"/>
        </w:rPr>
        <w:t>m</w:t>
      </w:r>
      <w:r w:rsidRPr="00155F80">
        <w:rPr>
          <w:rFonts w:ascii="Times New Roman" w:hAnsi="Times New Roman"/>
          <w:bCs/>
          <w:lang w:val="it-IT"/>
        </w:rPr>
        <w:t xml:space="preserve"> </w:t>
      </w:r>
      <w:r w:rsidR="004E052E">
        <w:rPr>
          <w:rFonts w:ascii="Times New Roman" w:hAnsi="Times New Roman"/>
          <w:bCs/>
          <w:lang w:val="it-IT"/>
        </w:rPr>
        <w:t>povjerenstvu</w:t>
      </w:r>
      <w:r w:rsidRPr="00155F80">
        <w:rPr>
          <w:rFonts w:ascii="Times New Roman" w:hAnsi="Times New Roman"/>
          <w:bCs/>
          <w:lang w:val="it-IT"/>
        </w:rPr>
        <w:t xml:space="preserve"> za krajnju klasifikaciju slučaja, Ministarstva civilnih poslova BiH, koja je</w:t>
      </w:r>
      <w:r w:rsidR="005E297E">
        <w:rPr>
          <w:rFonts w:ascii="Times New Roman" w:hAnsi="Times New Roman"/>
          <w:bCs/>
          <w:lang w:val="it-IT"/>
        </w:rPr>
        <w:t xml:space="preserve"> pak slučaj klasificirala kao “</w:t>
      </w:r>
      <w:r w:rsidRPr="00155F80">
        <w:rPr>
          <w:rFonts w:ascii="Times New Roman" w:hAnsi="Times New Roman"/>
          <w:color w:val="000000"/>
          <w:lang w:val="pl-PL"/>
        </w:rPr>
        <w:t>Odbačeni kao poliomijelitis</w:t>
      </w:r>
      <w:r w:rsidR="005E297E">
        <w:rPr>
          <w:rFonts w:ascii="Times New Roman" w:hAnsi="Times New Roman"/>
          <w:color w:val="000000"/>
          <w:lang w:val="pl-PL"/>
        </w:rPr>
        <w:t>”</w:t>
      </w:r>
      <w:r w:rsidRPr="00155F80">
        <w:rPr>
          <w:rFonts w:ascii="Times New Roman" w:hAnsi="Times New Roman"/>
          <w:bCs/>
          <w:lang w:val="it-IT"/>
        </w:rPr>
        <w:t>.</w:t>
      </w:r>
      <w:r w:rsidRPr="00155F80">
        <w:rPr>
          <w:rFonts w:ascii="Times New Roman" w:hAnsi="Times New Roman"/>
          <w:bCs/>
          <w:lang w:val="pl-PL"/>
        </w:rPr>
        <w:t xml:space="preserve"> </w:t>
      </w:r>
    </w:p>
    <w:p w:rsidR="00A131AD" w:rsidRPr="00155F80" w:rsidRDefault="002053DE" w:rsidP="00250204">
      <w:pPr>
        <w:pStyle w:val="TEKST"/>
        <w:rPr>
          <w:i/>
        </w:rPr>
      </w:pPr>
      <w:r w:rsidRPr="00155F80">
        <w:t>Mada je pasivni nadzor na</w:t>
      </w:r>
      <w:r w:rsidR="00A131AD" w:rsidRPr="00155F80">
        <w:t xml:space="preserve">d oboljenjima koje se mogu spriječiti </w:t>
      </w:r>
      <w:r w:rsidR="005E297E">
        <w:t>cjpljenjem</w:t>
      </w:r>
      <w:r w:rsidR="00A131AD" w:rsidRPr="00155F80">
        <w:t xml:space="preserve"> upotpunjen aktivnim nadzorom i dalje postoje poteškoće u realizaciji zacrtanih planova i strategija, jer zahtijevani indikatori kvalitet</w:t>
      </w:r>
      <w:r w:rsidR="004E052E">
        <w:t>a</w:t>
      </w:r>
      <w:r w:rsidR="00A131AD" w:rsidRPr="00155F80">
        <w:t xml:space="preserve"> nadzora nisu zadovoljavajući. Sve ukazuje na to da je neophodno raditi na re</w:t>
      </w:r>
      <w:r w:rsidRPr="00155F80">
        <w:t>a</w:t>
      </w:r>
      <w:r w:rsidR="00A131AD" w:rsidRPr="00155F80">
        <w:t>lizaciji planova proisteklih iz Strategija eliminacije i eradikacije ovih oboljenja-</w:t>
      </w:r>
      <w:r w:rsidR="00512E30">
        <w:t>obolijevanje</w:t>
      </w:r>
      <w:r w:rsidR="00A131AD" w:rsidRPr="00155F80">
        <w:t xml:space="preserve">jšanju nadzora, postizanju visokog obuhvata </w:t>
      </w:r>
      <w:r w:rsidR="004E052E">
        <w:t>cjepivom</w:t>
      </w:r>
      <w:r w:rsidR="00A131AD" w:rsidRPr="00155F80">
        <w:t xml:space="preserve"> i dopunskoj imunizaciji.</w:t>
      </w:r>
    </w:p>
    <w:p w:rsidR="00A131AD" w:rsidRPr="00155F80" w:rsidRDefault="00A131AD" w:rsidP="000C0138">
      <w:pPr>
        <w:pStyle w:val="Header"/>
        <w:tabs>
          <w:tab w:val="left" w:pos="708"/>
        </w:tabs>
        <w:spacing w:line="276" w:lineRule="auto"/>
        <w:jc w:val="both"/>
        <w:rPr>
          <w:sz w:val="22"/>
          <w:szCs w:val="22"/>
        </w:rPr>
      </w:pPr>
    </w:p>
    <w:p w:rsidR="00A131AD" w:rsidRPr="00155F80" w:rsidRDefault="00A06016" w:rsidP="00A06016">
      <w:pPr>
        <w:pStyle w:val="Poglavlje3"/>
        <w:rPr>
          <w:noProof/>
          <w:lang w:val="bs-Latn-BA"/>
        </w:rPr>
      </w:pPr>
      <w:bookmarkStart w:id="287" w:name="_Toc460929196"/>
      <w:r>
        <w:rPr>
          <w:noProof/>
          <w:lang w:val="bs-Latn-BA"/>
        </w:rPr>
        <w:t xml:space="preserve">3.2.3 </w:t>
      </w:r>
      <w:r w:rsidR="000E1376" w:rsidRPr="00155F80">
        <w:rPr>
          <w:noProof/>
          <w:lang w:val="bs-Latn-BA"/>
        </w:rPr>
        <w:t xml:space="preserve"> </w:t>
      </w:r>
      <w:r w:rsidR="00D21A46">
        <w:rPr>
          <w:noProof/>
          <w:lang w:val="bs-Latn-BA"/>
        </w:rPr>
        <w:t>Povrede</w:t>
      </w:r>
      <w:r w:rsidR="00A131AD" w:rsidRPr="00155F80">
        <w:rPr>
          <w:noProof/>
          <w:lang w:val="bs-Latn-BA"/>
        </w:rPr>
        <w:t xml:space="preserve"> i trovanja</w:t>
      </w:r>
      <w:bookmarkEnd w:id="287"/>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Stopa </w:t>
      </w:r>
      <w:r w:rsidR="004E052E">
        <w:rPr>
          <w:rFonts w:ascii="Times New Roman" w:hAnsi="Times New Roman"/>
          <w:noProof/>
          <w:lang w:val="bs-Latn-BA"/>
        </w:rPr>
        <w:t>ozljeđivanja</w:t>
      </w:r>
      <w:r w:rsidRPr="00155F80">
        <w:rPr>
          <w:rFonts w:ascii="Times New Roman" w:hAnsi="Times New Roman"/>
          <w:noProof/>
          <w:lang w:val="bs-Latn-BA"/>
        </w:rPr>
        <w:t xml:space="preserve"> zadržava sličn</w:t>
      </w:r>
      <w:r w:rsidR="004E052E">
        <w:rPr>
          <w:rFonts w:ascii="Times New Roman" w:hAnsi="Times New Roman"/>
          <w:noProof/>
          <w:lang w:val="bs-Latn-BA"/>
        </w:rPr>
        <w:t>u</w:t>
      </w:r>
      <w:r w:rsidRPr="00155F80">
        <w:rPr>
          <w:rFonts w:ascii="Times New Roman" w:hAnsi="Times New Roman"/>
          <w:noProof/>
          <w:lang w:val="bs-Latn-BA"/>
        </w:rPr>
        <w:t xml:space="preserve"> </w:t>
      </w:r>
      <w:r w:rsidR="002B489B">
        <w:rPr>
          <w:rFonts w:ascii="Times New Roman" w:hAnsi="Times New Roman"/>
          <w:noProof/>
          <w:lang w:val="bs-Latn-BA"/>
        </w:rPr>
        <w:t>nivo</w:t>
      </w:r>
      <w:r w:rsidRPr="00155F80">
        <w:rPr>
          <w:rFonts w:ascii="Times New Roman" w:hAnsi="Times New Roman"/>
          <w:noProof/>
          <w:lang w:val="bs-Latn-BA"/>
        </w:rPr>
        <w:t xml:space="preserve"> u </w:t>
      </w:r>
      <w:r w:rsidR="00F70FD4">
        <w:rPr>
          <w:rFonts w:ascii="Times New Roman" w:hAnsi="Times New Roman"/>
          <w:noProof/>
          <w:lang w:val="bs-Latn-BA"/>
        </w:rPr>
        <w:t>periodu</w:t>
      </w:r>
      <w:r w:rsidRPr="00155F80">
        <w:rPr>
          <w:rFonts w:ascii="Times New Roman" w:hAnsi="Times New Roman"/>
          <w:noProof/>
          <w:lang w:val="bs-Latn-BA"/>
        </w:rPr>
        <w:t xml:space="preserve"> od 2010.</w:t>
      </w:r>
      <w:r w:rsidR="004E052E">
        <w:rPr>
          <w:rFonts w:ascii="Times New Roman" w:hAnsi="Times New Roman"/>
          <w:noProof/>
          <w:lang w:val="bs-Latn-BA"/>
        </w:rPr>
        <w:t xml:space="preserve"> do </w:t>
      </w:r>
      <w:r w:rsidRPr="00155F80">
        <w:rPr>
          <w:rFonts w:ascii="Times New Roman" w:hAnsi="Times New Roman"/>
          <w:noProof/>
          <w:lang w:val="bs-Latn-BA"/>
        </w:rPr>
        <w:t xml:space="preserve">2015. godine, 2010. godine je iznosila 318/10.000 stanovnika, a 2015. godine 310/10.000. </w:t>
      </w:r>
      <w:r w:rsidR="00D21A46">
        <w:rPr>
          <w:rFonts w:ascii="Times New Roman" w:hAnsi="Times New Roman"/>
          <w:noProof/>
          <w:lang w:val="bs-Latn-BA"/>
        </w:rPr>
        <w:t>Povrede</w:t>
      </w:r>
      <w:r w:rsidRPr="00155F80">
        <w:rPr>
          <w:rFonts w:ascii="Times New Roman" w:hAnsi="Times New Roman"/>
          <w:noProof/>
          <w:lang w:val="bs-Latn-BA"/>
        </w:rPr>
        <w:t xml:space="preserve"> i trovanja su najčešći među mladim</w:t>
      </w:r>
      <w:r w:rsidR="004E052E">
        <w:rPr>
          <w:rFonts w:ascii="Times New Roman" w:hAnsi="Times New Roman"/>
          <w:noProof/>
          <w:lang w:val="bs-Latn-BA"/>
        </w:rPr>
        <w:t>a</w:t>
      </w:r>
      <w:r w:rsidRPr="00155F80">
        <w:rPr>
          <w:rFonts w:ascii="Times New Roman" w:hAnsi="Times New Roman"/>
          <w:noProof/>
          <w:lang w:val="bs-Latn-BA"/>
        </w:rPr>
        <w:t xml:space="preserve">, pa su stope </w:t>
      </w:r>
      <w:r w:rsidR="004E052E">
        <w:rPr>
          <w:rFonts w:ascii="Times New Roman" w:hAnsi="Times New Roman"/>
          <w:noProof/>
          <w:lang w:val="bs-Latn-BA"/>
        </w:rPr>
        <w:t>ozljeđivanja</w:t>
      </w:r>
      <w:r w:rsidRPr="00155F80">
        <w:rPr>
          <w:rFonts w:ascii="Times New Roman" w:hAnsi="Times New Roman"/>
          <w:noProof/>
          <w:lang w:val="bs-Latn-BA"/>
        </w:rPr>
        <w:t xml:space="preserve"> najviše </w:t>
      </w:r>
      <w:r w:rsidR="0067516B">
        <w:rPr>
          <w:rFonts w:ascii="Times New Roman" w:hAnsi="Times New Roman"/>
          <w:noProof/>
          <w:lang w:val="bs-Latn-BA"/>
        </w:rPr>
        <w:t>među stanovništvom</w:t>
      </w:r>
      <w:r w:rsidRPr="00155F80">
        <w:rPr>
          <w:rFonts w:ascii="Times New Roman" w:hAnsi="Times New Roman"/>
          <w:noProof/>
          <w:lang w:val="bs-Latn-BA"/>
        </w:rPr>
        <w:t xml:space="preserve"> starosti 7-</w:t>
      </w:r>
      <w:r w:rsidR="009F6A9F">
        <w:rPr>
          <w:rFonts w:ascii="Times New Roman" w:hAnsi="Times New Roman"/>
          <w:noProof/>
          <w:lang w:val="bs-Latn-BA"/>
        </w:rPr>
        <w:t>18</w:t>
      </w:r>
      <w:r w:rsidRPr="00155F80">
        <w:rPr>
          <w:rFonts w:ascii="Times New Roman" w:hAnsi="Times New Roman"/>
          <w:noProof/>
          <w:lang w:val="bs-Latn-BA"/>
        </w:rPr>
        <w:t xml:space="preserve"> godina.</w:t>
      </w:r>
    </w:p>
    <w:p w:rsidR="00A131AD" w:rsidRPr="00155F80" w:rsidRDefault="00A131AD" w:rsidP="000C0138">
      <w:pPr>
        <w:tabs>
          <w:tab w:val="left" w:pos="550"/>
        </w:tabs>
        <w:spacing w:before="120" w:line="276" w:lineRule="auto"/>
        <w:rPr>
          <w:rFonts w:ascii="Times New Roman" w:hAnsi="Times New Roman"/>
          <w:noProof/>
          <w:lang w:val="bs-Latn-BA"/>
        </w:rPr>
      </w:pPr>
    </w:p>
    <w:p w:rsidR="00A131AD" w:rsidRDefault="00A131AD" w:rsidP="00EB7CC7">
      <w:pPr>
        <w:pStyle w:val="refererere"/>
        <w:rPr>
          <w:noProof/>
          <w:lang w:val="bs-Latn-BA"/>
        </w:rPr>
      </w:pPr>
      <w:r w:rsidRPr="0067516B">
        <w:rPr>
          <w:noProof/>
          <w:lang w:val="bs-Latn-BA"/>
        </w:rPr>
        <w:t xml:space="preserve">Grafikon 49: </w:t>
      </w:r>
      <w:r w:rsidR="00D21A46">
        <w:rPr>
          <w:noProof/>
          <w:lang w:val="bs-Latn-BA"/>
        </w:rPr>
        <w:t>Povrede</w:t>
      </w:r>
      <w:r w:rsidRPr="0067516B">
        <w:rPr>
          <w:noProof/>
          <w:lang w:val="bs-Latn-BA"/>
        </w:rPr>
        <w:t>, trovanja i druge posljedice vanjskog uzroka morbid</w:t>
      </w:r>
      <w:r w:rsidR="00A5788D" w:rsidRPr="0067516B">
        <w:rPr>
          <w:noProof/>
          <w:lang w:val="bs-Latn-BA"/>
        </w:rPr>
        <w:t>iteta prema starosnim grupama,</w:t>
      </w:r>
      <w:r w:rsidRPr="0067516B">
        <w:rPr>
          <w:noProof/>
          <w:lang w:val="bs-Latn-BA"/>
        </w:rPr>
        <w:t xml:space="preserve"> </w:t>
      </w:r>
      <w:r w:rsidR="00A5788D" w:rsidRPr="0067516B">
        <w:rPr>
          <w:noProof/>
          <w:lang w:val="bs-Latn-BA"/>
        </w:rPr>
        <w:t xml:space="preserve">2010. i </w:t>
      </w:r>
      <w:r w:rsidRPr="0067516B">
        <w:rPr>
          <w:noProof/>
          <w:lang w:val="bs-Latn-BA"/>
        </w:rPr>
        <w:t>2015. godina, stopa na 10.000 stanovnika</w:t>
      </w:r>
    </w:p>
    <w:p w:rsidR="009F6A9F" w:rsidRDefault="004975B7" w:rsidP="00EB7CC7">
      <w:pPr>
        <w:pStyle w:val="refererere"/>
        <w:rPr>
          <w:noProof/>
          <w:lang w:val="bs-Latn-BA"/>
        </w:rPr>
      </w:pPr>
      <w:r>
        <w:rPr>
          <w:noProof/>
          <w:lang w:eastAsia="en-GB"/>
        </w:rPr>
        <w:drawing>
          <wp:inline distT="0" distB="0" distL="0" distR="0" wp14:anchorId="38946DC2" wp14:editId="314381CC">
            <wp:extent cx="5657850" cy="2181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F6A9F" w:rsidRPr="00155F80" w:rsidRDefault="009F6A9F" w:rsidP="00EB7CC7">
      <w:pPr>
        <w:pStyle w:val="refererere"/>
        <w:rPr>
          <w:noProof/>
          <w:lang w:val="bs-Latn-BA"/>
        </w:rPr>
      </w:pPr>
    </w:p>
    <w:p w:rsidR="00A131AD" w:rsidRDefault="00A06016" w:rsidP="00A06016">
      <w:pPr>
        <w:pStyle w:val="Poglavlje3"/>
        <w:rPr>
          <w:rFonts w:eastAsiaTheme="minorHAnsi"/>
          <w:lang w:val="bs-Latn-BA"/>
        </w:rPr>
      </w:pPr>
      <w:bookmarkStart w:id="288" w:name="_Toc460929197"/>
      <w:r>
        <w:rPr>
          <w:rFonts w:eastAsiaTheme="minorHAnsi"/>
          <w:lang w:val="bs-Latn-BA"/>
        </w:rPr>
        <w:t xml:space="preserve">3.2.4 </w:t>
      </w:r>
      <w:r w:rsidR="00524835" w:rsidRPr="00155F80">
        <w:rPr>
          <w:rFonts w:eastAsiaTheme="minorHAnsi"/>
          <w:lang w:val="bs-Latn-BA"/>
        </w:rPr>
        <w:t xml:space="preserve"> Bolnički morbiditet</w:t>
      </w:r>
      <w:bookmarkEnd w:id="288"/>
    </w:p>
    <w:p w:rsidR="00A06016" w:rsidRPr="00155F80" w:rsidRDefault="00A06016" w:rsidP="00A06016">
      <w:pPr>
        <w:pStyle w:val="Poglavlje3"/>
        <w:rPr>
          <w:rFonts w:eastAsiaTheme="minorHAnsi"/>
          <w:lang w:val="bs-Latn-BA"/>
        </w:rPr>
      </w:pPr>
    </w:p>
    <w:p w:rsidR="00524835" w:rsidRDefault="00524835" w:rsidP="0067516B">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Prema </w:t>
      </w:r>
      <w:r w:rsidR="002B489B">
        <w:rPr>
          <w:rFonts w:ascii="Times New Roman" w:eastAsiaTheme="minorHAnsi" w:hAnsi="Times New Roman"/>
          <w:lang w:val="bs-Latn-BA"/>
        </w:rPr>
        <w:t>podaci</w:t>
      </w:r>
      <w:r w:rsidRPr="00155F80">
        <w:rPr>
          <w:rFonts w:ascii="Times New Roman" w:eastAsiaTheme="minorHAnsi" w:hAnsi="Times New Roman"/>
          <w:lang w:val="bs-Latn-BA"/>
        </w:rPr>
        <w:t>ma</w:t>
      </w:r>
      <w:r w:rsidR="0067516B">
        <w:rPr>
          <w:rFonts w:ascii="Times New Roman" w:eastAsiaTheme="minorHAnsi" w:hAnsi="Times New Roman"/>
          <w:lang w:val="bs-Latn-BA"/>
        </w:rPr>
        <w:t xml:space="preserve"> bolničkog morbiditeta, </w:t>
      </w:r>
      <w:r w:rsidRPr="00155F80">
        <w:rPr>
          <w:rFonts w:ascii="Times New Roman" w:eastAsiaTheme="minorHAnsi" w:hAnsi="Times New Roman"/>
          <w:lang w:val="bs-Latn-BA"/>
        </w:rPr>
        <w:t xml:space="preserve">u bolnicama u Federaciji BiH u 2015. godini je liječeno </w:t>
      </w:r>
      <w:r w:rsidR="0067516B">
        <w:rPr>
          <w:rFonts w:ascii="Times New Roman" w:eastAsiaTheme="minorHAnsi" w:hAnsi="Times New Roman"/>
          <w:lang w:val="bs-Latn-BA"/>
        </w:rPr>
        <w:t>215.709</w:t>
      </w:r>
      <w:r w:rsidRPr="00155F80">
        <w:rPr>
          <w:rFonts w:ascii="Times New Roman" w:eastAsiaTheme="minorHAnsi" w:hAnsi="Times New Roman"/>
          <w:lang w:val="bs-Latn-BA"/>
        </w:rPr>
        <w:t xml:space="preserve"> pacijenata i os</w:t>
      </w:r>
      <w:r w:rsidR="00D21A46">
        <w:rPr>
          <w:rFonts w:ascii="Times New Roman" w:eastAsiaTheme="minorHAnsi" w:hAnsi="Times New Roman"/>
          <w:lang w:val="bs-Latn-BA"/>
        </w:rPr>
        <w:t>materija</w:t>
      </w:r>
      <w:r w:rsidRPr="00155F80">
        <w:rPr>
          <w:rFonts w:ascii="Times New Roman" w:eastAsiaTheme="minorHAnsi" w:hAnsi="Times New Roman"/>
          <w:lang w:val="bs-Latn-BA"/>
        </w:rPr>
        <w:t>en</w:t>
      </w:r>
      <w:r w:rsidR="0067516B">
        <w:rPr>
          <w:rFonts w:ascii="Times New Roman" w:eastAsiaTheme="minorHAnsi" w:hAnsi="Times New Roman"/>
          <w:lang w:val="bs-Latn-BA"/>
        </w:rPr>
        <w:t>o je 1.724.329</w:t>
      </w:r>
      <w:r w:rsidR="00087E45" w:rsidRPr="00155F80">
        <w:rPr>
          <w:rFonts w:ascii="Times New Roman" w:eastAsiaTheme="minorHAnsi" w:hAnsi="Times New Roman"/>
          <w:lang w:val="bs-Latn-BA"/>
        </w:rPr>
        <w:t xml:space="preserve"> bolesničkih dana, među kojima su n</w:t>
      </w:r>
      <w:r w:rsidRPr="00155F80">
        <w:rPr>
          <w:rFonts w:ascii="Times New Roman" w:eastAsiaTheme="minorHAnsi" w:hAnsi="Times New Roman"/>
          <w:lang w:val="bs-Latn-BA"/>
        </w:rPr>
        <w:t>aj</w:t>
      </w:r>
      <w:r w:rsidR="00087E45" w:rsidRPr="00155F80">
        <w:rPr>
          <w:rFonts w:ascii="Times New Roman" w:eastAsiaTheme="minorHAnsi" w:hAnsi="Times New Roman"/>
          <w:lang w:val="bs-Latn-BA"/>
        </w:rPr>
        <w:t>već</w:t>
      </w:r>
      <w:r w:rsidR="004E052E">
        <w:rPr>
          <w:rFonts w:ascii="Times New Roman" w:eastAsiaTheme="minorHAnsi" w:hAnsi="Times New Roman"/>
          <w:lang w:val="bs-Latn-BA"/>
        </w:rPr>
        <w:t>i</w:t>
      </w:r>
      <w:r w:rsidRPr="00155F80">
        <w:rPr>
          <w:rFonts w:ascii="Times New Roman" w:eastAsiaTheme="minorHAnsi" w:hAnsi="Times New Roman"/>
          <w:lang w:val="bs-Latn-BA"/>
        </w:rPr>
        <w:t xml:space="preserve"> </w:t>
      </w:r>
      <w:r w:rsidR="00087E45" w:rsidRPr="00155F80">
        <w:rPr>
          <w:rFonts w:ascii="Times New Roman" w:eastAsiaTheme="minorHAnsi" w:hAnsi="Times New Roman"/>
          <w:lang w:val="bs-Latn-BA"/>
        </w:rPr>
        <w:t>u</w:t>
      </w:r>
      <w:r w:rsidR="004E052E">
        <w:rPr>
          <w:rFonts w:ascii="Times New Roman" w:eastAsiaTheme="minorHAnsi" w:hAnsi="Times New Roman"/>
          <w:lang w:val="bs-Latn-BA"/>
        </w:rPr>
        <w:t>dio</w:t>
      </w:r>
      <w:r w:rsidR="00087E45" w:rsidRPr="00155F80">
        <w:rPr>
          <w:rFonts w:ascii="Times New Roman" w:eastAsiaTheme="minorHAnsi" w:hAnsi="Times New Roman"/>
          <w:lang w:val="bs-Latn-BA"/>
        </w:rPr>
        <w:t xml:space="preserve"> </w:t>
      </w:r>
      <w:r w:rsidRPr="00155F80">
        <w:rPr>
          <w:rFonts w:ascii="Times New Roman" w:eastAsiaTheme="minorHAnsi" w:hAnsi="Times New Roman"/>
          <w:lang w:val="bs-Latn-BA"/>
        </w:rPr>
        <w:t xml:space="preserve">imale bolesti srca </w:t>
      </w:r>
      <w:r w:rsidR="00087E45" w:rsidRPr="00155F80">
        <w:rPr>
          <w:rFonts w:ascii="Times New Roman" w:eastAsiaTheme="minorHAnsi" w:hAnsi="Times New Roman"/>
          <w:lang w:val="bs-Latn-BA"/>
        </w:rPr>
        <w:t xml:space="preserve">i krvnih sudova sa 15,6% </w:t>
      </w:r>
      <w:r w:rsidR="004E052E">
        <w:rPr>
          <w:rFonts w:ascii="Times New Roman" w:eastAsiaTheme="minorHAnsi" w:hAnsi="Times New Roman"/>
          <w:lang w:val="bs-Latn-BA"/>
        </w:rPr>
        <w:t xml:space="preserve"> udjela</w:t>
      </w:r>
      <w:r w:rsidR="00087E45" w:rsidRPr="00155F80">
        <w:rPr>
          <w:rFonts w:ascii="Times New Roman" w:eastAsiaTheme="minorHAnsi" w:hAnsi="Times New Roman"/>
          <w:lang w:val="bs-Latn-BA"/>
        </w:rPr>
        <w:t xml:space="preserve">, </w:t>
      </w:r>
      <w:r w:rsidR="00386071">
        <w:rPr>
          <w:rFonts w:ascii="Times New Roman" w:eastAsiaTheme="minorHAnsi" w:hAnsi="Times New Roman"/>
          <w:lang w:val="bs-Latn-BA"/>
        </w:rPr>
        <w:t xml:space="preserve">oboljenja koštano-mišićnog </w:t>
      </w:r>
      <w:r w:rsidR="00512E30">
        <w:rPr>
          <w:rFonts w:ascii="Times New Roman" w:eastAsiaTheme="minorHAnsi" w:hAnsi="Times New Roman"/>
          <w:lang w:val="bs-Latn-BA"/>
        </w:rPr>
        <w:t>sistem</w:t>
      </w:r>
      <w:r w:rsidR="004E052E">
        <w:rPr>
          <w:rFonts w:ascii="Times New Roman" w:eastAsiaTheme="minorHAnsi" w:hAnsi="Times New Roman"/>
          <w:lang w:val="bs-Latn-BA"/>
        </w:rPr>
        <w:t>a</w:t>
      </w:r>
      <w:r w:rsidR="00386071">
        <w:rPr>
          <w:rFonts w:ascii="Times New Roman" w:eastAsiaTheme="minorHAnsi" w:hAnsi="Times New Roman"/>
          <w:lang w:val="bs-Latn-BA"/>
        </w:rPr>
        <w:t xml:space="preserve"> i vezivnog tkiva sa 10,9%, te </w:t>
      </w:r>
      <w:r w:rsidR="004E052E">
        <w:rPr>
          <w:rFonts w:ascii="Times New Roman" w:eastAsiaTheme="minorHAnsi" w:hAnsi="Times New Roman"/>
          <w:lang w:val="bs-Latn-BA"/>
        </w:rPr>
        <w:t xml:space="preserve"> udio </w:t>
      </w:r>
      <w:r w:rsidRPr="00155F80">
        <w:rPr>
          <w:rFonts w:ascii="Times New Roman" w:eastAsiaTheme="minorHAnsi" w:hAnsi="Times New Roman"/>
          <w:lang w:val="bs-Latn-BA"/>
        </w:rPr>
        <w:t>maligne neoplazme sa 1</w:t>
      </w:r>
      <w:r w:rsidR="0067516B">
        <w:rPr>
          <w:rFonts w:ascii="Times New Roman" w:eastAsiaTheme="minorHAnsi" w:hAnsi="Times New Roman"/>
          <w:lang w:val="bs-Latn-BA"/>
        </w:rPr>
        <w:t>0</w:t>
      </w:r>
      <w:r w:rsidRPr="00155F80">
        <w:rPr>
          <w:rFonts w:ascii="Times New Roman" w:eastAsiaTheme="minorHAnsi" w:hAnsi="Times New Roman"/>
          <w:lang w:val="bs-Latn-BA"/>
        </w:rPr>
        <w:t>,4% u</w:t>
      </w:r>
      <w:r w:rsidR="00243A26">
        <w:rPr>
          <w:rFonts w:ascii="Times New Roman" w:eastAsiaTheme="minorHAnsi" w:hAnsi="Times New Roman"/>
          <w:lang w:val="bs-Latn-BA"/>
        </w:rPr>
        <w:t>djela.</w:t>
      </w:r>
      <w:r w:rsidRPr="00155F80">
        <w:rPr>
          <w:rFonts w:ascii="Times New Roman" w:eastAsiaTheme="minorHAnsi" w:hAnsi="Times New Roman"/>
          <w:lang w:val="bs-Latn-BA"/>
        </w:rPr>
        <w:t xml:space="preserve"> </w:t>
      </w:r>
    </w:p>
    <w:p w:rsidR="00A726E5" w:rsidRDefault="00A06016" w:rsidP="00A06016">
      <w:pPr>
        <w:pStyle w:val="Poglavlje3"/>
        <w:rPr>
          <w:rFonts w:eastAsiaTheme="minorHAnsi"/>
          <w:lang w:val="bs-Latn-BA"/>
        </w:rPr>
      </w:pPr>
      <w:bookmarkStart w:id="289" w:name="_Toc460929198"/>
      <w:r>
        <w:rPr>
          <w:rFonts w:eastAsiaTheme="minorHAnsi"/>
          <w:lang w:val="bs-Latn-BA"/>
        </w:rPr>
        <w:t xml:space="preserve">3.2.5 </w:t>
      </w:r>
      <w:r w:rsidR="00AE2EDA">
        <w:rPr>
          <w:rFonts w:eastAsiaTheme="minorHAnsi"/>
          <w:lang w:val="bs-Latn-BA"/>
        </w:rPr>
        <w:t xml:space="preserve"> </w:t>
      </w:r>
      <w:r w:rsidR="00A131AD" w:rsidRPr="00155F80">
        <w:rPr>
          <w:rFonts w:eastAsiaTheme="minorHAnsi"/>
          <w:lang w:val="bs-Latn-BA"/>
        </w:rPr>
        <w:t>Zdravlje populaci</w:t>
      </w:r>
      <w:r w:rsidR="004E052E">
        <w:rPr>
          <w:rFonts w:eastAsiaTheme="minorHAnsi"/>
          <w:lang w:val="bs-Latn-BA"/>
        </w:rPr>
        <w:t>jskih</w:t>
      </w:r>
      <w:r w:rsidR="00A131AD" w:rsidRPr="00155F80">
        <w:rPr>
          <w:rFonts w:eastAsiaTheme="minorHAnsi"/>
          <w:lang w:val="bs-Latn-BA"/>
        </w:rPr>
        <w:t xml:space="preserve"> grupa</w:t>
      </w:r>
      <w:bookmarkEnd w:id="289"/>
    </w:p>
    <w:p w:rsidR="00A06016" w:rsidRPr="00155F80" w:rsidRDefault="00A06016" w:rsidP="00A06016">
      <w:pPr>
        <w:pStyle w:val="Poglavlje3"/>
        <w:rPr>
          <w:rFonts w:eastAsiaTheme="minorHAnsi"/>
          <w:lang w:val="bs-Latn-BA"/>
        </w:rPr>
      </w:pPr>
    </w:p>
    <w:p w:rsidR="00A131AD" w:rsidRPr="003E3695" w:rsidRDefault="00A06016" w:rsidP="003E3695">
      <w:pPr>
        <w:pStyle w:val="Poglavlje3"/>
      </w:pPr>
      <w:bookmarkStart w:id="290" w:name="_Toc460929199"/>
      <w:r w:rsidRPr="003E3695">
        <w:t xml:space="preserve">3.2.5.1 </w:t>
      </w:r>
      <w:r w:rsidR="00F81BD5" w:rsidRPr="003E3695">
        <w:t xml:space="preserve"> </w:t>
      </w:r>
      <w:r w:rsidR="00A131AD" w:rsidRPr="003E3695">
        <w:t>Djeca i mladi</w:t>
      </w:r>
      <w:bookmarkEnd w:id="290"/>
    </w:p>
    <w:p w:rsidR="0059581E" w:rsidRPr="00155F80" w:rsidRDefault="0059581E" w:rsidP="0059581E">
      <w:pPr>
        <w:pStyle w:val="Poglavlje3"/>
        <w:rPr>
          <w:rFonts w:eastAsiaTheme="minorHAnsi"/>
          <w:lang w:val="bs-Latn-BA"/>
        </w:rPr>
      </w:pP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Dojenačk</w:t>
      </w:r>
      <w:r w:rsidR="004E052E">
        <w:rPr>
          <w:rFonts w:ascii="Times New Roman" w:eastAsiaTheme="minorHAnsi" w:hAnsi="Times New Roman"/>
          <w:b/>
          <w:lang w:val="bs-Latn-BA"/>
        </w:rPr>
        <w:t>o</w:t>
      </w:r>
      <w:r w:rsidRPr="00155F80">
        <w:rPr>
          <w:rFonts w:ascii="Times New Roman" w:eastAsiaTheme="minorHAnsi" w:hAnsi="Times New Roman"/>
          <w:b/>
          <w:lang w:val="bs-Latn-BA"/>
        </w:rPr>
        <w:t xml:space="preserve"> </w:t>
      </w:r>
      <w:r w:rsidR="00F70FD4">
        <w:rPr>
          <w:rFonts w:ascii="Times New Roman" w:eastAsiaTheme="minorHAnsi" w:hAnsi="Times New Roman"/>
          <w:b/>
          <w:lang w:val="bs-Latn-BA"/>
        </w:rPr>
        <w:t>period</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Prva godina života je najosjetljivij</w:t>
      </w:r>
      <w:r w:rsidR="004E052E">
        <w:rPr>
          <w:rFonts w:ascii="Times New Roman" w:eastAsiaTheme="minorHAnsi" w:hAnsi="Times New Roman"/>
          <w:lang w:val="bs-Latn-BA"/>
        </w:rPr>
        <w:t>e</w:t>
      </w:r>
      <w:r w:rsidRPr="00155F80">
        <w:rPr>
          <w:rFonts w:ascii="Times New Roman" w:eastAsiaTheme="minorHAnsi" w:hAnsi="Times New Roman"/>
          <w:lang w:val="bs-Latn-BA"/>
        </w:rPr>
        <w:t xml:space="preserve"> </w:t>
      </w:r>
      <w:r w:rsidR="00F70FD4">
        <w:rPr>
          <w:rFonts w:ascii="Times New Roman" w:eastAsiaTheme="minorHAnsi" w:hAnsi="Times New Roman"/>
          <w:lang w:val="bs-Latn-BA"/>
        </w:rPr>
        <w:t>period</w:t>
      </w:r>
      <w:r w:rsidRPr="00155F80">
        <w:rPr>
          <w:rFonts w:ascii="Times New Roman" w:eastAsiaTheme="minorHAnsi" w:hAnsi="Times New Roman"/>
          <w:lang w:val="bs-Latn-BA"/>
        </w:rPr>
        <w:t xml:space="preserve"> u životu djece, jer na zdravlje djece ovog uzrasta ut</w:t>
      </w:r>
      <w:r w:rsidR="004E052E">
        <w:rPr>
          <w:rFonts w:ascii="Times New Roman" w:eastAsiaTheme="minorHAnsi" w:hAnsi="Times New Roman"/>
          <w:lang w:val="bs-Latn-BA"/>
        </w:rPr>
        <w:t>je</w:t>
      </w:r>
      <w:r w:rsidRPr="00155F80">
        <w:rPr>
          <w:rFonts w:ascii="Times New Roman" w:eastAsiaTheme="minorHAnsi" w:hAnsi="Times New Roman"/>
          <w:lang w:val="bs-Latn-BA"/>
        </w:rPr>
        <w:t xml:space="preserve">če mnogo </w:t>
      </w:r>
      <w:r w:rsidR="00D21A46">
        <w:rPr>
          <w:rFonts w:ascii="Times New Roman" w:eastAsiaTheme="minorHAnsi" w:hAnsi="Times New Roman"/>
          <w:lang w:val="bs-Latn-BA"/>
        </w:rPr>
        <w:t>faktor</w:t>
      </w:r>
      <w:r w:rsidR="004E052E">
        <w:rPr>
          <w:rFonts w:ascii="Times New Roman" w:eastAsiaTheme="minorHAnsi" w:hAnsi="Times New Roman"/>
          <w:lang w:val="bs-Latn-BA"/>
        </w:rPr>
        <w:t>a</w:t>
      </w:r>
      <w:r w:rsidRPr="00155F80">
        <w:rPr>
          <w:rFonts w:ascii="Times New Roman" w:eastAsiaTheme="minorHAnsi" w:hAnsi="Times New Roman"/>
          <w:lang w:val="bs-Latn-BA"/>
        </w:rPr>
        <w:t xml:space="preserve"> među kojima su važni zdravlje majke, način </w:t>
      </w:r>
      <w:r w:rsidR="00D21A46">
        <w:rPr>
          <w:rFonts w:ascii="Times New Roman" w:eastAsiaTheme="minorHAnsi" w:hAnsi="Times New Roman"/>
          <w:lang w:val="bs-Latn-BA"/>
        </w:rPr>
        <w:t>ishrane</w:t>
      </w:r>
      <w:r w:rsidRPr="00155F80">
        <w:rPr>
          <w:rFonts w:ascii="Times New Roman" w:eastAsiaTheme="minorHAnsi" w:hAnsi="Times New Roman"/>
          <w:lang w:val="bs-Latn-BA"/>
        </w:rPr>
        <w:t xml:space="preserve">, </w:t>
      </w:r>
      <w:r w:rsidR="00F70FD4">
        <w:rPr>
          <w:rFonts w:ascii="Times New Roman" w:eastAsiaTheme="minorHAnsi" w:hAnsi="Times New Roman"/>
          <w:lang w:val="bs-Latn-BA"/>
        </w:rPr>
        <w:t>uslovi</w:t>
      </w:r>
      <w:r w:rsidRPr="00155F80">
        <w:rPr>
          <w:rFonts w:ascii="Times New Roman" w:eastAsiaTheme="minorHAnsi" w:hAnsi="Times New Roman"/>
          <w:lang w:val="bs-Latn-BA"/>
        </w:rPr>
        <w:t xml:space="preserve"> stanovanja itd.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Dobri </w:t>
      </w:r>
      <w:r w:rsidR="00587CDA">
        <w:rPr>
          <w:rFonts w:ascii="Times New Roman" w:eastAsiaTheme="minorHAnsi" w:hAnsi="Times New Roman"/>
          <w:lang w:val="bs-Latn-BA"/>
        </w:rPr>
        <w:t>pokazatelji</w:t>
      </w:r>
      <w:r w:rsidRPr="00155F80">
        <w:rPr>
          <w:rFonts w:ascii="Times New Roman" w:eastAsiaTheme="minorHAnsi" w:hAnsi="Times New Roman"/>
          <w:lang w:val="bs-Latn-BA"/>
        </w:rPr>
        <w:t xml:space="preserve"> zdravlja djece su dojenačka smrtnost i njeni sastavni dijelovi (mrtvorođenost, perinatalna smrtnost, neonatalna i postneonatalna smrtnost), koji u </w:t>
      </w:r>
      <w:r w:rsidR="00F70FD4">
        <w:rPr>
          <w:rFonts w:ascii="Times New Roman" w:eastAsiaTheme="minorHAnsi" w:hAnsi="Times New Roman"/>
          <w:lang w:val="bs-Latn-BA"/>
        </w:rPr>
        <w:t>periodu</w:t>
      </w:r>
      <w:r w:rsidRPr="00155F80">
        <w:rPr>
          <w:rFonts w:ascii="Times New Roman" w:eastAsiaTheme="minorHAnsi" w:hAnsi="Times New Roman"/>
          <w:lang w:val="bs-Latn-BA"/>
        </w:rPr>
        <w:t xml:space="preserve"> od 2010.-2015. godine imaju trend opadanja.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Na zdravlje djece u dojenačkom i predškolskom uzrastu ut</w:t>
      </w:r>
      <w:r w:rsidR="004E052E">
        <w:rPr>
          <w:rFonts w:ascii="Times New Roman" w:eastAsiaTheme="minorHAnsi" w:hAnsi="Times New Roman"/>
          <w:lang w:val="bs-Latn-BA"/>
        </w:rPr>
        <w:t>je</w:t>
      </w:r>
      <w:r w:rsidRPr="00155F80">
        <w:rPr>
          <w:rFonts w:ascii="Times New Roman" w:eastAsiaTheme="minorHAnsi" w:hAnsi="Times New Roman"/>
          <w:lang w:val="bs-Latn-BA"/>
        </w:rPr>
        <w:t xml:space="preserve">ču kongenitalne malformacije i deformacije. U 2015. godini, u dojenačkom </w:t>
      </w:r>
      <w:r w:rsidR="00F70FD4">
        <w:rPr>
          <w:rFonts w:ascii="Times New Roman" w:eastAsiaTheme="minorHAnsi" w:hAnsi="Times New Roman"/>
          <w:lang w:val="bs-Latn-BA"/>
        </w:rPr>
        <w:t>periodu</w:t>
      </w:r>
      <w:r w:rsidRPr="00155F80">
        <w:rPr>
          <w:rFonts w:ascii="Times New Roman" w:eastAsiaTheme="minorHAnsi" w:hAnsi="Times New Roman"/>
          <w:lang w:val="bs-Latn-BA"/>
        </w:rPr>
        <w:t xml:space="preserve"> je </w:t>
      </w:r>
      <w:r w:rsidR="00A80006">
        <w:rPr>
          <w:rFonts w:ascii="Times New Roman" w:eastAsiaTheme="minorHAnsi" w:hAnsi="Times New Roman"/>
          <w:lang w:val="bs-Latn-BA"/>
        </w:rPr>
        <w:t>registrovano</w:t>
      </w:r>
      <w:r w:rsidRPr="00155F80">
        <w:rPr>
          <w:rFonts w:ascii="Times New Roman" w:eastAsiaTheme="minorHAnsi" w:hAnsi="Times New Roman"/>
          <w:lang w:val="bs-Latn-BA"/>
        </w:rPr>
        <w:t xml:space="preserve"> najviše kongenitalnih malformacija cirkula</w:t>
      </w:r>
      <w:r w:rsidR="004E052E">
        <w:rPr>
          <w:rFonts w:ascii="Times New Roman" w:eastAsiaTheme="minorHAnsi" w:hAnsi="Times New Roman"/>
          <w:lang w:val="bs-Latn-BA"/>
        </w:rPr>
        <w:t>cijskog</w:t>
      </w:r>
      <w:r w:rsidRPr="00155F80">
        <w:rPr>
          <w:rFonts w:ascii="Times New Roman" w:eastAsiaTheme="minorHAnsi" w:hAnsi="Times New Roman"/>
          <w:lang w:val="bs-Latn-BA"/>
        </w:rPr>
        <w:t xml:space="preserve"> i respiratornog </w:t>
      </w:r>
      <w:r w:rsidR="00512E30">
        <w:rPr>
          <w:rFonts w:ascii="Times New Roman" w:eastAsiaTheme="minorHAnsi" w:hAnsi="Times New Roman"/>
          <w:lang w:val="bs-Latn-BA"/>
        </w:rPr>
        <w:t>sistem</w:t>
      </w:r>
      <w:r w:rsidR="004E052E">
        <w:rPr>
          <w:rFonts w:ascii="Times New Roman" w:eastAsiaTheme="minorHAnsi" w:hAnsi="Times New Roman"/>
          <w:lang w:val="bs-Latn-BA"/>
        </w:rPr>
        <w:t>a</w:t>
      </w:r>
      <w:r w:rsidRPr="00155F80">
        <w:rPr>
          <w:rFonts w:ascii="Times New Roman" w:eastAsiaTheme="minorHAnsi" w:hAnsi="Times New Roman"/>
          <w:lang w:val="bs-Latn-BA"/>
        </w:rPr>
        <w:t xml:space="preserve"> (30,1%) i kongenitalnih malformacija </w:t>
      </w:r>
      <w:r w:rsidR="004E052E">
        <w:rPr>
          <w:rFonts w:ascii="Times New Roman" w:eastAsiaTheme="minorHAnsi" w:hAnsi="Times New Roman"/>
          <w:lang w:val="bs-Latn-BA"/>
        </w:rPr>
        <w:t>s</w:t>
      </w:r>
      <w:r w:rsidRPr="00155F80">
        <w:rPr>
          <w:rFonts w:ascii="Times New Roman" w:eastAsiaTheme="minorHAnsi" w:hAnsi="Times New Roman"/>
          <w:lang w:val="bs-Latn-BA"/>
        </w:rPr>
        <w:t xml:space="preserve">polnih organa i urinarnog </w:t>
      </w:r>
      <w:r w:rsidR="00512E30">
        <w:rPr>
          <w:rFonts w:ascii="Times New Roman" w:eastAsiaTheme="minorHAnsi" w:hAnsi="Times New Roman"/>
          <w:lang w:val="bs-Latn-BA"/>
        </w:rPr>
        <w:t>sistem</w:t>
      </w:r>
      <w:r w:rsidR="004E052E">
        <w:rPr>
          <w:rFonts w:ascii="Times New Roman" w:eastAsiaTheme="minorHAnsi" w:hAnsi="Times New Roman"/>
          <w:lang w:val="bs-Latn-BA"/>
        </w:rPr>
        <w:t>a</w:t>
      </w:r>
      <w:r w:rsidRPr="00155F80">
        <w:rPr>
          <w:rFonts w:ascii="Times New Roman" w:eastAsiaTheme="minorHAnsi" w:hAnsi="Times New Roman"/>
          <w:lang w:val="bs-Latn-BA"/>
        </w:rPr>
        <w:t xml:space="preserve"> (24,6%). Kao uzroci smrti djece </w:t>
      </w:r>
      <w:r w:rsidR="004E052E">
        <w:rPr>
          <w:rFonts w:ascii="Times New Roman" w:eastAsiaTheme="minorHAnsi" w:hAnsi="Times New Roman"/>
          <w:lang w:val="bs-Latn-BA"/>
        </w:rPr>
        <w:t>dobi</w:t>
      </w:r>
      <w:r w:rsidRPr="00155F80">
        <w:rPr>
          <w:rFonts w:ascii="Times New Roman" w:eastAsiaTheme="minorHAnsi" w:hAnsi="Times New Roman"/>
          <w:lang w:val="bs-Latn-BA"/>
        </w:rPr>
        <w:t xml:space="preserve"> do jedne godine u 2015. godini od 12 </w:t>
      </w:r>
      <w:r w:rsidR="00A80006">
        <w:rPr>
          <w:rFonts w:ascii="Times New Roman" w:eastAsiaTheme="minorHAnsi" w:hAnsi="Times New Roman"/>
          <w:lang w:val="bs-Latn-BA"/>
        </w:rPr>
        <w:t>registrovanih</w:t>
      </w:r>
      <w:r w:rsidRPr="00155F80">
        <w:rPr>
          <w:rFonts w:ascii="Times New Roman" w:eastAsiaTheme="minorHAnsi" w:hAnsi="Times New Roman"/>
          <w:lang w:val="bs-Latn-BA"/>
        </w:rPr>
        <w:t xml:space="preserve"> smtnih ishoda kao najčešći uzrok su registr</w:t>
      </w:r>
      <w:r w:rsidR="004E052E">
        <w:rPr>
          <w:rFonts w:ascii="Times New Roman" w:eastAsiaTheme="minorHAnsi" w:hAnsi="Times New Roman"/>
          <w:lang w:val="bs-Latn-BA"/>
        </w:rPr>
        <w:t>irani</w:t>
      </w:r>
      <w:r w:rsidRPr="00155F80">
        <w:rPr>
          <w:rFonts w:ascii="Times New Roman" w:eastAsiaTheme="minorHAnsi" w:hAnsi="Times New Roman"/>
          <w:lang w:val="bs-Latn-BA"/>
        </w:rPr>
        <w:t xml:space="preserve"> drugi</w:t>
      </w:r>
      <w:r w:rsidR="00A726E5" w:rsidRPr="00155F80">
        <w:rPr>
          <w:rFonts w:ascii="Times New Roman" w:eastAsiaTheme="minorHAnsi" w:hAnsi="Times New Roman"/>
          <w:lang w:val="bs-Latn-BA"/>
        </w:rPr>
        <w:t xml:space="preserve"> kongenitalni sindromi (25%).  </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Zdravlje djece predškolskog uzrasta</w:t>
      </w:r>
    </w:p>
    <w:p w:rsidR="00A131AD" w:rsidRPr="00155F80" w:rsidRDefault="00A131AD" w:rsidP="000C0138">
      <w:pPr>
        <w:tabs>
          <w:tab w:val="left" w:pos="550"/>
        </w:tabs>
        <w:spacing w:before="120" w:line="276" w:lineRule="auto"/>
        <w:rPr>
          <w:rFonts w:ascii="Times New Roman" w:hAnsi="Times New Roman"/>
          <w:noProof/>
          <w:color w:val="000000"/>
          <w:lang w:val="bs-Latn-BA"/>
        </w:rPr>
      </w:pPr>
      <w:r w:rsidRPr="00155F80">
        <w:rPr>
          <w:rFonts w:ascii="Times New Roman" w:hAnsi="Times New Roman"/>
          <w:noProof/>
          <w:lang w:val="bs-Latn-BA"/>
        </w:rPr>
        <w:t>Vodeća oboljenja kod djece uzrasta 0-6 godina u p</w:t>
      </w:r>
      <w:r w:rsidR="004E052E">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su: akutne infekcije gornjih dišnih puteva (J00</w:t>
      </w:r>
      <w:r w:rsidRPr="00155F80">
        <w:rPr>
          <w:rFonts w:ascii="Cambria Math" w:hAnsi="Cambria Math" w:cs="Cambria Math"/>
          <w:noProof/>
          <w:lang w:val="bs-Latn-BA"/>
        </w:rPr>
        <w:t>‐</w:t>
      </w:r>
      <w:r w:rsidRPr="00155F80">
        <w:rPr>
          <w:rFonts w:ascii="Times New Roman" w:hAnsi="Times New Roman"/>
          <w:noProof/>
          <w:lang w:val="bs-Latn-BA"/>
        </w:rPr>
        <w:t>J06)</w:t>
      </w:r>
      <w:r w:rsidR="0067516B">
        <w:rPr>
          <w:rFonts w:ascii="Times New Roman" w:hAnsi="Times New Roman"/>
          <w:noProof/>
          <w:lang w:val="bs-Latn-BA"/>
        </w:rPr>
        <w:t xml:space="preserve"> sa laganim trendom opadanja stope obol</w:t>
      </w:r>
      <w:r w:rsidR="004E052E">
        <w:rPr>
          <w:rFonts w:ascii="Times New Roman" w:hAnsi="Times New Roman"/>
          <w:noProof/>
          <w:lang w:val="bs-Latn-BA"/>
        </w:rPr>
        <w:t>i</w:t>
      </w:r>
      <w:r w:rsidR="0067516B">
        <w:rPr>
          <w:rFonts w:ascii="Times New Roman" w:hAnsi="Times New Roman"/>
          <w:noProof/>
          <w:lang w:val="bs-Latn-BA"/>
        </w:rPr>
        <w:t>jevanja</w:t>
      </w:r>
      <w:r w:rsidRPr="00155F80">
        <w:rPr>
          <w:rFonts w:ascii="Times New Roman" w:hAnsi="Times New Roman"/>
          <w:noProof/>
          <w:lang w:val="bs-Latn-BA"/>
        </w:rPr>
        <w:t>, zatim akutni bronhitis, bronhiolitis (J20</w:t>
      </w:r>
      <w:r w:rsidRPr="00155F80">
        <w:rPr>
          <w:rFonts w:ascii="Cambria Math" w:hAnsi="Cambria Math" w:cs="Cambria Math"/>
          <w:noProof/>
          <w:lang w:val="bs-Latn-BA"/>
        </w:rPr>
        <w:t>‐</w:t>
      </w:r>
      <w:r w:rsidRPr="00155F80">
        <w:rPr>
          <w:rFonts w:ascii="Times New Roman" w:hAnsi="Times New Roman"/>
          <w:noProof/>
          <w:lang w:val="bs-Latn-BA"/>
        </w:rPr>
        <w:t xml:space="preserve"> J21)</w:t>
      </w:r>
      <w:r w:rsidR="0067516B">
        <w:rPr>
          <w:rFonts w:ascii="Times New Roman" w:hAnsi="Times New Roman"/>
          <w:noProof/>
          <w:lang w:val="bs-Latn-BA"/>
        </w:rPr>
        <w:t xml:space="preserve"> sa trendom porasta obol</w:t>
      </w:r>
      <w:r w:rsidR="004E052E">
        <w:rPr>
          <w:rFonts w:ascii="Times New Roman" w:hAnsi="Times New Roman"/>
          <w:noProof/>
          <w:lang w:val="bs-Latn-BA"/>
        </w:rPr>
        <w:t>i</w:t>
      </w:r>
      <w:r w:rsidR="0067516B">
        <w:rPr>
          <w:rFonts w:ascii="Times New Roman" w:hAnsi="Times New Roman"/>
          <w:noProof/>
          <w:lang w:val="bs-Latn-BA"/>
        </w:rPr>
        <w:t>jevanja</w:t>
      </w:r>
      <w:r w:rsidRPr="00155F80">
        <w:rPr>
          <w:rFonts w:ascii="Times New Roman" w:hAnsi="Times New Roman"/>
          <w:noProof/>
          <w:lang w:val="bs-Latn-BA"/>
        </w:rPr>
        <w:t>, otitis media i drugi poremećaji srednjeg uha i mastoida (H65</w:t>
      </w:r>
      <w:r w:rsidRPr="00155F80">
        <w:rPr>
          <w:rFonts w:ascii="Cambria Math" w:hAnsi="Cambria Math" w:cs="Cambria Math"/>
          <w:noProof/>
          <w:lang w:val="bs-Latn-BA"/>
        </w:rPr>
        <w:t>‐</w:t>
      </w:r>
      <w:r w:rsidRPr="00155F80">
        <w:rPr>
          <w:rFonts w:ascii="Times New Roman" w:hAnsi="Times New Roman"/>
          <w:noProof/>
          <w:lang w:val="bs-Latn-BA"/>
        </w:rPr>
        <w:t>H75), infekcije kože i potkožnog tkiva (L00</w:t>
      </w:r>
      <w:r w:rsidRPr="00155F80">
        <w:rPr>
          <w:rFonts w:ascii="Cambria Math" w:hAnsi="Cambria Math" w:cs="Cambria Math"/>
          <w:noProof/>
          <w:lang w:val="bs-Latn-BA"/>
        </w:rPr>
        <w:t>‐</w:t>
      </w:r>
      <w:r w:rsidRPr="00155F80">
        <w:rPr>
          <w:rFonts w:ascii="Times New Roman" w:hAnsi="Times New Roman"/>
          <w:noProof/>
          <w:lang w:val="bs-Latn-BA"/>
        </w:rPr>
        <w:t xml:space="preserve">L08) i </w:t>
      </w:r>
      <w:r w:rsidRPr="00155F80">
        <w:rPr>
          <w:rFonts w:ascii="Times New Roman" w:hAnsi="Times New Roman"/>
          <w:noProof/>
          <w:color w:val="000000"/>
          <w:lang w:val="bs-Latn-BA"/>
        </w:rPr>
        <w:t xml:space="preserve">oboljenje oka i adneksa (H00-H59). Anemije </w:t>
      </w:r>
      <w:r w:rsidR="00526FD0">
        <w:rPr>
          <w:rFonts w:ascii="Times New Roman" w:hAnsi="Times New Roman"/>
          <w:noProof/>
          <w:color w:val="000000"/>
          <w:lang w:val="bs-Latn-BA"/>
        </w:rPr>
        <w:t>uslijed</w:t>
      </w:r>
      <w:r w:rsidRPr="00155F80">
        <w:rPr>
          <w:rFonts w:ascii="Times New Roman" w:hAnsi="Times New Roman"/>
          <w:noProof/>
          <w:color w:val="000000"/>
          <w:lang w:val="bs-Latn-BA"/>
        </w:rPr>
        <w:t xml:space="preserve"> nedostatka željeza od 2013. godine nisu među pet vodećih oboljenja djece ovog uzrasta.</w:t>
      </w:r>
    </w:p>
    <w:p w:rsidR="00A131AD" w:rsidRPr="00155F80" w:rsidRDefault="00A131AD" w:rsidP="000C0138">
      <w:pPr>
        <w:tabs>
          <w:tab w:val="left" w:pos="550"/>
        </w:tabs>
        <w:spacing w:before="120" w:line="276" w:lineRule="auto"/>
        <w:rPr>
          <w:rFonts w:ascii="Times New Roman" w:hAnsi="Times New Roman"/>
          <w:noProof/>
          <w:color w:val="000000"/>
          <w:lang w:val="bs-Latn-BA"/>
        </w:rPr>
      </w:pPr>
    </w:p>
    <w:p w:rsidR="00A726E5" w:rsidRPr="00155F80" w:rsidRDefault="00A131AD" w:rsidP="00EB7CC7">
      <w:pPr>
        <w:pStyle w:val="refererere"/>
        <w:rPr>
          <w:noProof/>
          <w:lang w:val="bs-Latn-BA" w:eastAsia="bs-Latn-BA"/>
        </w:rPr>
      </w:pPr>
      <w:r w:rsidRPr="0059581E">
        <w:rPr>
          <w:noProof/>
          <w:color w:val="000000" w:themeColor="text1"/>
          <w:lang w:val="bs-Latn-BA" w:eastAsia="bs-Latn-BA"/>
        </w:rPr>
        <w:t xml:space="preserve">Grafikon 50: </w:t>
      </w:r>
      <w:r w:rsidRPr="0067516B">
        <w:rPr>
          <w:noProof/>
          <w:lang w:val="bs-Latn-BA" w:eastAsia="bs-Latn-BA"/>
        </w:rPr>
        <w:t>Vodeća oboljenja kod djece uzrasta 0</w:t>
      </w:r>
      <w:r w:rsidRPr="0067516B">
        <w:rPr>
          <w:rFonts w:ascii="Cambria Math" w:hAnsi="Cambria Math" w:cs="Cambria Math"/>
          <w:noProof/>
          <w:lang w:val="bs-Latn-BA" w:eastAsia="bs-Latn-BA"/>
        </w:rPr>
        <w:t>‐</w:t>
      </w:r>
      <w:r w:rsidRPr="0067516B">
        <w:rPr>
          <w:noProof/>
          <w:lang w:val="bs-Latn-BA" w:eastAsia="bs-Latn-BA"/>
        </w:rPr>
        <w:t xml:space="preserve">6 godina u Federaciji BiH, za </w:t>
      </w:r>
      <w:r w:rsidR="00F70FD4">
        <w:rPr>
          <w:noProof/>
          <w:lang w:val="bs-Latn-BA" w:eastAsia="bs-Latn-BA"/>
        </w:rPr>
        <w:t>period</w:t>
      </w:r>
      <w:r w:rsidRPr="0067516B">
        <w:rPr>
          <w:noProof/>
          <w:lang w:val="bs-Latn-BA" w:eastAsia="bs-Latn-BA"/>
        </w:rPr>
        <w:t xml:space="preserve"> 2010.</w:t>
      </w:r>
      <w:r w:rsidRPr="0067516B">
        <w:rPr>
          <w:rFonts w:ascii="Cambria Math" w:hAnsi="Cambria Math" w:cs="Cambria Math"/>
          <w:noProof/>
          <w:lang w:val="bs-Latn-BA" w:eastAsia="bs-Latn-BA"/>
        </w:rPr>
        <w:t>‐</w:t>
      </w:r>
      <w:r w:rsidRPr="0067516B">
        <w:rPr>
          <w:noProof/>
          <w:lang w:val="bs-Latn-BA" w:eastAsia="bs-Latn-BA"/>
        </w:rPr>
        <w:t xml:space="preserve"> </w:t>
      </w:r>
      <w:r w:rsidR="00EB7CC7" w:rsidRPr="0067516B">
        <w:rPr>
          <w:noProof/>
          <w:lang w:val="bs-Latn-BA" w:eastAsia="bs-Latn-BA"/>
        </w:rPr>
        <w:br/>
        <w:t xml:space="preserve"> </w:t>
      </w:r>
      <w:r w:rsidRPr="0067516B">
        <w:rPr>
          <w:noProof/>
          <w:lang w:val="bs-Latn-BA" w:eastAsia="bs-Latn-BA"/>
        </w:rPr>
        <w:t>2015. godina, stopa  na 10.000 stanovnika</w:t>
      </w:r>
      <w:r w:rsidRPr="00155F80">
        <w:rPr>
          <w:noProof/>
          <w:lang w:val="bs-Latn-BA" w:eastAsia="bs-Latn-BA"/>
        </w:rPr>
        <w:t xml:space="preserve"> </w:t>
      </w:r>
    </w:p>
    <w:p w:rsidR="00A131AD" w:rsidRPr="00155F80" w:rsidRDefault="00E85560" w:rsidP="000C0138">
      <w:pPr>
        <w:spacing w:after="160" w:line="276" w:lineRule="auto"/>
        <w:rPr>
          <w:rFonts w:ascii="Times New Roman" w:eastAsiaTheme="minorHAnsi" w:hAnsi="Times New Roman"/>
          <w:b/>
          <w:lang w:val="bs-Latn-BA"/>
        </w:rPr>
      </w:pPr>
      <w:r>
        <w:rPr>
          <w:noProof/>
          <w:lang w:eastAsia="en-GB"/>
        </w:rPr>
        <w:drawing>
          <wp:inline distT="0" distB="0" distL="0" distR="0" wp14:anchorId="5C7D4C1C" wp14:editId="4DDDA610">
            <wp:extent cx="5686425" cy="2324100"/>
            <wp:effectExtent l="0" t="0" r="9525"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131AD" w:rsidRPr="00155F80" w:rsidRDefault="00A131AD" w:rsidP="000C0138">
      <w:pPr>
        <w:spacing w:after="160" w:line="276" w:lineRule="auto"/>
        <w:rPr>
          <w:rFonts w:ascii="Times New Roman" w:eastAsiaTheme="minorHAnsi" w:hAnsi="Times New Roman"/>
          <w:b/>
          <w:lang w:val="bs-Latn-BA"/>
        </w:rPr>
      </w:pPr>
    </w:p>
    <w:p w:rsidR="00EB7CC7"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lang w:val="bs-Latn-BA"/>
        </w:rPr>
        <w:t>Osim najčešćih oboljenja koja se pojavljuju u ovom uzrastu, na zdravlje djece veoma ut</w:t>
      </w:r>
      <w:r w:rsidR="004E052E">
        <w:rPr>
          <w:rFonts w:ascii="Times New Roman" w:eastAsiaTheme="minorHAnsi" w:hAnsi="Times New Roman"/>
          <w:lang w:val="bs-Latn-BA"/>
        </w:rPr>
        <w:t>je</w:t>
      </w:r>
      <w:r w:rsidRPr="00155F80">
        <w:rPr>
          <w:rFonts w:ascii="Times New Roman" w:eastAsiaTheme="minorHAnsi" w:hAnsi="Times New Roman"/>
          <w:lang w:val="bs-Latn-BA"/>
        </w:rPr>
        <w:t>ču razni socijalni rizici, među kojima su važni zanemarivanje i zlostavljanje.</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 xml:space="preserve">Indeks ranog rasta i razvoja </w:t>
      </w:r>
    </w:p>
    <w:p w:rsidR="00A131AD" w:rsidRPr="00155F80" w:rsidRDefault="00516B30"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P</w:t>
      </w:r>
      <w:r w:rsidR="00A131AD" w:rsidRPr="00155F80">
        <w:rPr>
          <w:rFonts w:ascii="Times New Roman" w:hAnsi="Times New Roman"/>
          <w:noProof/>
          <w:lang w:val="bs-Latn-BA"/>
        </w:rPr>
        <w:t xml:space="preserve">raćenje </w:t>
      </w:r>
      <w:r>
        <w:rPr>
          <w:rFonts w:ascii="Times New Roman" w:hAnsi="Times New Roman"/>
          <w:noProof/>
          <w:lang w:val="bs-Latn-BA"/>
        </w:rPr>
        <w:t xml:space="preserve">ranog rasta i razvoja djece ima veliki značaj.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Indeks ranog rasta i razvoja predstavlja p</w:t>
      </w:r>
      <w:r w:rsidR="0046000D">
        <w:rPr>
          <w:rFonts w:ascii="Times New Roman" w:hAnsi="Times New Roman"/>
          <w:noProof/>
          <w:lang w:val="bs-Latn-BA"/>
        </w:rPr>
        <w:t>rocenat</w:t>
      </w:r>
      <w:r w:rsidRPr="00155F80">
        <w:rPr>
          <w:rFonts w:ascii="Times New Roman" w:hAnsi="Times New Roman"/>
          <w:noProof/>
          <w:lang w:val="bs-Latn-BA"/>
        </w:rPr>
        <w:t xml:space="preserve"> djece s očekivan</w:t>
      </w:r>
      <w:r w:rsidR="0046000D">
        <w:rPr>
          <w:rFonts w:ascii="Times New Roman" w:hAnsi="Times New Roman"/>
          <w:noProof/>
          <w:lang w:val="bs-Latn-BA"/>
        </w:rPr>
        <w:t>o</w:t>
      </w:r>
      <w:r w:rsidRPr="00155F80">
        <w:rPr>
          <w:rFonts w:ascii="Times New Roman" w:hAnsi="Times New Roman"/>
          <w:noProof/>
          <w:lang w:val="bs-Latn-BA"/>
        </w:rPr>
        <w:t xml:space="preserve">m </w:t>
      </w:r>
      <w:r w:rsidR="0046000D">
        <w:rPr>
          <w:rFonts w:ascii="Times New Roman" w:hAnsi="Times New Roman"/>
          <w:noProof/>
          <w:lang w:val="bs-Latn-BA"/>
        </w:rPr>
        <w:t>razinom</w:t>
      </w:r>
      <w:r w:rsidRPr="00155F80">
        <w:rPr>
          <w:rFonts w:ascii="Times New Roman" w:hAnsi="Times New Roman"/>
          <w:noProof/>
          <w:lang w:val="bs-Latn-BA"/>
        </w:rPr>
        <w:t xml:space="preserve"> razvoja u najmanje tri od sljedeć</w:t>
      </w:r>
      <w:r w:rsidR="0046000D">
        <w:rPr>
          <w:rFonts w:ascii="Times New Roman" w:hAnsi="Times New Roman"/>
          <w:noProof/>
          <w:lang w:val="bs-Latn-BA"/>
        </w:rPr>
        <w:t>a</w:t>
      </w:r>
      <w:r w:rsidRPr="00155F80">
        <w:rPr>
          <w:rFonts w:ascii="Times New Roman" w:hAnsi="Times New Roman"/>
          <w:noProof/>
          <w:lang w:val="bs-Latn-BA"/>
        </w:rPr>
        <w:t xml:space="preserve"> četiri </w:t>
      </w:r>
      <w:r w:rsidR="0046000D">
        <w:rPr>
          <w:rFonts w:ascii="Times New Roman" w:hAnsi="Times New Roman"/>
          <w:noProof/>
          <w:lang w:val="bs-Latn-BA"/>
        </w:rPr>
        <w:t>područja</w:t>
      </w:r>
      <w:r w:rsidRPr="00155F80">
        <w:rPr>
          <w:rFonts w:ascii="Times New Roman" w:hAnsi="Times New Roman"/>
          <w:noProof/>
          <w:lang w:val="bs-Latn-BA"/>
        </w:rPr>
        <w:t xml:space="preserve">: pismenost i poznavanje brojeva, tjelesni razvoj, socijalni i emocionalni razvoj i učenje. </w:t>
      </w:r>
    </w:p>
    <w:p w:rsidR="00B560D0" w:rsidRDefault="00A131AD" w:rsidP="00B560D0">
      <w:pPr>
        <w:tabs>
          <w:tab w:val="left" w:pos="550"/>
        </w:tabs>
        <w:spacing w:line="276" w:lineRule="auto"/>
        <w:rPr>
          <w:rFonts w:ascii="Times New Roman" w:hAnsi="Times New Roman"/>
          <w:noProof/>
          <w:lang w:val="bs-Latn-BA"/>
        </w:rPr>
      </w:pPr>
      <w:r w:rsidRPr="00155F80">
        <w:rPr>
          <w:rFonts w:ascii="Times New Roman" w:hAnsi="Times New Roman"/>
          <w:noProof/>
          <w:lang w:val="bs-Latn-BA"/>
        </w:rPr>
        <w:t>Prema MICS4 istraživanju u Federaciji BiH 95,6% djece uzrasta 36</w:t>
      </w:r>
      <w:r w:rsidRPr="00155F80">
        <w:rPr>
          <w:rFonts w:ascii="Cambria Math" w:hAnsi="Cambria Math" w:cs="Cambria Math"/>
          <w:noProof/>
          <w:lang w:val="bs-Latn-BA"/>
        </w:rPr>
        <w:t>‐</w:t>
      </w:r>
      <w:r w:rsidRPr="00155F80">
        <w:rPr>
          <w:rFonts w:ascii="Times New Roman" w:hAnsi="Times New Roman"/>
          <w:noProof/>
          <w:lang w:val="bs-Latn-BA"/>
        </w:rPr>
        <w:t>59 mjeseci je dostiglo očekivan</w:t>
      </w:r>
      <w:r w:rsidR="0046000D">
        <w:rPr>
          <w:rFonts w:ascii="Times New Roman" w:hAnsi="Times New Roman"/>
          <w:noProof/>
          <w:lang w:val="bs-Latn-BA"/>
        </w:rPr>
        <w:t>u</w:t>
      </w:r>
      <w:r w:rsidRPr="00155F80">
        <w:rPr>
          <w:rFonts w:ascii="Times New Roman" w:hAnsi="Times New Roman"/>
          <w:noProof/>
          <w:lang w:val="bs-Latn-BA"/>
        </w:rPr>
        <w:t xml:space="preserve"> </w:t>
      </w:r>
      <w:r w:rsidR="002B489B">
        <w:rPr>
          <w:rFonts w:ascii="Times New Roman" w:hAnsi="Times New Roman"/>
          <w:noProof/>
          <w:lang w:val="bs-Latn-BA"/>
        </w:rPr>
        <w:t>nivo</w:t>
      </w:r>
      <w:r w:rsidRPr="00155F80">
        <w:rPr>
          <w:rFonts w:ascii="Times New Roman" w:hAnsi="Times New Roman"/>
          <w:noProof/>
          <w:lang w:val="bs-Latn-BA"/>
        </w:rPr>
        <w:t xml:space="preserve"> razvoja. </w:t>
      </w:r>
      <w:r w:rsidR="002B489B">
        <w:rPr>
          <w:rFonts w:ascii="Times New Roman" w:hAnsi="Times New Roman"/>
          <w:noProof/>
          <w:lang w:val="bs-Latn-BA"/>
        </w:rPr>
        <w:t>Nivo</w:t>
      </w:r>
      <w:r w:rsidRPr="00155F80">
        <w:rPr>
          <w:rFonts w:ascii="Times New Roman" w:hAnsi="Times New Roman"/>
          <w:noProof/>
          <w:lang w:val="bs-Latn-BA"/>
        </w:rPr>
        <w:t xml:space="preserve"> razvoja u domeni tjelesnog, socijalnog i emocionalnog razvoja i učenja veća je od 90%, dok je </w:t>
      </w:r>
      <w:r w:rsidR="002B489B">
        <w:rPr>
          <w:rFonts w:ascii="Times New Roman" w:hAnsi="Times New Roman"/>
          <w:noProof/>
          <w:lang w:val="bs-Latn-BA"/>
        </w:rPr>
        <w:t>nivo</w:t>
      </w:r>
      <w:r w:rsidRPr="00155F80">
        <w:rPr>
          <w:rFonts w:ascii="Times New Roman" w:hAnsi="Times New Roman"/>
          <w:noProof/>
          <w:lang w:val="bs-Latn-BA"/>
        </w:rPr>
        <w:t xml:space="preserve"> razvoja u domeni pismenosti i poznavanja brojeva očekivano manja među djecom ovog uzrasta i iznosi 26,7%.</w:t>
      </w:r>
    </w:p>
    <w:p w:rsidR="00B560D0" w:rsidRDefault="00B560D0" w:rsidP="00B560D0">
      <w:pPr>
        <w:tabs>
          <w:tab w:val="left" w:pos="550"/>
        </w:tabs>
        <w:spacing w:line="276" w:lineRule="auto"/>
        <w:rPr>
          <w:rFonts w:ascii="Times New Roman" w:hAnsi="Times New Roman"/>
          <w:noProof/>
          <w:lang w:val="bs-Latn-BA"/>
        </w:rPr>
      </w:pPr>
    </w:p>
    <w:p w:rsidR="00A131AD" w:rsidRPr="00155F80" w:rsidRDefault="00A131AD" w:rsidP="00B560D0">
      <w:pPr>
        <w:tabs>
          <w:tab w:val="left" w:pos="550"/>
        </w:tabs>
        <w:spacing w:line="276" w:lineRule="auto"/>
        <w:rPr>
          <w:rFonts w:ascii="Times New Roman" w:eastAsiaTheme="minorHAnsi" w:hAnsi="Times New Roman"/>
          <w:b/>
          <w:lang w:val="bs-Latn-BA"/>
        </w:rPr>
      </w:pPr>
      <w:r w:rsidRPr="00155F80">
        <w:rPr>
          <w:rFonts w:ascii="Times New Roman" w:eastAsiaTheme="minorHAnsi" w:hAnsi="Times New Roman"/>
          <w:b/>
          <w:lang w:val="bs-Latn-BA"/>
        </w:rPr>
        <w:t>Školski u</w:t>
      </w:r>
      <w:r w:rsidR="00516B30">
        <w:rPr>
          <w:rFonts w:ascii="Times New Roman" w:eastAsiaTheme="minorHAnsi" w:hAnsi="Times New Roman"/>
          <w:b/>
          <w:lang w:val="bs-Latn-BA"/>
        </w:rPr>
        <w:t>zrast (6-18</w:t>
      </w:r>
      <w:r w:rsidRPr="00155F80">
        <w:rPr>
          <w:rFonts w:ascii="Times New Roman" w:eastAsiaTheme="minorHAnsi" w:hAnsi="Times New Roman"/>
          <w:b/>
          <w:lang w:val="bs-Latn-BA"/>
        </w:rPr>
        <w:t xml:space="preserve"> godina)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U ovim godinama djeca prelaze iz dječjeg uzrasta u adolescente, st</w:t>
      </w:r>
      <w:r w:rsidR="0046000D">
        <w:rPr>
          <w:rFonts w:ascii="Times New Roman" w:hAnsi="Times New Roman"/>
          <w:noProof/>
          <w:lang w:val="bs-Latn-BA"/>
        </w:rPr>
        <w:t>je</w:t>
      </w:r>
      <w:r w:rsidRPr="00155F80">
        <w:rPr>
          <w:rFonts w:ascii="Times New Roman" w:hAnsi="Times New Roman"/>
          <w:noProof/>
          <w:lang w:val="bs-Latn-BA"/>
        </w:rPr>
        <w:t xml:space="preserve">ču životne navike pod različitim </w:t>
      </w:r>
      <w:r w:rsidR="00512E30">
        <w:rPr>
          <w:rFonts w:ascii="Times New Roman" w:hAnsi="Times New Roman"/>
          <w:noProof/>
          <w:lang w:val="bs-Latn-BA"/>
        </w:rPr>
        <w:t>uticaj</w:t>
      </w:r>
      <w:r w:rsidRPr="00155F80">
        <w:rPr>
          <w:rFonts w:ascii="Times New Roman" w:hAnsi="Times New Roman"/>
          <w:noProof/>
          <w:lang w:val="bs-Latn-BA"/>
        </w:rPr>
        <w:t xml:space="preserve">ima vezane za konzumiranje duhana, alkohola, droga i psihoaktivnih </w:t>
      </w:r>
      <w:r w:rsidR="00D21A46">
        <w:rPr>
          <w:rFonts w:ascii="Times New Roman" w:hAnsi="Times New Roman"/>
          <w:noProof/>
          <w:lang w:val="bs-Latn-BA"/>
        </w:rPr>
        <w:t>materija</w:t>
      </w:r>
      <w:r w:rsidRPr="00155F80">
        <w:rPr>
          <w:rFonts w:ascii="Times New Roman" w:hAnsi="Times New Roman"/>
          <w:noProof/>
          <w:lang w:val="bs-Latn-BA"/>
        </w:rPr>
        <w:t>i, tjelesnu aktivnost, seksualne odnose itd.</w:t>
      </w:r>
    </w:p>
    <w:p w:rsidR="00A131AD" w:rsidRPr="00155F80" w:rsidRDefault="00A131AD" w:rsidP="000C0138">
      <w:pPr>
        <w:tabs>
          <w:tab w:val="left" w:pos="550"/>
        </w:tabs>
        <w:spacing w:before="120" w:line="276" w:lineRule="auto"/>
        <w:rPr>
          <w:rFonts w:ascii="Times New Roman" w:hAnsi="Times New Roman"/>
          <w:noProof/>
          <w:color w:val="000000"/>
          <w:lang w:val="bs-Latn-BA"/>
        </w:rPr>
      </w:pPr>
      <w:r w:rsidRPr="00155F80">
        <w:rPr>
          <w:rFonts w:ascii="Times New Roman" w:hAnsi="Times New Roman"/>
          <w:noProof/>
          <w:lang w:val="bs-Latn-BA"/>
        </w:rPr>
        <w:t xml:space="preserve">Vodeće bolesti kod djece starosti </w:t>
      </w:r>
      <w:r w:rsidR="0046000D">
        <w:rPr>
          <w:rFonts w:ascii="Times New Roman" w:hAnsi="Times New Roman"/>
          <w:noProof/>
          <w:lang w:val="bs-Latn-BA"/>
        </w:rPr>
        <w:t xml:space="preserve">od </w:t>
      </w:r>
      <w:r w:rsidRPr="00155F80">
        <w:rPr>
          <w:rFonts w:ascii="Times New Roman" w:hAnsi="Times New Roman"/>
          <w:noProof/>
          <w:lang w:val="bs-Latn-BA"/>
        </w:rPr>
        <w:t xml:space="preserve">7-14 godina u </w:t>
      </w:r>
      <w:r w:rsidR="0046000D">
        <w:rPr>
          <w:rFonts w:ascii="Times New Roman" w:hAnsi="Times New Roman"/>
          <w:noProof/>
          <w:lang w:val="bs-Latn-BA"/>
        </w:rPr>
        <w:t>iz</w:t>
      </w:r>
      <w:r w:rsidRPr="00155F80">
        <w:rPr>
          <w:rFonts w:ascii="Times New Roman" w:hAnsi="Times New Roman"/>
          <w:noProof/>
          <w:lang w:val="bs-Latn-BA"/>
        </w:rPr>
        <w:t>vanbolničkoj zdravstvenoj zaštiti su slične u p</w:t>
      </w:r>
      <w:r w:rsidR="0046000D">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i to su: akutne infekcije gornjih dišnih puteva (J00</w:t>
      </w:r>
      <w:r w:rsidRPr="00155F80">
        <w:rPr>
          <w:rFonts w:ascii="Cambria Math" w:hAnsi="Cambria Math" w:cs="Cambria Math"/>
          <w:noProof/>
          <w:lang w:val="bs-Latn-BA"/>
        </w:rPr>
        <w:t>‐</w:t>
      </w:r>
      <w:r w:rsidRPr="00155F80">
        <w:rPr>
          <w:rFonts w:ascii="Times New Roman" w:hAnsi="Times New Roman"/>
          <w:noProof/>
          <w:lang w:val="bs-Latn-BA"/>
        </w:rPr>
        <w:t>J06) i akutni bronhitis i bronhiolitis (J20</w:t>
      </w:r>
      <w:r w:rsidRPr="00155F80">
        <w:rPr>
          <w:rFonts w:ascii="Cambria Math" w:hAnsi="Cambria Math" w:cs="Cambria Math"/>
          <w:noProof/>
          <w:lang w:val="bs-Latn-BA"/>
        </w:rPr>
        <w:t>‐</w:t>
      </w:r>
      <w:r w:rsidRPr="00155F80">
        <w:rPr>
          <w:rFonts w:ascii="Times New Roman" w:hAnsi="Times New Roman"/>
          <w:noProof/>
          <w:lang w:val="bs-Latn-BA"/>
        </w:rPr>
        <w:t>J21) koji održavaju sličan trend obolijevanja</w:t>
      </w:r>
      <w:r w:rsidR="00A427D9">
        <w:rPr>
          <w:rFonts w:ascii="Times New Roman" w:hAnsi="Times New Roman"/>
          <w:noProof/>
          <w:lang w:val="bs-Latn-BA"/>
        </w:rPr>
        <w:t xml:space="preserve"> u p</w:t>
      </w:r>
      <w:r w:rsidR="0046000D">
        <w:rPr>
          <w:rFonts w:ascii="Times New Roman" w:hAnsi="Times New Roman"/>
          <w:noProof/>
          <w:lang w:val="bs-Latn-BA"/>
        </w:rPr>
        <w:t>r</w:t>
      </w:r>
      <w:r w:rsidR="00A427D9">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oboljenja oka i adneksa (H00</w:t>
      </w:r>
      <w:r w:rsidRPr="00155F80">
        <w:rPr>
          <w:rFonts w:ascii="Cambria Math" w:hAnsi="Cambria Math" w:cs="Cambria Math"/>
          <w:noProof/>
          <w:lang w:val="bs-Latn-BA"/>
        </w:rPr>
        <w:t>‐</w:t>
      </w:r>
      <w:r w:rsidRPr="00155F80">
        <w:rPr>
          <w:rFonts w:ascii="Times New Roman" w:hAnsi="Times New Roman"/>
          <w:noProof/>
          <w:lang w:val="bs-Latn-BA"/>
        </w:rPr>
        <w:t>H59, bez H28, H40, H42, H52), oboljenja kože i potkožnog tkiva (L10</w:t>
      </w:r>
      <w:r w:rsidRPr="00155F80">
        <w:rPr>
          <w:rFonts w:ascii="Cambria Math" w:hAnsi="Cambria Math" w:cs="Cambria Math"/>
          <w:noProof/>
          <w:lang w:val="bs-Latn-BA"/>
        </w:rPr>
        <w:t>‐</w:t>
      </w:r>
      <w:r w:rsidRPr="00155F80">
        <w:rPr>
          <w:rFonts w:ascii="Times New Roman" w:hAnsi="Times New Roman"/>
          <w:noProof/>
          <w:lang w:val="bs-Latn-BA"/>
        </w:rPr>
        <w:t>L14, L20</w:t>
      </w:r>
      <w:r w:rsidRPr="00155F80">
        <w:rPr>
          <w:rFonts w:ascii="Cambria Math" w:hAnsi="Cambria Math" w:cs="Cambria Math"/>
          <w:noProof/>
          <w:lang w:val="bs-Latn-BA"/>
        </w:rPr>
        <w:t>‐</w:t>
      </w:r>
      <w:r w:rsidRPr="00155F80">
        <w:rPr>
          <w:rFonts w:ascii="Times New Roman" w:hAnsi="Times New Roman"/>
          <w:noProof/>
          <w:lang w:val="bs-Latn-BA"/>
        </w:rPr>
        <w:t>L45, L55</w:t>
      </w:r>
      <w:r w:rsidRPr="00155F80">
        <w:rPr>
          <w:rFonts w:ascii="Cambria Math" w:hAnsi="Cambria Math" w:cs="Cambria Math"/>
          <w:noProof/>
          <w:lang w:val="bs-Latn-BA"/>
        </w:rPr>
        <w:t>‐</w:t>
      </w:r>
      <w:r w:rsidRPr="00155F80">
        <w:rPr>
          <w:rFonts w:ascii="Times New Roman" w:hAnsi="Times New Roman"/>
          <w:noProof/>
          <w:lang w:val="bs-Latn-BA"/>
        </w:rPr>
        <w:t xml:space="preserve">L99), te upale uha </w:t>
      </w:r>
      <w:r w:rsidRPr="00155F80">
        <w:rPr>
          <w:rFonts w:ascii="Times New Roman" w:hAnsi="Times New Roman"/>
          <w:noProof/>
          <w:color w:val="000000"/>
          <w:lang w:val="bs-Latn-BA"/>
        </w:rPr>
        <w:t>i drugi poremećaji srednjeg uha i mastoida (H65-H75).</w:t>
      </w:r>
    </w:p>
    <w:p w:rsidR="00A131AD" w:rsidRPr="00155F80" w:rsidRDefault="00A131AD" w:rsidP="000C0138">
      <w:pPr>
        <w:tabs>
          <w:tab w:val="left" w:pos="550"/>
        </w:tabs>
        <w:spacing w:before="120" w:line="276" w:lineRule="auto"/>
        <w:rPr>
          <w:rFonts w:ascii="Times New Roman" w:hAnsi="Times New Roman"/>
          <w:noProof/>
          <w:color w:val="000000"/>
          <w:lang w:val="bs-Latn-BA"/>
        </w:rPr>
      </w:pPr>
    </w:p>
    <w:p w:rsidR="00A131AD" w:rsidRPr="00155F80" w:rsidRDefault="00A131AD" w:rsidP="00EB7CC7">
      <w:pPr>
        <w:pStyle w:val="refererere"/>
        <w:rPr>
          <w:noProof/>
          <w:lang w:val="bs-Latn-BA" w:eastAsia="bs-Latn-BA"/>
        </w:rPr>
      </w:pPr>
      <w:r w:rsidRPr="00A427D9">
        <w:rPr>
          <w:noProof/>
          <w:lang w:val="bs-Latn-BA" w:eastAsia="bs-Latn-BA"/>
        </w:rPr>
        <w:t>Grafikon 51: Vodeća oboljenja kod djece starosti 7</w:t>
      </w:r>
      <w:r w:rsidRPr="00A427D9">
        <w:rPr>
          <w:rFonts w:ascii="Cambria Math" w:hAnsi="Cambria Math" w:cs="Cambria Math"/>
          <w:noProof/>
          <w:lang w:val="bs-Latn-BA" w:eastAsia="bs-Latn-BA"/>
        </w:rPr>
        <w:t>‐</w:t>
      </w:r>
      <w:r w:rsidRPr="00A427D9">
        <w:rPr>
          <w:noProof/>
          <w:lang w:val="bs-Latn-BA" w:eastAsia="bs-Latn-BA"/>
        </w:rPr>
        <w:t xml:space="preserve">14 godina u Federaciji BiH , za </w:t>
      </w:r>
      <w:r w:rsidR="00F70FD4">
        <w:rPr>
          <w:noProof/>
          <w:lang w:val="bs-Latn-BA" w:eastAsia="bs-Latn-BA"/>
        </w:rPr>
        <w:t>period</w:t>
      </w:r>
      <w:r w:rsidRPr="00A427D9">
        <w:rPr>
          <w:noProof/>
          <w:lang w:val="bs-Latn-BA" w:eastAsia="bs-Latn-BA"/>
        </w:rPr>
        <w:t xml:space="preserve"> 2010.</w:t>
      </w:r>
      <w:r w:rsidRPr="00A427D9">
        <w:rPr>
          <w:rFonts w:ascii="Cambria Math" w:hAnsi="Cambria Math" w:cs="Cambria Math"/>
          <w:noProof/>
          <w:lang w:val="bs-Latn-BA" w:eastAsia="bs-Latn-BA"/>
        </w:rPr>
        <w:t>‐</w:t>
      </w:r>
      <w:r w:rsidRPr="00A427D9">
        <w:rPr>
          <w:noProof/>
          <w:lang w:val="bs-Latn-BA" w:eastAsia="bs-Latn-BA"/>
        </w:rPr>
        <w:t xml:space="preserve"> 2015. godina, stopa na 10.000 stanovnika</w:t>
      </w:r>
    </w:p>
    <w:p w:rsidR="00A131AD" w:rsidRPr="00155F80" w:rsidRDefault="00E85560" w:rsidP="000C0138">
      <w:pPr>
        <w:autoSpaceDE w:val="0"/>
        <w:autoSpaceDN w:val="0"/>
        <w:adjustRightInd w:val="0"/>
        <w:spacing w:after="160" w:line="276" w:lineRule="auto"/>
        <w:jc w:val="left"/>
        <w:rPr>
          <w:rFonts w:ascii="Times New Roman" w:eastAsiaTheme="minorHAnsi" w:hAnsi="Times New Roman"/>
          <w:b/>
          <w:bCs/>
          <w:lang w:val="bs-Latn-BA"/>
        </w:rPr>
      </w:pPr>
      <w:r>
        <w:rPr>
          <w:noProof/>
          <w:lang w:eastAsia="en-GB"/>
        </w:rPr>
        <w:drawing>
          <wp:inline distT="0" distB="0" distL="0" distR="0" wp14:anchorId="4B389020" wp14:editId="53FDED12">
            <wp:extent cx="5695950" cy="2228850"/>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Djeca i mladi starosti od 15-18 godina, kao najzdraviji dio stanovništva, </w:t>
      </w:r>
      <w:r w:rsidR="00A427D9">
        <w:rPr>
          <w:rFonts w:ascii="Times New Roman" w:hAnsi="Times New Roman"/>
          <w:noProof/>
          <w:lang w:val="bs-Latn-BA"/>
        </w:rPr>
        <w:t xml:space="preserve">manje </w:t>
      </w:r>
      <w:r w:rsidRPr="00155F80">
        <w:rPr>
          <w:rFonts w:ascii="Times New Roman" w:hAnsi="Times New Roman"/>
          <w:noProof/>
          <w:lang w:val="bs-Latn-BA"/>
        </w:rPr>
        <w:t xml:space="preserve">boluju od potencijalno teških bolesti iz dojenačkog </w:t>
      </w:r>
      <w:r w:rsidR="00F70FD4">
        <w:rPr>
          <w:rFonts w:ascii="Times New Roman" w:hAnsi="Times New Roman"/>
          <w:noProof/>
          <w:lang w:val="bs-Latn-BA"/>
        </w:rPr>
        <w:t>perioda</w:t>
      </w:r>
      <w:r w:rsidRPr="00155F80">
        <w:rPr>
          <w:rFonts w:ascii="Times New Roman" w:hAnsi="Times New Roman"/>
          <w:noProof/>
          <w:lang w:val="bs-Latn-BA"/>
        </w:rPr>
        <w:t xml:space="preserve"> i ranog djetinjstva, a još nisu ugroženi </w:t>
      </w:r>
      <w:r w:rsidR="00512E30">
        <w:rPr>
          <w:rFonts w:ascii="Times New Roman" w:hAnsi="Times New Roman"/>
          <w:noProof/>
          <w:lang w:val="bs-Latn-BA"/>
        </w:rPr>
        <w:t>hronični</w:t>
      </w:r>
      <w:r w:rsidRPr="00155F80">
        <w:rPr>
          <w:rFonts w:ascii="Times New Roman" w:hAnsi="Times New Roman"/>
          <w:noProof/>
          <w:lang w:val="bs-Latn-BA"/>
        </w:rPr>
        <w:t>m bolestima.</w:t>
      </w:r>
    </w:p>
    <w:p w:rsidR="00A131AD" w:rsidRDefault="00A131AD" w:rsidP="007A7E4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Vodeće bolesti kod mladih starosti 15</w:t>
      </w:r>
      <w:r w:rsidRPr="00155F80">
        <w:rPr>
          <w:rFonts w:ascii="Cambria Math" w:hAnsi="Cambria Math" w:cs="Cambria Math"/>
          <w:noProof/>
          <w:lang w:val="bs-Latn-BA"/>
        </w:rPr>
        <w:t>‐</w:t>
      </w:r>
      <w:r w:rsidRPr="00155F80">
        <w:rPr>
          <w:rFonts w:ascii="Times New Roman" w:hAnsi="Times New Roman"/>
          <w:noProof/>
          <w:lang w:val="bs-Latn-BA"/>
        </w:rPr>
        <w:t>1</w:t>
      </w:r>
      <w:r w:rsidR="00E10857">
        <w:rPr>
          <w:rFonts w:ascii="Times New Roman" w:hAnsi="Times New Roman"/>
          <w:noProof/>
          <w:lang w:val="bs-Latn-BA"/>
        </w:rPr>
        <w:t>8</w:t>
      </w:r>
      <w:r w:rsidRPr="00155F80">
        <w:rPr>
          <w:rFonts w:ascii="Times New Roman" w:hAnsi="Times New Roman"/>
          <w:noProof/>
          <w:lang w:val="bs-Latn-BA"/>
        </w:rPr>
        <w:t xml:space="preserve"> godina su slične u p</w:t>
      </w:r>
      <w:r w:rsidR="0046000D">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i to su: akutne infekcije gornjih dišnih put</w:t>
      </w:r>
      <w:r w:rsidR="0046000D">
        <w:rPr>
          <w:rFonts w:ascii="Times New Roman" w:hAnsi="Times New Roman"/>
          <w:noProof/>
          <w:lang w:val="bs-Latn-BA"/>
        </w:rPr>
        <w:t>e</w:t>
      </w:r>
      <w:r w:rsidRPr="00155F80">
        <w:rPr>
          <w:rFonts w:ascii="Times New Roman" w:hAnsi="Times New Roman"/>
          <w:noProof/>
          <w:lang w:val="bs-Latn-BA"/>
        </w:rPr>
        <w:t>va (J00</w:t>
      </w:r>
      <w:r w:rsidRPr="00155F80">
        <w:rPr>
          <w:rFonts w:ascii="Cambria Math" w:hAnsi="Cambria Math" w:cs="Cambria Math"/>
          <w:noProof/>
          <w:lang w:val="bs-Latn-BA"/>
        </w:rPr>
        <w:t>‐</w:t>
      </w:r>
      <w:r w:rsidRPr="00155F80">
        <w:rPr>
          <w:rFonts w:ascii="Times New Roman" w:hAnsi="Times New Roman"/>
          <w:noProof/>
          <w:lang w:val="bs-Latn-BA"/>
        </w:rPr>
        <w:t>J06) koje imaju najvišu stopu obolijevanja</w:t>
      </w:r>
      <w:r w:rsidR="00A427D9">
        <w:rPr>
          <w:rFonts w:ascii="Times New Roman" w:hAnsi="Times New Roman"/>
          <w:noProof/>
          <w:lang w:val="bs-Latn-BA"/>
        </w:rPr>
        <w:t xml:space="preserve"> sa laganim padom u 2015. godini</w:t>
      </w:r>
      <w:r w:rsidRPr="00155F80">
        <w:rPr>
          <w:rFonts w:ascii="Times New Roman" w:hAnsi="Times New Roman"/>
          <w:noProof/>
          <w:lang w:val="bs-Latn-BA"/>
        </w:rPr>
        <w:t>, akutni bronhitis i bronhiolitis (J20</w:t>
      </w:r>
      <w:r w:rsidRPr="00155F80">
        <w:rPr>
          <w:rFonts w:ascii="Cambria Math" w:hAnsi="Cambria Math" w:cs="Cambria Math"/>
          <w:noProof/>
          <w:lang w:val="bs-Latn-BA"/>
        </w:rPr>
        <w:t>‐</w:t>
      </w:r>
      <w:r w:rsidRPr="00155F80">
        <w:rPr>
          <w:rFonts w:ascii="Times New Roman" w:hAnsi="Times New Roman"/>
          <w:noProof/>
          <w:lang w:val="bs-Latn-BA"/>
        </w:rPr>
        <w:t>J21), slijedi cistitis (N30), potom druga oboljenja kože i potkožnog tkiva (L10</w:t>
      </w:r>
      <w:r w:rsidRPr="00155F80">
        <w:rPr>
          <w:rFonts w:ascii="Cambria Math" w:hAnsi="Cambria Math" w:cs="Cambria Math"/>
          <w:noProof/>
          <w:lang w:val="bs-Latn-BA"/>
        </w:rPr>
        <w:t>‐</w:t>
      </w:r>
      <w:r w:rsidRPr="00155F80">
        <w:rPr>
          <w:rFonts w:ascii="Times New Roman" w:hAnsi="Times New Roman"/>
          <w:noProof/>
          <w:lang w:val="bs-Latn-BA"/>
        </w:rPr>
        <w:t>L14, L20</w:t>
      </w:r>
      <w:r w:rsidRPr="00155F80">
        <w:rPr>
          <w:rFonts w:ascii="Cambria Math" w:hAnsi="Cambria Math" w:cs="Cambria Math"/>
          <w:noProof/>
          <w:lang w:val="bs-Latn-BA"/>
        </w:rPr>
        <w:t>‐</w:t>
      </w:r>
      <w:r w:rsidRPr="00155F80">
        <w:rPr>
          <w:rFonts w:ascii="Times New Roman" w:hAnsi="Times New Roman"/>
          <w:noProof/>
          <w:lang w:val="bs-Latn-BA"/>
        </w:rPr>
        <w:t>L45, L55</w:t>
      </w:r>
      <w:r w:rsidRPr="00155F80">
        <w:rPr>
          <w:rFonts w:ascii="Cambria Math" w:hAnsi="Cambria Math" w:cs="Cambria Math"/>
          <w:noProof/>
          <w:lang w:val="bs-Latn-BA"/>
        </w:rPr>
        <w:t>‐</w:t>
      </w:r>
      <w:r w:rsidRPr="00155F80">
        <w:rPr>
          <w:rFonts w:ascii="Times New Roman" w:hAnsi="Times New Roman"/>
          <w:noProof/>
          <w:lang w:val="bs-Latn-BA"/>
        </w:rPr>
        <w:t>L99), dok se kao peto oboljenje po učestalosti pojavljuju oboljenja oka i adneksa (H00</w:t>
      </w:r>
      <w:r w:rsidRPr="00155F80">
        <w:rPr>
          <w:rFonts w:ascii="Cambria Math" w:hAnsi="Cambria Math" w:cs="Cambria Math"/>
          <w:noProof/>
          <w:lang w:val="bs-Latn-BA"/>
        </w:rPr>
        <w:t>‐</w:t>
      </w:r>
      <w:r w:rsidRPr="00155F80">
        <w:rPr>
          <w:rFonts w:ascii="Times New Roman" w:hAnsi="Times New Roman"/>
          <w:noProof/>
          <w:lang w:val="bs-Latn-BA"/>
        </w:rPr>
        <w:t>H59, bez H28,H40,H42,H52). Svih pet vodećih podgrupa oboljenja su zabilje</w:t>
      </w:r>
      <w:r w:rsidR="000E56ED">
        <w:rPr>
          <w:rFonts w:ascii="Times New Roman" w:hAnsi="Times New Roman"/>
          <w:noProof/>
          <w:lang w:val="bs-Latn-BA"/>
        </w:rPr>
        <w:t>sudova</w:t>
      </w:r>
      <w:r w:rsidRPr="00155F80">
        <w:rPr>
          <w:rFonts w:ascii="Times New Roman" w:hAnsi="Times New Roman"/>
          <w:noProof/>
          <w:lang w:val="bs-Latn-BA"/>
        </w:rPr>
        <w:t xml:space="preserve"> nižu stopu u 2015. godini u odnosu na prethodne godine.</w:t>
      </w:r>
    </w:p>
    <w:p w:rsidR="00A131AD" w:rsidRPr="00155F80" w:rsidRDefault="00A131AD" w:rsidP="00EB7CC7">
      <w:pPr>
        <w:pStyle w:val="refererere"/>
        <w:rPr>
          <w:noProof/>
          <w:lang w:val="bs-Latn-BA" w:eastAsia="bs-Latn-BA"/>
        </w:rPr>
      </w:pPr>
      <w:r w:rsidRPr="00A427D9">
        <w:rPr>
          <w:noProof/>
          <w:lang w:val="bs-Latn-BA" w:eastAsia="bs-Latn-BA"/>
        </w:rPr>
        <w:t>Grafikon 52: Vodeća oboljenja kod mladih dobi 15</w:t>
      </w:r>
      <w:r w:rsidRPr="00A427D9">
        <w:rPr>
          <w:rFonts w:ascii="Cambria Math" w:hAnsi="Cambria Math" w:cs="Cambria Math"/>
          <w:noProof/>
          <w:lang w:val="bs-Latn-BA" w:eastAsia="bs-Latn-BA"/>
        </w:rPr>
        <w:t>‐</w:t>
      </w:r>
      <w:r w:rsidR="00E10857" w:rsidRPr="00A427D9">
        <w:rPr>
          <w:noProof/>
          <w:lang w:val="bs-Latn-BA" w:eastAsia="bs-Latn-BA"/>
        </w:rPr>
        <w:t>18</w:t>
      </w:r>
      <w:r w:rsidRPr="00A427D9">
        <w:rPr>
          <w:noProof/>
          <w:lang w:val="bs-Latn-BA" w:eastAsia="bs-Latn-BA"/>
        </w:rPr>
        <w:t xml:space="preserve"> godina u Federaciji BiH, za </w:t>
      </w:r>
      <w:r w:rsidR="00F70FD4">
        <w:rPr>
          <w:noProof/>
          <w:lang w:val="bs-Latn-BA" w:eastAsia="bs-Latn-BA"/>
        </w:rPr>
        <w:t>period</w:t>
      </w:r>
      <w:r w:rsidRPr="00A427D9">
        <w:rPr>
          <w:noProof/>
          <w:lang w:val="bs-Latn-BA" w:eastAsia="bs-Latn-BA"/>
        </w:rPr>
        <w:t xml:space="preserve"> 2010.</w:t>
      </w:r>
      <w:r w:rsidRPr="00A427D9">
        <w:rPr>
          <w:rFonts w:ascii="Cambria Math" w:hAnsi="Cambria Math" w:cs="Cambria Math"/>
          <w:noProof/>
          <w:lang w:val="bs-Latn-BA" w:eastAsia="bs-Latn-BA"/>
        </w:rPr>
        <w:t>‐</w:t>
      </w:r>
      <w:r w:rsidRPr="00A427D9">
        <w:rPr>
          <w:noProof/>
          <w:lang w:val="bs-Latn-BA" w:eastAsia="bs-Latn-BA"/>
        </w:rPr>
        <w:t>2015. godina, stopa na 10.000 stanovnika</w:t>
      </w:r>
    </w:p>
    <w:p w:rsidR="00A131AD" w:rsidRPr="00155F80" w:rsidRDefault="00E85560" w:rsidP="000C0138">
      <w:pPr>
        <w:autoSpaceDE w:val="0"/>
        <w:autoSpaceDN w:val="0"/>
        <w:adjustRightInd w:val="0"/>
        <w:spacing w:after="160" w:line="276" w:lineRule="auto"/>
        <w:jc w:val="center"/>
        <w:rPr>
          <w:rFonts w:ascii="Times New Roman" w:eastAsiaTheme="minorHAnsi" w:hAnsi="Times New Roman"/>
          <w:b/>
          <w:bCs/>
          <w:lang w:val="bs-Latn-BA"/>
        </w:rPr>
      </w:pPr>
      <w:r>
        <w:rPr>
          <w:noProof/>
          <w:lang w:eastAsia="en-GB"/>
        </w:rPr>
        <w:drawing>
          <wp:inline distT="0" distB="0" distL="0" distR="0" wp14:anchorId="4F7CB663" wp14:editId="7E6DCE8D">
            <wp:extent cx="5705475" cy="2114550"/>
            <wp:effectExtent l="0" t="0" r="9525"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eastAsia="bs-Latn-BA"/>
        </w:rPr>
      </w:pPr>
    </w:p>
    <w:p w:rsidR="00A131AD" w:rsidRPr="00155F80" w:rsidRDefault="00A131AD" w:rsidP="000C0138">
      <w:pPr>
        <w:tabs>
          <w:tab w:val="left" w:pos="550"/>
        </w:tabs>
        <w:spacing w:before="120" w:line="276" w:lineRule="auto"/>
        <w:rPr>
          <w:rFonts w:ascii="Times New Roman" w:hAnsi="Times New Roman"/>
          <w:noProof/>
          <w:lang w:val="bs-Latn-BA" w:eastAsia="bs-Latn-BA"/>
        </w:rPr>
      </w:pPr>
      <w:r w:rsidRPr="00155F80">
        <w:rPr>
          <w:rFonts w:ascii="Times New Roman" w:hAnsi="Times New Roman"/>
          <w:noProof/>
          <w:lang w:val="bs-Latn-BA" w:eastAsia="bs-Latn-BA"/>
        </w:rPr>
        <w:t>Vlada Federacije BiH zajedno s resornim ministarstvom za pitanja mladih – Ministarstvom kulture i sporta FBiH odlučna je u s</w:t>
      </w:r>
      <w:r w:rsidR="00D21A46">
        <w:rPr>
          <w:rFonts w:ascii="Times New Roman" w:hAnsi="Times New Roman"/>
          <w:noProof/>
          <w:lang w:val="bs-Latn-BA" w:eastAsia="bs-Latn-BA"/>
        </w:rPr>
        <w:t>materija</w:t>
      </w:r>
      <w:r w:rsidRPr="00155F80">
        <w:rPr>
          <w:rFonts w:ascii="Times New Roman" w:hAnsi="Times New Roman"/>
          <w:noProof/>
          <w:lang w:val="bs-Latn-BA" w:eastAsia="bs-Latn-BA"/>
        </w:rPr>
        <w:t xml:space="preserve">anju boljih </w:t>
      </w:r>
      <w:r w:rsidR="00F70FD4">
        <w:rPr>
          <w:rFonts w:ascii="Times New Roman" w:hAnsi="Times New Roman"/>
          <w:noProof/>
          <w:lang w:val="bs-Latn-BA" w:eastAsia="bs-Latn-BA"/>
        </w:rPr>
        <w:t>uslov</w:t>
      </w:r>
      <w:r w:rsidR="0046000D">
        <w:rPr>
          <w:rFonts w:ascii="Times New Roman" w:hAnsi="Times New Roman"/>
          <w:noProof/>
          <w:lang w:val="bs-Latn-BA" w:eastAsia="bs-Latn-BA"/>
        </w:rPr>
        <w:t>a</w:t>
      </w:r>
      <w:r w:rsidRPr="00155F80">
        <w:rPr>
          <w:rFonts w:ascii="Times New Roman" w:hAnsi="Times New Roman"/>
          <w:noProof/>
          <w:lang w:val="bs-Latn-BA" w:eastAsia="bs-Latn-BA"/>
        </w:rPr>
        <w:t xml:space="preserve"> za život mladih u FBiH. </w:t>
      </w:r>
      <w:r w:rsidR="0075749A">
        <w:rPr>
          <w:rFonts w:ascii="Times New Roman" w:hAnsi="Times New Roman"/>
          <w:noProof/>
          <w:lang w:val="bs-Latn-BA" w:eastAsia="bs-Latn-BA"/>
        </w:rPr>
        <w:t xml:space="preserve">Prvi korak u toj namjeri je </w:t>
      </w:r>
      <w:r w:rsidRPr="00155F80">
        <w:rPr>
          <w:rFonts w:ascii="Times New Roman" w:hAnsi="Times New Roman"/>
          <w:noProof/>
          <w:lang w:val="bs-Latn-BA" w:eastAsia="bs-Latn-BA"/>
        </w:rPr>
        <w:t>kreiranje strategije prema mladima Federacije BiH</w:t>
      </w:r>
      <w:r w:rsidR="0075749A">
        <w:rPr>
          <w:rFonts w:ascii="Times New Roman" w:hAnsi="Times New Roman"/>
          <w:noProof/>
          <w:lang w:val="bs-Latn-BA" w:eastAsia="bs-Latn-BA"/>
        </w:rPr>
        <w:t>,</w:t>
      </w:r>
      <w:r w:rsidRPr="00155F80">
        <w:rPr>
          <w:rFonts w:ascii="Times New Roman" w:hAnsi="Times New Roman"/>
          <w:noProof/>
          <w:lang w:val="bs-Latn-BA" w:eastAsia="bs-Latn-BA"/>
        </w:rPr>
        <w:t xml:space="preserve"> što </w:t>
      </w:r>
      <w:r w:rsidR="0075749A">
        <w:rPr>
          <w:rFonts w:ascii="Times New Roman" w:hAnsi="Times New Roman"/>
          <w:noProof/>
          <w:lang w:val="bs-Latn-BA" w:eastAsia="bs-Latn-BA"/>
        </w:rPr>
        <w:t>je</w:t>
      </w:r>
      <w:r w:rsidRPr="00155F80">
        <w:rPr>
          <w:rFonts w:ascii="Times New Roman" w:hAnsi="Times New Roman"/>
          <w:noProof/>
          <w:lang w:val="bs-Latn-BA" w:eastAsia="bs-Latn-BA"/>
        </w:rPr>
        <w:t xml:space="preserve"> jedan od najznačajnijih pred</w:t>
      </w:r>
      <w:r w:rsidR="00F70FD4">
        <w:rPr>
          <w:rFonts w:ascii="Times New Roman" w:hAnsi="Times New Roman"/>
          <w:noProof/>
          <w:lang w:val="bs-Latn-BA" w:eastAsia="bs-Latn-BA"/>
        </w:rPr>
        <w:t>uslov</w:t>
      </w:r>
      <w:r w:rsidR="0046000D">
        <w:rPr>
          <w:rFonts w:ascii="Times New Roman" w:hAnsi="Times New Roman"/>
          <w:noProof/>
          <w:lang w:val="bs-Latn-BA" w:eastAsia="bs-Latn-BA"/>
        </w:rPr>
        <w:t>a</w:t>
      </w:r>
      <w:r w:rsidRPr="00155F80">
        <w:rPr>
          <w:rFonts w:ascii="Times New Roman" w:hAnsi="Times New Roman"/>
          <w:noProof/>
          <w:lang w:val="bs-Latn-BA" w:eastAsia="bs-Latn-BA"/>
        </w:rPr>
        <w:t xml:space="preserve"> za uspostav</w:t>
      </w:r>
      <w:r w:rsidR="0046000D">
        <w:rPr>
          <w:rFonts w:ascii="Times New Roman" w:hAnsi="Times New Roman"/>
          <w:noProof/>
          <w:lang w:val="bs-Latn-BA" w:eastAsia="bs-Latn-BA"/>
        </w:rPr>
        <w:t>u</w:t>
      </w:r>
      <w:r w:rsidRPr="00155F80">
        <w:rPr>
          <w:rFonts w:ascii="Times New Roman" w:hAnsi="Times New Roman"/>
          <w:noProof/>
          <w:lang w:val="bs-Latn-BA" w:eastAsia="bs-Latn-BA"/>
        </w:rPr>
        <w:t xml:space="preserve"> </w:t>
      </w:r>
      <w:r w:rsidR="00512E30">
        <w:rPr>
          <w:rFonts w:ascii="Times New Roman" w:hAnsi="Times New Roman"/>
          <w:noProof/>
          <w:lang w:val="bs-Latn-BA" w:eastAsia="bs-Latn-BA"/>
        </w:rPr>
        <w:t>sistem</w:t>
      </w:r>
      <w:r w:rsidR="0046000D">
        <w:rPr>
          <w:rFonts w:ascii="Times New Roman" w:hAnsi="Times New Roman"/>
          <w:noProof/>
          <w:lang w:val="bs-Latn-BA" w:eastAsia="bs-Latn-BA"/>
        </w:rPr>
        <w:t>ne</w:t>
      </w:r>
      <w:r w:rsidRPr="00155F80">
        <w:rPr>
          <w:rFonts w:ascii="Times New Roman" w:hAnsi="Times New Roman"/>
          <w:noProof/>
          <w:lang w:val="bs-Latn-BA" w:eastAsia="bs-Latn-BA"/>
        </w:rPr>
        <w:t xml:space="preserve"> brige o mladima. </w:t>
      </w:r>
    </w:p>
    <w:p w:rsidR="00A131AD" w:rsidRPr="00155F80" w:rsidRDefault="00A131AD" w:rsidP="000C0138">
      <w:pPr>
        <w:spacing w:after="160" w:line="276" w:lineRule="auto"/>
        <w:rPr>
          <w:rFonts w:ascii="Times New Roman" w:eastAsiaTheme="minorHAnsi" w:hAnsi="Times New Roman"/>
          <w:iCs/>
          <w:lang w:val="bs-Latn-BA"/>
        </w:rPr>
      </w:pPr>
      <w:r w:rsidRPr="00155F80">
        <w:rPr>
          <w:rFonts w:ascii="Times New Roman" w:eastAsiaTheme="minorHAnsi" w:hAnsi="Times New Roman"/>
          <w:lang w:val="bs-Latn-BA" w:eastAsia="bs-Latn-BA"/>
        </w:rPr>
        <w:t xml:space="preserve"> </w:t>
      </w:r>
      <w:r w:rsidRPr="00155F80">
        <w:rPr>
          <w:rFonts w:ascii="Times New Roman" w:eastAsiaTheme="minorHAnsi" w:hAnsi="Times New Roman"/>
          <w:iCs/>
          <w:lang w:val="bs-Latn-BA"/>
        </w:rPr>
        <w:t xml:space="preserve"> „</w:t>
      </w:r>
      <w:r w:rsidRPr="00155F80">
        <w:rPr>
          <w:rFonts w:ascii="Times New Roman" w:eastAsiaTheme="minorHAnsi" w:hAnsi="Times New Roman"/>
          <w:bCs/>
          <w:iCs/>
          <w:lang w:val="bs-Latn-BA"/>
        </w:rPr>
        <w:t>Strategija prema mladima</w:t>
      </w:r>
      <w:r w:rsidRPr="00155F80">
        <w:rPr>
          <w:rFonts w:ascii="Times New Roman" w:eastAsiaTheme="minorHAnsi" w:hAnsi="Times New Roman"/>
          <w:iCs/>
          <w:lang w:val="bs-Latn-BA"/>
        </w:rPr>
        <w:t>” je dokument sa programskim pristupom djelovanjima prema mladima što uključuje defini</w:t>
      </w:r>
      <w:r w:rsidR="0046000D">
        <w:rPr>
          <w:rFonts w:ascii="Times New Roman" w:eastAsiaTheme="minorHAnsi" w:hAnsi="Times New Roman"/>
          <w:iCs/>
          <w:lang w:val="bs-Latn-BA"/>
        </w:rPr>
        <w:t>r</w:t>
      </w:r>
      <w:r w:rsidRPr="00155F80">
        <w:rPr>
          <w:rFonts w:ascii="Times New Roman" w:eastAsiaTheme="minorHAnsi" w:hAnsi="Times New Roman"/>
          <w:iCs/>
          <w:lang w:val="bs-Latn-BA"/>
        </w:rPr>
        <w:t>anje problema i potreba mladih, strateške pravce djelovanja, te ciljeve strategije i mjere za realizaciju ciljeva strategije.</w:t>
      </w:r>
    </w:p>
    <w:p w:rsidR="001628EA" w:rsidRPr="001628EA" w:rsidRDefault="00F0369C" w:rsidP="001628EA">
      <w:pPr>
        <w:spacing w:after="160" w:line="276" w:lineRule="auto"/>
        <w:rPr>
          <w:rFonts w:ascii="Times New Roman" w:eastAsiaTheme="minorHAnsi" w:hAnsi="Times New Roman"/>
          <w:iCs/>
          <w:lang w:val="bs-Latn-BA"/>
        </w:rPr>
      </w:pPr>
      <w:r>
        <w:rPr>
          <w:rFonts w:ascii="Times New Roman" w:eastAsiaTheme="minorHAnsi" w:hAnsi="Times New Roman"/>
          <w:iCs/>
          <w:lang w:val="bs-Latn-BA"/>
        </w:rPr>
        <w:t>Tokom</w:t>
      </w:r>
      <w:r w:rsidR="00E10857">
        <w:rPr>
          <w:rFonts w:ascii="Times New Roman" w:eastAsiaTheme="minorHAnsi" w:hAnsi="Times New Roman"/>
          <w:iCs/>
          <w:lang w:val="bs-Latn-BA"/>
        </w:rPr>
        <w:t xml:space="preserve"> </w:t>
      </w:r>
      <w:r w:rsidR="00A131AD" w:rsidRPr="00155F80">
        <w:rPr>
          <w:rFonts w:ascii="Times New Roman" w:eastAsiaTheme="minorHAnsi" w:hAnsi="Times New Roman"/>
          <w:iCs/>
          <w:lang w:val="bs-Latn-BA"/>
        </w:rPr>
        <w:t xml:space="preserve">2015. godine </w:t>
      </w:r>
      <w:r w:rsidR="00E10857" w:rsidRPr="00155F80">
        <w:rPr>
          <w:rFonts w:ascii="Times New Roman" w:eastAsiaTheme="minorHAnsi" w:hAnsi="Times New Roman"/>
          <w:iCs/>
          <w:lang w:val="bs-Latn-BA"/>
        </w:rPr>
        <w:t xml:space="preserve">je finaliziran </w:t>
      </w:r>
      <w:r w:rsidR="00E10857">
        <w:rPr>
          <w:rFonts w:ascii="Times New Roman" w:eastAsiaTheme="minorHAnsi" w:hAnsi="Times New Roman"/>
          <w:iCs/>
          <w:lang w:val="bs-Latn-BA"/>
        </w:rPr>
        <w:t>nacrt</w:t>
      </w:r>
      <w:r w:rsidR="00E10857" w:rsidRPr="00155F80">
        <w:rPr>
          <w:rFonts w:ascii="Times New Roman" w:eastAsiaTheme="minorHAnsi" w:hAnsi="Times New Roman"/>
          <w:iCs/>
          <w:lang w:val="bs-Latn-BA"/>
        </w:rPr>
        <w:t xml:space="preserve"> Strategije prema mladima, </w:t>
      </w:r>
      <w:r w:rsidR="00E10857">
        <w:rPr>
          <w:rFonts w:ascii="Times New Roman" w:eastAsiaTheme="minorHAnsi" w:hAnsi="Times New Roman"/>
          <w:iCs/>
          <w:lang w:val="bs-Latn-BA"/>
        </w:rPr>
        <w:t xml:space="preserve">u čemu su, uz članove Radne grupe, aktivno </w:t>
      </w:r>
      <w:r w:rsidR="0046000D">
        <w:rPr>
          <w:rFonts w:ascii="Times New Roman" w:eastAsiaTheme="minorHAnsi" w:hAnsi="Times New Roman"/>
          <w:iCs/>
          <w:lang w:val="bs-Latn-BA"/>
        </w:rPr>
        <w:t>sudjelovali</w:t>
      </w:r>
      <w:r w:rsidR="00E10857">
        <w:rPr>
          <w:rFonts w:ascii="Times New Roman" w:eastAsiaTheme="minorHAnsi" w:hAnsi="Times New Roman"/>
          <w:iCs/>
          <w:lang w:val="bs-Latn-BA"/>
        </w:rPr>
        <w:t xml:space="preserve"> i predstavnici mladih i NVO, te je nadležno ministarstvo uputil</w:t>
      </w:r>
      <w:r w:rsidR="0046000D">
        <w:rPr>
          <w:rFonts w:ascii="Times New Roman" w:eastAsiaTheme="minorHAnsi" w:hAnsi="Times New Roman"/>
          <w:iCs/>
          <w:lang w:val="bs-Latn-BA"/>
        </w:rPr>
        <w:t>o</w:t>
      </w:r>
      <w:r w:rsidR="00E10857">
        <w:rPr>
          <w:rFonts w:ascii="Times New Roman" w:eastAsiaTheme="minorHAnsi" w:hAnsi="Times New Roman"/>
          <w:iCs/>
          <w:lang w:val="bs-Latn-BA"/>
        </w:rPr>
        <w:t xml:space="preserve"> nacrt dokumenta na usvajanje. </w:t>
      </w:r>
      <w:r w:rsidR="00A131AD" w:rsidRPr="00155F80">
        <w:rPr>
          <w:rFonts w:ascii="Times New Roman" w:eastAsiaTheme="minorHAnsi" w:hAnsi="Times New Roman"/>
          <w:iCs/>
          <w:lang w:val="bs-Latn-BA"/>
        </w:rPr>
        <w:t xml:space="preserve"> </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Za procjenu zdravstvenog stanja mladih (dobi 10</w:t>
      </w:r>
      <w:r w:rsidRPr="00155F80">
        <w:rPr>
          <w:rFonts w:ascii="Cambria Math" w:hAnsi="Cambria Math" w:cs="Cambria Math"/>
          <w:noProof/>
          <w:lang w:val="bs-Latn-BA"/>
        </w:rPr>
        <w:t>‐</w:t>
      </w:r>
      <w:r w:rsidRPr="00155F80">
        <w:rPr>
          <w:rFonts w:ascii="Times New Roman" w:hAnsi="Times New Roman"/>
          <w:noProof/>
          <w:lang w:val="bs-Latn-BA"/>
        </w:rPr>
        <w:t xml:space="preserve">26 godina) važni su i </w:t>
      </w:r>
      <w:r w:rsidR="00587CDA">
        <w:rPr>
          <w:rFonts w:ascii="Times New Roman" w:hAnsi="Times New Roman"/>
          <w:noProof/>
          <w:lang w:val="bs-Latn-BA"/>
        </w:rPr>
        <w:t>pokazatelji</w:t>
      </w:r>
      <w:r w:rsidRPr="00155F80">
        <w:rPr>
          <w:rFonts w:ascii="Times New Roman" w:hAnsi="Times New Roman"/>
          <w:noProof/>
          <w:lang w:val="bs-Latn-BA"/>
        </w:rPr>
        <w:t xml:space="preserve"> ponašanja, način života, pristup servisima za mlade, itd.</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Prema </w:t>
      </w:r>
      <w:r w:rsidR="002B489B">
        <w:rPr>
          <w:rFonts w:ascii="Times New Roman" w:hAnsi="Times New Roman"/>
          <w:noProof/>
          <w:lang w:val="bs-Latn-BA"/>
        </w:rPr>
        <w:t>podaci</w:t>
      </w:r>
      <w:r w:rsidRPr="00155F80">
        <w:rPr>
          <w:rFonts w:ascii="Times New Roman" w:hAnsi="Times New Roman"/>
          <w:noProof/>
          <w:lang w:val="bs-Latn-BA"/>
        </w:rPr>
        <w:t>ma MICS4 istraživanja, konzumiranje duhana i duhanskih proizvoda je učestalije među  mladim muškarcima nego ženama. Alkohol su najviše konzumirali mladi dobi od 25 do 29 godina (55,7%), a među ženama od 20 do 24 godine (20,8%).</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MICS4 istraživanju, skoro četvrtina mladih ljudi, tj. 72,8% žena i 74% muškaraca u dobi od 15</w:t>
      </w:r>
      <w:r w:rsidRPr="00155F80">
        <w:rPr>
          <w:rFonts w:ascii="Cambria Math" w:hAnsi="Cambria Math" w:cs="Cambria Math"/>
          <w:noProof/>
          <w:lang w:val="bs-Latn-BA"/>
        </w:rPr>
        <w:t>‐</w:t>
      </w:r>
      <w:r w:rsidRPr="00155F80">
        <w:rPr>
          <w:rFonts w:ascii="Times New Roman" w:hAnsi="Times New Roman"/>
          <w:noProof/>
          <w:lang w:val="bs-Latn-BA"/>
        </w:rPr>
        <w:t xml:space="preserve">24 godine </w:t>
      </w:r>
      <w:r w:rsidR="00F0369C">
        <w:rPr>
          <w:rFonts w:ascii="Times New Roman" w:hAnsi="Times New Roman"/>
          <w:noProof/>
          <w:lang w:val="bs-Latn-BA"/>
        </w:rPr>
        <w:t>tokom</w:t>
      </w:r>
      <w:r w:rsidRPr="00155F80">
        <w:rPr>
          <w:rFonts w:ascii="Times New Roman" w:hAnsi="Times New Roman"/>
          <w:noProof/>
          <w:lang w:val="bs-Latn-BA"/>
        </w:rPr>
        <w:t xml:space="preserve"> posljednjeg spolnog odnosa koristilo je kondom. Ovo je važan </w:t>
      </w:r>
      <w:r w:rsidR="00D21A46">
        <w:rPr>
          <w:rFonts w:ascii="Times New Roman" w:hAnsi="Times New Roman"/>
          <w:noProof/>
          <w:lang w:val="bs-Latn-BA"/>
        </w:rPr>
        <w:t>znak</w:t>
      </w:r>
      <w:r w:rsidRPr="00155F80">
        <w:rPr>
          <w:rFonts w:ascii="Times New Roman" w:hAnsi="Times New Roman"/>
          <w:noProof/>
          <w:lang w:val="bs-Latn-BA"/>
        </w:rPr>
        <w:t xml:space="preserve"> za praćenje podizanja </w:t>
      </w:r>
      <w:r w:rsidR="0046000D">
        <w:rPr>
          <w:rFonts w:ascii="Times New Roman" w:hAnsi="Times New Roman"/>
          <w:noProof/>
          <w:lang w:val="bs-Latn-BA"/>
        </w:rPr>
        <w:t>razine</w:t>
      </w:r>
      <w:r w:rsidRPr="00155F80">
        <w:rPr>
          <w:rFonts w:ascii="Times New Roman" w:hAnsi="Times New Roman"/>
          <w:noProof/>
          <w:lang w:val="bs-Latn-BA"/>
        </w:rPr>
        <w:t xml:space="preserve"> svijesti mladih o sigurnijem seksu </w:t>
      </w:r>
      <w:r w:rsidR="00526FD0">
        <w:rPr>
          <w:rFonts w:ascii="Times New Roman" w:hAnsi="Times New Roman"/>
          <w:noProof/>
          <w:lang w:val="bs-Latn-BA"/>
        </w:rPr>
        <w:t>u skladu sa</w:t>
      </w:r>
      <w:r w:rsidRPr="00155F80">
        <w:rPr>
          <w:rFonts w:ascii="Times New Roman" w:hAnsi="Times New Roman"/>
          <w:noProof/>
          <w:lang w:val="bs-Latn-BA"/>
        </w:rPr>
        <w:t xml:space="preserve"> Strategij</w:t>
      </w:r>
      <w:r w:rsidR="00526FD0">
        <w:rPr>
          <w:rFonts w:ascii="Times New Roman" w:hAnsi="Times New Roman"/>
          <w:noProof/>
          <w:lang w:val="bs-Latn-BA"/>
        </w:rPr>
        <w:t>om</w:t>
      </w:r>
      <w:r w:rsidRPr="00155F80">
        <w:rPr>
          <w:rFonts w:ascii="Times New Roman" w:hAnsi="Times New Roman"/>
          <w:noProof/>
          <w:lang w:val="bs-Latn-BA"/>
        </w:rPr>
        <w:t xml:space="preserve"> za promociju seksualnog i reproduktivnog zdravlja i prava u Federaciji BiH.</w:t>
      </w:r>
    </w:p>
    <w:p w:rsidR="001628EA" w:rsidRDefault="001628EA" w:rsidP="00B560D0">
      <w:pPr>
        <w:tabs>
          <w:tab w:val="left" w:pos="550"/>
        </w:tabs>
        <w:spacing w:before="120" w:line="276" w:lineRule="auto"/>
        <w:rPr>
          <w:rFonts w:ascii="Times New Roman" w:hAnsi="Times New Roman"/>
          <w:b/>
          <w:lang w:val="bs-Latn-BA"/>
        </w:rPr>
      </w:pPr>
      <w:r w:rsidRPr="00155F80">
        <w:rPr>
          <w:rFonts w:ascii="Times New Roman" w:hAnsi="Times New Roman"/>
          <w:noProof/>
          <w:lang w:val="bs-Latn-BA"/>
        </w:rPr>
        <w:t>U prijateljskim centrima za mlade širom Federacije BiH, mladima 14</w:t>
      </w:r>
      <w:r w:rsidRPr="00155F80">
        <w:rPr>
          <w:rFonts w:ascii="Cambria Math" w:hAnsi="Cambria Math" w:cs="Cambria Math"/>
          <w:noProof/>
          <w:lang w:val="bs-Latn-BA"/>
        </w:rPr>
        <w:t>‐</w:t>
      </w:r>
      <w:r w:rsidRPr="00155F80">
        <w:rPr>
          <w:rFonts w:ascii="Times New Roman" w:hAnsi="Times New Roman"/>
          <w:noProof/>
          <w:lang w:val="bs-Latn-BA"/>
        </w:rPr>
        <w:t>25 godina pružaju se usluge informi</w:t>
      </w:r>
      <w:r w:rsidR="0046000D">
        <w:rPr>
          <w:rFonts w:ascii="Times New Roman" w:hAnsi="Times New Roman"/>
          <w:noProof/>
          <w:lang w:val="bs-Latn-BA"/>
        </w:rPr>
        <w:t>r</w:t>
      </w:r>
      <w:r w:rsidRPr="00155F80">
        <w:rPr>
          <w:rFonts w:ascii="Times New Roman" w:hAnsi="Times New Roman"/>
          <w:noProof/>
          <w:lang w:val="bs-Latn-BA"/>
        </w:rPr>
        <w:t>anja, edukacije, psihološkog savjetovanja i ginekoloških pregleda s ciljem očuvanja i unapređenja zdravlja.</w:t>
      </w:r>
    </w:p>
    <w:p w:rsidR="00A131AD" w:rsidRPr="00155F80" w:rsidRDefault="00A131AD" w:rsidP="000C0138">
      <w:pPr>
        <w:keepNext/>
        <w:keepLines/>
        <w:spacing w:before="120" w:line="276" w:lineRule="auto"/>
        <w:outlineLvl w:val="4"/>
        <w:rPr>
          <w:rFonts w:ascii="Times New Roman" w:hAnsi="Times New Roman"/>
          <w:b/>
          <w:lang w:val="bs-Latn-BA"/>
        </w:rPr>
      </w:pPr>
      <w:r w:rsidRPr="00155F80">
        <w:rPr>
          <w:rFonts w:ascii="Times New Roman" w:hAnsi="Times New Roman"/>
          <w:b/>
          <w:lang w:val="bs-Latn-BA"/>
        </w:rPr>
        <w:t>Pismenost među mladima (15-24 godine)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Opismenjavanje je jedan od ciljeva „Svijeta po mjeri djeteta“ i indikator Milenijumskih razvojnih ciljeva. U nedostatku podataka o pismenosti iz popisa stanovništva, pismenost je procjenjena kroz Istraživanje višestrukih </w:t>
      </w:r>
      <w:r w:rsidR="00CB080B">
        <w:rPr>
          <w:rFonts w:ascii="Times New Roman" w:hAnsi="Times New Roman"/>
          <w:noProof/>
          <w:lang w:val="bs-Latn-BA"/>
        </w:rPr>
        <w:t>pokazatelja</w:t>
      </w:r>
      <w:r w:rsidRPr="00155F80">
        <w:rPr>
          <w:rFonts w:ascii="Times New Roman" w:hAnsi="Times New Roman"/>
          <w:noProof/>
          <w:lang w:val="bs-Latn-BA"/>
        </w:rPr>
        <w:t xml:space="preserve"> u Federaciji BiH 2011.-2012. godine (MICS</w:t>
      </w:r>
      <w:r w:rsidR="00AA0D77" w:rsidRPr="00155F80">
        <w:rPr>
          <w:rFonts w:ascii="Times New Roman" w:hAnsi="Times New Roman"/>
          <w:noProof/>
          <w:lang w:val="bs-Latn-BA"/>
        </w:rPr>
        <w:t>4</w:t>
      </w:r>
      <w:r w:rsidR="00E10857">
        <w:rPr>
          <w:rFonts w:ascii="Times New Roman" w:hAnsi="Times New Roman"/>
          <w:noProof/>
          <w:lang w:val="bs-Latn-BA"/>
        </w:rPr>
        <w:t xml:space="preserve">)  na </w:t>
      </w:r>
      <w:r w:rsidR="0046000D">
        <w:rPr>
          <w:rFonts w:ascii="Times New Roman" w:hAnsi="Times New Roman"/>
          <w:noProof/>
          <w:lang w:val="bs-Latn-BA"/>
        </w:rPr>
        <w:t>temelju</w:t>
      </w:r>
      <w:r w:rsidR="00E10857">
        <w:rPr>
          <w:rFonts w:ascii="Times New Roman" w:hAnsi="Times New Roman"/>
          <w:noProof/>
          <w:lang w:val="bs-Latn-BA"/>
        </w:rPr>
        <w:t xml:space="preserve"> </w:t>
      </w:r>
      <w:r w:rsidR="00E10857" w:rsidRPr="00155F80">
        <w:rPr>
          <w:rFonts w:ascii="Times New Roman" w:hAnsi="Times New Roman"/>
          <w:noProof/>
          <w:lang w:val="bs-Latn-BA"/>
        </w:rPr>
        <w:t xml:space="preserve"> pohađanja škole</w:t>
      </w:r>
      <w:r w:rsidR="00E10857">
        <w:rPr>
          <w:rFonts w:ascii="Times New Roman" w:hAnsi="Times New Roman"/>
          <w:noProof/>
          <w:lang w:val="bs-Latn-BA"/>
        </w:rPr>
        <w:t xml:space="preserve"> i</w:t>
      </w:r>
      <w:r w:rsidR="00E10857" w:rsidRPr="00155F80">
        <w:rPr>
          <w:rFonts w:ascii="Times New Roman" w:hAnsi="Times New Roman"/>
          <w:noProof/>
          <w:lang w:val="bs-Latn-BA"/>
        </w:rPr>
        <w:t xml:space="preserve"> </w:t>
      </w:r>
      <w:r w:rsidRPr="00155F80">
        <w:rPr>
          <w:rFonts w:ascii="Times New Roman" w:hAnsi="Times New Roman"/>
          <w:noProof/>
          <w:lang w:val="bs-Latn-BA"/>
        </w:rPr>
        <w:t>mogućnosti ispitanika da pr</w:t>
      </w:r>
      <w:r w:rsidR="00E10857">
        <w:rPr>
          <w:rFonts w:ascii="Times New Roman" w:hAnsi="Times New Roman"/>
          <w:noProof/>
          <w:lang w:val="bs-Latn-BA"/>
        </w:rPr>
        <w:t>očitaju jednostavnu rečenicu. Rezultati su pokazali da je u</w:t>
      </w:r>
      <w:r w:rsidRPr="00155F80">
        <w:rPr>
          <w:rFonts w:ascii="Times New Roman" w:hAnsi="Times New Roman"/>
          <w:noProof/>
          <w:lang w:val="bs-Latn-BA"/>
        </w:rPr>
        <w:t xml:space="preserve"> Federaciji BiH pismeno 99,2% mladih žena i 100% mladih muškaraca.</w:t>
      </w:r>
    </w:p>
    <w:p w:rsidR="00A131AD" w:rsidRPr="00155F80" w:rsidRDefault="00A131AD" w:rsidP="000C0138">
      <w:pPr>
        <w:keepNext/>
        <w:keepLines/>
        <w:spacing w:before="120" w:line="276" w:lineRule="auto"/>
        <w:outlineLvl w:val="4"/>
        <w:rPr>
          <w:rFonts w:ascii="Times New Roman" w:hAnsi="Times New Roman"/>
          <w:b/>
          <w:lang w:val="bs-Latn-BA"/>
        </w:rPr>
      </w:pPr>
      <w:r w:rsidRPr="00155F80">
        <w:rPr>
          <w:rFonts w:ascii="Times New Roman" w:hAnsi="Times New Roman"/>
          <w:b/>
          <w:lang w:val="bs-Latn-BA"/>
        </w:rPr>
        <w:t>Spremnost za školu</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Pohađanje predškolskog obrazovanja u okviru organiziranog obrazovnog programa važno je za spremnost djece za školu. Prema rezultatima MICS4 istraživanja, 18,4% djece koja pohađaju prvi razred osnovne škole su pohađala predškolsku ustanovu u prethodnoj godini. Taj p</w:t>
      </w:r>
      <w:r w:rsidR="0046000D">
        <w:rPr>
          <w:rFonts w:ascii="Times New Roman" w:hAnsi="Times New Roman"/>
          <w:noProof/>
          <w:lang w:val="bs-Latn-BA"/>
        </w:rPr>
        <w:t>rocenat</w:t>
      </w:r>
      <w:r w:rsidRPr="00155F80">
        <w:rPr>
          <w:rFonts w:ascii="Times New Roman" w:hAnsi="Times New Roman"/>
          <w:noProof/>
          <w:lang w:val="bs-Latn-BA"/>
        </w:rPr>
        <w:t xml:space="preserve"> je znatno veći među ženskom (27,3%) nego muškom djecom (11,6%), </w:t>
      </w:r>
      <w:r w:rsidR="00E10857">
        <w:rPr>
          <w:rFonts w:ascii="Times New Roman" w:hAnsi="Times New Roman"/>
          <w:noProof/>
          <w:lang w:val="bs-Latn-BA"/>
        </w:rPr>
        <w:t xml:space="preserve">te je veći </w:t>
      </w:r>
      <w:r w:rsidR="00E10857" w:rsidRPr="00155F80">
        <w:rPr>
          <w:rFonts w:ascii="Times New Roman" w:hAnsi="Times New Roman"/>
          <w:noProof/>
          <w:lang w:val="bs-Latn-BA"/>
        </w:rPr>
        <w:t xml:space="preserve">u urbanim sredinama </w:t>
      </w:r>
      <w:r w:rsidR="00E10857">
        <w:rPr>
          <w:rFonts w:ascii="Times New Roman" w:hAnsi="Times New Roman"/>
          <w:noProof/>
          <w:lang w:val="bs-Latn-BA"/>
        </w:rPr>
        <w:t>(</w:t>
      </w:r>
      <w:r w:rsidRPr="00155F80">
        <w:rPr>
          <w:rFonts w:ascii="Times New Roman" w:hAnsi="Times New Roman"/>
          <w:noProof/>
          <w:lang w:val="bs-Latn-BA"/>
        </w:rPr>
        <w:t>35,4%</w:t>
      </w:r>
      <w:r w:rsidR="00E10857">
        <w:rPr>
          <w:rFonts w:ascii="Times New Roman" w:hAnsi="Times New Roman"/>
          <w:noProof/>
          <w:lang w:val="bs-Latn-BA"/>
        </w:rPr>
        <w:t>) negu u ruralnim sredinama (12,6%)</w:t>
      </w:r>
      <w:r w:rsidRPr="00155F80">
        <w:rPr>
          <w:rFonts w:ascii="Times New Roman" w:hAnsi="Times New Roman"/>
          <w:noProof/>
          <w:lang w:val="bs-Latn-BA"/>
        </w:rPr>
        <w:t>.</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Većina djece osnovnoškolskog uzrasta pohađa školu (97,2%), više muške (97,4%) nego ženske djece (96,9%).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Osnovnu školu uopće ne pohađa 2,8% djece ovoga uzrasta, dok 8% djece srednjoškolskog uzrasta ne pohađaju srednju školu. Među djecom koja pohađaju srednju školu više je ženske (93,3%), nego muške djece (90,4%).</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Osnovnu školu u Federaciji BiH završava 91,7% djece. Srednju školu završava 89,3% muške i 89,6% ženske djece.</w:t>
      </w:r>
    </w:p>
    <w:p w:rsidR="00A726E5" w:rsidRPr="00155F80" w:rsidRDefault="00A726E5" w:rsidP="000C0138">
      <w:pPr>
        <w:tabs>
          <w:tab w:val="left" w:pos="550"/>
        </w:tabs>
        <w:spacing w:before="120" w:line="276" w:lineRule="auto"/>
        <w:rPr>
          <w:rFonts w:ascii="Times New Roman" w:hAnsi="Times New Roman"/>
          <w:noProof/>
          <w:lang w:val="bs-Latn-BA"/>
        </w:rPr>
      </w:pPr>
    </w:p>
    <w:p w:rsidR="001628EA" w:rsidRPr="006256C9" w:rsidRDefault="00A06016" w:rsidP="003E3695">
      <w:pPr>
        <w:pStyle w:val="Poglavlje3"/>
      </w:pPr>
      <w:bookmarkStart w:id="291" w:name="_Toc424298831"/>
      <w:bookmarkStart w:id="292" w:name="_Toc460929200"/>
      <w:r>
        <w:t>3.2.5.2</w:t>
      </w:r>
      <w:r w:rsidR="00F81BD5">
        <w:t xml:space="preserve"> </w:t>
      </w:r>
      <w:r w:rsidR="00A131AD" w:rsidRPr="00155F80">
        <w:t>Odrasli (19-64 godine)</w:t>
      </w:r>
      <w:bookmarkEnd w:id="291"/>
      <w:bookmarkEnd w:id="292"/>
    </w:p>
    <w:p w:rsidR="001628EA" w:rsidRDefault="00A131AD" w:rsidP="00BB3160">
      <w:pPr>
        <w:spacing w:after="160" w:line="276" w:lineRule="auto"/>
        <w:rPr>
          <w:rFonts w:ascii="Times New Roman" w:hAnsi="Times New Roman"/>
          <w:noProof/>
          <w:lang w:val="bs-Latn-BA"/>
        </w:rPr>
      </w:pPr>
      <w:r w:rsidRPr="00155F80">
        <w:rPr>
          <w:rFonts w:ascii="Times New Roman" w:hAnsi="Times New Roman"/>
          <w:noProof/>
          <w:lang w:val="bs-Latn-BA"/>
        </w:rPr>
        <w:t>U 2015. godini ova populaci</w:t>
      </w:r>
      <w:r w:rsidR="0046000D">
        <w:rPr>
          <w:rFonts w:ascii="Times New Roman" w:hAnsi="Times New Roman"/>
          <w:noProof/>
          <w:lang w:val="bs-Latn-BA"/>
        </w:rPr>
        <w:t>jska</w:t>
      </w:r>
      <w:r w:rsidRPr="00155F80">
        <w:rPr>
          <w:rFonts w:ascii="Times New Roman" w:hAnsi="Times New Roman"/>
          <w:noProof/>
          <w:lang w:val="bs-Latn-BA"/>
        </w:rPr>
        <w:t xml:space="preserve"> grupa je imala u</w:t>
      </w:r>
      <w:r w:rsidR="0046000D">
        <w:rPr>
          <w:rFonts w:ascii="Times New Roman" w:hAnsi="Times New Roman"/>
          <w:noProof/>
          <w:lang w:val="bs-Latn-BA"/>
        </w:rPr>
        <w:t>dio</w:t>
      </w:r>
      <w:r w:rsidRPr="00155F80">
        <w:rPr>
          <w:rFonts w:ascii="Times New Roman" w:hAnsi="Times New Roman"/>
          <w:noProof/>
          <w:lang w:val="bs-Latn-BA"/>
        </w:rPr>
        <w:t xml:space="preserve"> od 46% u ukupno registr</w:t>
      </w:r>
      <w:r w:rsidR="0046000D">
        <w:rPr>
          <w:rFonts w:ascii="Times New Roman" w:hAnsi="Times New Roman"/>
          <w:noProof/>
          <w:lang w:val="bs-Latn-BA"/>
        </w:rPr>
        <w:t xml:space="preserve">iranim </w:t>
      </w:r>
      <w:r w:rsidRPr="00155F80">
        <w:rPr>
          <w:rFonts w:ascii="Times New Roman" w:hAnsi="Times New Roman"/>
          <w:noProof/>
          <w:lang w:val="bs-Latn-BA"/>
        </w:rPr>
        <w:t>oboljenjima i stanjima, a stopa obolijevanja ima trend porasta u p</w:t>
      </w:r>
      <w:r w:rsidR="0046000D">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Vodeća oboljenja u ovoj populacijskoj grupi su hipertenzivna oboljenja (I10-I15) koja bilježe kontinuirani rast stope obolijevanja, </w:t>
      </w:r>
      <w:r w:rsidR="00BB3160">
        <w:rPr>
          <w:rFonts w:ascii="Times New Roman" w:hAnsi="Times New Roman"/>
          <w:noProof/>
          <w:lang w:val="bs-Latn-BA"/>
        </w:rPr>
        <w:t xml:space="preserve">slijede </w:t>
      </w:r>
      <w:r w:rsidRPr="00155F80">
        <w:rPr>
          <w:rFonts w:ascii="Times New Roman" w:hAnsi="Times New Roman"/>
          <w:noProof/>
          <w:lang w:val="bs-Latn-BA"/>
        </w:rPr>
        <w:t xml:space="preserve">akutne infekcije gornjih </w:t>
      </w:r>
      <w:r w:rsidR="00BB3160">
        <w:rPr>
          <w:rFonts w:ascii="Times New Roman" w:hAnsi="Times New Roman"/>
          <w:noProof/>
          <w:lang w:val="bs-Latn-BA"/>
        </w:rPr>
        <w:t>respiratornih</w:t>
      </w:r>
      <w:r w:rsidRPr="00155F80">
        <w:rPr>
          <w:rFonts w:ascii="Times New Roman" w:hAnsi="Times New Roman"/>
          <w:noProof/>
          <w:lang w:val="bs-Latn-BA"/>
        </w:rPr>
        <w:t xml:space="preserve"> puteva (J00-J06), </w:t>
      </w:r>
      <w:r w:rsidR="00BB3160">
        <w:rPr>
          <w:rFonts w:ascii="Times New Roman" w:hAnsi="Times New Roman"/>
          <w:noProof/>
          <w:lang w:val="bs-Latn-BA"/>
        </w:rPr>
        <w:t xml:space="preserve">treće su </w:t>
      </w:r>
      <w:r w:rsidR="00BB3160" w:rsidRPr="00155F80">
        <w:rPr>
          <w:rFonts w:ascii="Times New Roman" w:hAnsi="Times New Roman"/>
          <w:noProof/>
          <w:lang w:val="bs-Latn-BA"/>
        </w:rPr>
        <w:t xml:space="preserve">bolesti koštano-mišićnog </w:t>
      </w:r>
      <w:r w:rsidR="00512E30">
        <w:rPr>
          <w:rFonts w:ascii="Times New Roman" w:hAnsi="Times New Roman"/>
          <w:noProof/>
          <w:lang w:val="bs-Latn-BA"/>
        </w:rPr>
        <w:t>sistem</w:t>
      </w:r>
      <w:r w:rsidR="00BB3160" w:rsidRPr="00155F80">
        <w:rPr>
          <w:rFonts w:ascii="Times New Roman" w:hAnsi="Times New Roman"/>
          <w:noProof/>
          <w:lang w:val="bs-Latn-BA"/>
        </w:rPr>
        <w:t>a (M40-M49, M53-M54)</w:t>
      </w:r>
      <w:r w:rsidR="00BB3160">
        <w:rPr>
          <w:rFonts w:ascii="Times New Roman" w:hAnsi="Times New Roman"/>
          <w:noProof/>
          <w:lang w:val="bs-Latn-BA"/>
        </w:rPr>
        <w:t>,</w:t>
      </w:r>
      <w:r w:rsidR="00BB3160" w:rsidRPr="00155F80">
        <w:rPr>
          <w:rFonts w:ascii="Times New Roman" w:hAnsi="Times New Roman"/>
          <w:noProof/>
          <w:lang w:val="bs-Latn-BA"/>
        </w:rPr>
        <w:t xml:space="preserve"> </w:t>
      </w:r>
      <w:r w:rsidRPr="00155F80">
        <w:rPr>
          <w:rFonts w:ascii="Times New Roman" w:hAnsi="Times New Roman"/>
          <w:noProof/>
          <w:lang w:val="bs-Latn-BA"/>
        </w:rPr>
        <w:t xml:space="preserve">šećerna bolest (E10-E14), i cistitis (N30). </w:t>
      </w:r>
      <w:r w:rsidR="00512E30">
        <w:rPr>
          <w:rFonts w:ascii="Times New Roman" w:hAnsi="Times New Roman"/>
          <w:noProof/>
          <w:lang w:val="bs-Latn-BA"/>
        </w:rPr>
        <w:t>Hronična</w:t>
      </w:r>
      <w:r w:rsidRPr="00155F80">
        <w:rPr>
          <w:rFonts w:ascii="Times New Roman" w:hAnsi="Times New Roman"/>
          <w:noProof/>
          <w:lang w:val="bs-Latn-BA"/>
        </w:rPr>
        <w:t xml:space="preserve"> oboljenja pokazuju trend rasta stope obolijevanja što je vezano za nezdrave životne navike stanovništva.</w:t>
      </w:r>
    </w:p>
    <w:p w:rsidR="00A131AD" w:rsidRPr="00155F80" w:rsidRDefault="00A131AD" w:rsidP="00EB7CC7">
      <w:pPr>
        <w:pStyle w:val="refererere"/>
        <w:rPr>
          <w:rFonts w:eastAsiaTheme="minorHAnsi"/>
          <w:lang w:val="bs-Latn-BA"/>
        </w:rPr>
      </w:pPr>
      <w:r w:rsidRPr="00BB3160">
        <w:rPr>
          <w:rFonts w:eastAsiaTheme="minorHAnsi"/>
          <w:lang w:val="bs-Latn-BA"/>
        </w:rPr>
        <w:t>Grafikon 53: Vodeća oboljenja stanovništva starosti 19-64 godine</w:t>
      </w:r>
      <w:r w:rsidRPr="00BB3160">
        <w:rPr>
          <w:iCs/>
          <w:noProof/>
          <w:lang w:val="bs-Latn-BA" w:eastAsia="bs-Latn-BA"/>
        </w:rPr>
        <w:t xml:space="preserve"> u Federaciji BiH</w:t>
      </w:r>
      <w:r w:rsidRPr="00BB3160">
        <w:rPr>
          <w:rFonts w:eastAsiaTheme="minorHAnsi"/>
          <w:lang w:val="bs-Latn-BA"/>
        </w:rPr>
        <w:t xml:space="preserve">, za </w:t>
      </w:r>
      <w:r w:rsidR="00F70FD4">
        <w:rPr>
          <w:rFonts w:eastAsiaTheme="minorHAnsi"/>
          <w:lang w:val="bs-Latn-BA"/>
        </w:rPr>
        <w:t>period</w:t>
      </w:r>
      <w:r w:rsidRPr="00BB3160">
        <w:rPr>
          <w:rFonts w:eastAsiaTheme="minorHAnsi"/>
          <w:lang w:val="bs-Latn-BA"/>
        </w:rPr>
        <w:t xml:space="preserve"> 2010.</w:t>
      </w:r>
      <w:r w:rsidRPr="00BB3160">
        <w:rPr>
          <w:rFonts w:ascii="Cambria Math" w:eastAsiaTheme="minorHAnsi" w:hAnsi="Cambria Math" w:cs="Cambria Math"/>
          <w:lang w:val="bs-Latn-BA"/>
        </w:rPr>
        <w:t>‐</w:t>
      </w:r>
      <w:r w:rsidRPr="00BB3160">
        <w:rPr>
          <w:rFonts w:eastAsiaTheme="minorHAnsi"/>
          <w:lang w:val="bs-Latn-BA"/>
        </w:rPr>
        <w:t>2015. godina, stopa na 10.000 stanovnika</w:t>
      </w:r>
    </w:p>
    <w:p w:rsidR="00A131AD" w:rsidRPr="00155F80" w:rsidRDefault="00E85560" w:rsidP="000C0138">
      <w:pPr>
        <w:spacing w:after="160" w:line="276" w:lineRule="auto"/>
        <w:rPr>
          <w:rFonts w:ascii="Times New Roman" w:eastAsiaTheme="minorHAnsi" w:hAnsi="Times New Roman"/>
          <w:b/>
          <w:lang w:val="bs-Latn-BA"/>
        </w:rPr>
      </w:pPr>
      <w:r>
        <w:rPr>
          <w:noProof/>
          <w:lang w:eastAsia="en-GB"/>
        </w:rPr>
        <w:drawing>
          <wp:inline distT="0" distB="0" distL="0" distR="0" wp14:anchorId="5599E837" wp14:editId="0C6E5C87">
            <wp:extent cx="5695950" cy="2095500"/>
            <wp:effectExtent l="0" t="0" r="0" b="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Za ovu populaci</w:t>
      </w:r>
      <w:r w:rsidR="0046000D">
        <w:rPr>
          <w:rFonts w:ascii="Times New Roman" w:eastAsiaTheme="minorHAnsi" w:hAnsi="Times New Roman"/>
          <w:lang w:val="bs-Latn-BA"/>
        </w:rPr>
        <w:t>jsku</w:t>
      </w:r>
      <w:r w:rsidRPr="00155F80">
        <w:rPr>
          <w:rFonts w:ascii="Times New Roman" w:eastAsiaTheme="minorHAnsi" w:hAnsi="Times New Roman"/>
          <w:lang w:val="bs-Latn-BA"/>
        </w:rPr>
        <w:t xml:space="preserve"> grupu je važno  </w:t>
      </w:r>
      <w:r w:rsidR="001628EA">
        <w:rPr>
          <w:rFonts w:ascii="Times New Roman" w:eastAsiaTheme="minorHAnsi" w:hAnsi="Times New Roman"/>
          <w:lang w:val="bs-Latn-BA"/>
        </w:rPr>
        <w:t xml:space="preserve">pratiti </w:t>
      </w:r>
      <w:r w:rsidRPr="00155F80">
        <w:rPr>
          <w:rFonts w:ascii="Times New Roman" w:eastAsiaTheme="minorHAnsi" w:hAnsi="Times New Roman"/>
          <w:lang w:val="bs-Latn-BA"/>
        </w:rPr>
        <w:t xml:space="preserve">reproduktivno zdravlje oba spola, zdravlje </w:t>
      </w:r>
      <w:r w:rsidR="00950A64">
        <w:rPr>
          <w:rFonts w:ascii="Times New Roman" w:eastAsiaTheme="minorHAnsi" w:hAnsi="Times New Roman"/>
          <w:lang w:val="bs-Latn-BA"/>
        </w:rPr>
        <w:t>zaposlen</w:t>
      </w:r>
      <w:r w:rsidRPr="00155F80">
        <w:rPr>
          <w:rFonts w:ascii="Times New Roman" w:eastAsiaTheme="minorHAnsi" w:hAnsi="Times New Roman"/>
          <w:lang w:val="bs-Latn-BA"/>
        </w:rPr>
        <w:t xml:space="preserve">ih, kao i zdravlje osoba profesionalno </w:t>
      </w:r>
      <w:r w:rsidR="00950A64">
        <w:rPr>
          <w:rFonts w:ascii="Times New Roman" w:eastAsiaTheme="minorHAnsi" w:hAnsi="Times New Roman"/>
          <w:lang w:val="bs-Latn-BA"/>
        </w:rPr>
        <w:t>zaposlen</w:t>
      </w:r>
      <w:r w:rsidRPr="00155F80">
        <w:rPr>
          <w:rFonts w:ascii="Times New Roman" w:eastAsiaTheme="minorHAnsi" w:hAnsi="Times New Roman"/>
          <w:lang w:val="bs-Latn-BA"/>
        </w:rPr>
        <w:t xml:space="preserve">ih na radnim mjestima gdje su izloženi </w:t>
      </w:r>
      <w:r w:rsidR="00A631F9">
        <w:rPr>
          <w:rFonts w:ascii="Times New Roman" w:eastAsiaTheme="minorHAnsi" w:hAnsi="Times New Roman"/>
          <w:lang w:val="bs-Latn-BA"/>
        </w:rPr>
        <w:t>i</w:t>
      </w:r>
      <w:r w:rsidRPr="00155F80">
        <w:rPr>
          <w:rFonts w:ascii="Times New Roman" w:eastAsiaTheme="minorHAnsi" w:hAnsi="Times New Roman"/>
          <w:lang w:val="bs-Latn-BA"/>
        </w:rPr>
        <w:t>onizirajućem zračenju.</w:t>
      </w:r>
    </w:p>
    <w:p w:rsidR="00874E9B" w:rsidRDefault="00874E9B">
      <w:pPr>
        <w:spacing w:after="160" w:line="259" w:lineRule="auto"/>
        <w:jc w:val="left"/>
        <w:rPr>
          <w:rFonts w:ascii="Times New Roman" w:eastAsiaTheme="majorEastAsia" w:hAnsi="Times New Roman"/>
          <w:b/>
          <w:iCs/>
          <w:lang w:val="bs-Latn-BA"/>
        </w:rPr>
      </w:pPr>
      <w:r>
        <w:rPr>
          <w:rFonts w:ascii="Times New Roman" w:eastAsiaTheme="majorEastAsia" w:hAnsi="Times New Roman"/>
          <w:b/>
          <w:iCs/>
          <w:lang w:val="bs-Latn-BA"/>
        </w:rPr>
        <w:br w:type="page"/>
      </w:r>
    </w:p>
    <w:p w:rsidR="00EB7CC7" w:rsidRDefault="00A131AD" w:rsidP="00B560D0">
      <w:pPr>
        <w:keepNext/>
        <w:keepLines/>
        <w:spacing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t xml:space="preserve">Zdravlje osoba profesionalno </w:t>
      </w:r>
      <w:r w:rsidR="00950A64">
        <w:rPr>
          <w:rFonts w:ascii="Times New Roman" w:eastAsiaTheme="majorEastAsia" w:hAnsi="Times New Roman"/>
          <w:b/>
          <w:iCs/>
          <w:lang w:val="bs-Latn-BA"/>
        </w:rPr>
        <w:t>zaposlen</w:t>
      </w:r>
      <w:r w:rsidRPr="00155F80">
        <w:rPr>
          <w:rFonts w:ascii="Times New Roman" w:eastAsiaTheme="majorEastAsia" w:hAnsi="Times New Roman"/>
          <w:b/>
          <w:iCs/>
          <w:lang w:val="bs-Latn-BA"/>
        </w:rPr>
        <w:t xml:space="preserve">ih na radnim mjestima na kojima su izložene </w:t>
      </w:r>
      <w:r w:rsidR="003605E2">
        <w:rPr>
          <w:rFonts w:ascii="Times New Roman" w:eastAsiaTheme="majorEastAsia" w:hAnsi="Times New Roman"/>
          <w:b/>
          <w:iCs/>
          <w:lang w:val="bs-Latn-BA"/>
        </w:rPr>
        <w:t>i</w:t>
      </w:r>
      <w:r w:rsidRPr="00155F80">
        <w:rPr>
          <w:rFonts w:ascii="Times New Roman" w:eastAsiaTheme="majorEastAsia" w:hAnsi="Times New Roman"/>
          <w:b/>
          <w:iCs/>
          <w:lang w:val="bs-Latn-BA"/>
        </w:rPr>
        <w:t xml:space="preserve">onizirajućem zračenju </w:t>
      </w:r>
    </w:p>
    <w:p w:rsidR="00B560D0" w:rsidRPr="00155F80" w:rsidRDefault="00B560D0" w:rsidP="00B560D0">
      <w:pPr>
        <w:keepNext/>
        <w:keepLines/>
        <w:spacing w:line="276" w:lineRule="auto"/>
        <w:jc w:val="left"/>
        <w:outlineLvl w:val="3"/>
        <w:rPr>
          <w:rFonts w:ascii="Times New Roman" w:eastAsiaTheme="majorEastAsia" w:hAnsi="Times New Roman"/>
          <w:b/>
          <w:iCs/>
          <w:lang w:val="bs-Latn-BA"/>
        </w:rPr>
      </w:pP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Posljednjih godina, kako u svijetu tako i u FBiH, </w:t>
      </w:r>
      <w:r w:rsidR="003605E2">
        <w:rPr>
          <w:rFonts w:ascii="Times New Roman" w:hAnsi="Times New Roman"/>
          <w:color w:val="000000"/>
          <w:lang w:val="en-US"/>
        </w:rPr>
        <w:t>i</w:t>
      </w:r>
      <w:r w:rsidRPr="00155F80">
        <w:rPr>
          <w:rFonts w:ascii="Times New Roman" w:hAnsi="Times New Roman"/>
          <w:color w:val="000000"/>
          <w:lang w:val="en-US"/>
        </w:rPr>
        <w:t xml:space="preserve">onizirajuće zračenje primjenjuje se sve više u </w:t>
      </w:r>
      <w:r w:rsidR="003605E2">
        <w:rPr>
          <w:rFonts w:ascii="Times New Roman" w:hAnsi="Times New Roman"/>
          <w:color w:val="000000"/>
          <w:lang w:val="en-US"/>
        </w:rPr>
        <w:t>medicine radi</w:t>
      </w:r>
      <w:r w:rsidRPr="00155F80">
        <w:rPr>
          <w:rFonts w:ascii="Times New Roman" w:hAnsi="Times New Roman"/>
          <w:color w:val="000000"/>
          <w:lang w:val="en-US"/>
        </w:rPr>
        <w:t xml:space="preserve"> radioterapijskih i radiodijagnostičkih tretmana.</w:t>
      </w:r>
    </w:p>
    <w:p w:rsidR="00A131AD" w:rsidRPr="00155F80" w:rsidRDefault="00A131AD" w:rsidP="000C0138">
      <w:pPr>
        <w:autoSpaceDE w:val="0"/>
        <w:autoSpaceDN w:val="0"/>
        <w:adjustRightInd w:val="0"/>
        <w:spacing w:line="276" w:lineRule="auto"/>
        <w:rPr>
          <w:rFonts w:ascii="Times New Roman" w:hAnsi="Times New Roman"/>
          <w:color w:val="000000"/>
          <w:lang w:val="en-US"/>
        </w:rPr>
      </w:pP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Relevantne svjetske organizacije, na </w:t>
      </w:r>
      <w:r w:rsidR="003605E2">
        <w:rPr>
          <w:rFonts w:ascii="Times New Roman" w:hAnsi="Times New Roman"/>
          <w:color w:val="000000"/>
          <w:lang w:val="en-US"/>
        </w:rPr>
        <w:t>temelju</w:t>
      </w:r>
      <w:r w:rsidRPr="00155F80">
        <w:rPr>
          <w:rFonts w:ascii="Times New Roman" w:hAnsi="Times New Roman"/>
          <w:color w:val="000000"/>
          <w:lang w:val="en-US"/>
        </w:rPr>
        <w:t xml:space="preserve"> provedenih istrživanja, ustanovile su da je efektivna doza </w:t>
      </w:r>
      <w:r w:rsidR="001628EA">
        <w:rPr>
          <w:rFonts w:ascii="Times New Roman" w:hAnsi="Times New Roman"/>
          <w:color w:val="000000"/>
          <w:lang w:val="en-US"/>
        </w:rPr>
        <w:t xml:space="preserve">izloženosti stanovništva </w:t>
      </w:r>
      <w:r w:rsidR="003605E2">
        <w:rPr>
          <w:rFonts w:ascii="Times New Roman" w:hAnsi="Times New Roman"/>
          <w:color w:val="000000"/>
          <w:lang w:val="en-US"/>
        </w:rPr>
        <w:t>i</w:t>
      </w:r>
      <w:r w:rsidR="001628EA">
        <w:rPr>
          <w:rFonts w:ascii="Times New Roman" w:hAnsi="Times New Roman"/>
          <w:color w:val="000000"/>
          <w:lang w:val="en-US"/>
        </w:rPr>
        <w:t>onizirajućem zračenju</w:t>
      </w:r>
      <w:r w:rsidRPr="00155F80">
        <w:rPr>
          <w:rFonts w:ascii="Times New Roman" w:hAnsi="Times New Roman"/>
          <w:color w:val="000000"/>
          <w:lang w:val="en-US"/>
        </w:rPr>
        <w:t xml:space="preserve"> kao posljedica medicinske primjene, u znatnom porastu u posljednjem desetljeću. Danas su primljene doze stanovništva </w:t>
      </w:r>
      <w:r w:rsidR="003605E2">
        <w:rPr>
          <w:rFonts w:ascii="Times New Roman" w:hAnsi="Times New Roman"/>
          <w:color w:val="000000"/>
          <w:lang w:val="en-US"/>
        </w:rPr>
        <w:t>radi</w:t>
      </w:r>
      <w:r w:rsidRPr="00155F80">
        <w:rPr>
          <w:rFonts w:ascii="Times New Roman" w:hAnsi="Times New Roman"/>
          <w:color w:val="000000"/>
          <w:lang w:val="en-US"/>
        </w:rPr>
        <w:t xml:space="preserve"> medicinske primjene izvora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na </w:t>
      </w:r>
      <w:r w:rsidR="002B489B">
        <w:rPr>
          <w:rFonts w:ascii="Times New Roman" w:hAnsi="Times New Roman"/>
          <w:color w:val="000000"/>
          <w:lang w:val="en-US"/>
        </w:rPr>
        <w:t>nivou</w:t>
      </w:r>
      <w:r w:rsidRPr="00155F80">
        <w:rPr>
          <w:rFonts w:ascii="Times New Roman" w:hAnsi="Times New Roman"/>
          <w:color w:val="000000"/>
          <w:lang w:val="en-US"/>
        </w:rPr>
        <w:t xml:space="preserve"> doza usl</w:t>
      </w:r>
      <w:r w:rsidR="003605E2">
        <w:rPr>
          <w:rFonts w:ascii="Times New Roman" w:hAnsi="Times New Roman"/>
          <w:color w:val="000000"/>
          <w:lang w:val="en-US"/>
        </w:rPr>
        <w:t>i</w:t>
      </w:r>
      <w:r w:rsidRPr="00155F80">
        <w:rPr>
          <w:rFonts w:ascii="Times New Roman" w:hAnsi="Times New Roman"/>
          <w:color w:val="000000"/>
          <w:lang w:val="en-US"/>
        </w:rPr>
        <w:t xml:space="preserve">jed izloženosti prirodnim izvorima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color w:val="000000"/>
          <w:lang w:val="en-US"/>
        </w:rPr>
        <w:t xml:space="preserve">Izvori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se u FBiH, </w:t>
      </w:r>
      <w:r w:rsidR="003605E2">
        <w:rPr>
          <w:rFonts w:ascii="Times New Roman" w:hAnsi="Times New Roman"/>
          <w:color w:val="000000"/>
          <w:lang w:val="en-US"/>
        </w:rPr>
        <w:t>iz</w:t>
      </w:r>
      <w:r w:rsidRPr="00155F80">
        <w:rPr>
          <w:rFonts w:ascii="Times New Roman" w:hAnsi="Times New Roman"/>
          <w:color w:val="000000"/>
          <w:lang w:val="en-US"/>
        </w:rPr>
        <w:t xml:space="preserve">van medicinskih potreba, veoma malo koriste (industrija, </w:t>
      </w:r>
      <w:r w:rsidR="003605E2">
        <w:rPr>
          <w:rFonts w:ascii="Times New Roman" w:hAnsi="Times New Roman"/>
          <w:color w:val="000000"/>
          <w:lang w:val="en-US"/>
        </w:rPr>
        <w:t>znanstveno</w:t>
      </w:r>
      <w:r w:rsidRPr="00155F80">
        <w:rPr>
          <w:rFonts w:ascii="Times New Roman" w:hAnsi="Times New Roman"/>
          <w:color w:val="000000"/>
          <w:lang w:val="en-US"/>
        </w:rPr>
        <w:t xml:space="preserve"> istraživačke djelatnosti).</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lang w:val="en-US"/>
        </w:rPr>
        <w:t xml:space="preserve">Zakonom o radijacijskoj i nuklearnoj sigurnosti u Bosni i Hercegovini </w:t>
      </w:r>
      <w:r w:rsidRPr="00155F80">
        <w:rPr>
          <w:rFonts w:ascii="Times New Roman" w:hAnsi="Times New Roman"/>
        </w:rPr>
        <w:t>(„Službeni glasnik BiH“, broj 88/07),</w:t>
      </w:r>
      <w:r w:rsidRPr="00155F80">
        <w:rPr>
          <w:rFonts w:ascii="Times New Roman" w:hAnsi="Times New Roman"/>
          <w:lang w:val="en-US"/>
        </w:rPr>
        <w:t xml:space="preserve"> i nizom podzakonskih akata uspostavljen je </w:t>
      </w:r>
      <w:r w:rsidR="00CB080B">
        <w:rPr>
          <w:rFonts w:ascii="Times New Roman" w:hAnsi="Times New Roman"/>
          <w:lang w:val="en-US"/>
        </w:rPr>
        <w:t>opšti</w:t>
      </w:r>
      <w:r w:rsidRPr="00155F80">
        <w:rPr>
          <w:rFonts w:ascii="Times New Roman" w:hAnsi="Times New Roman"/>
          <w:lang w:val="en-US"/>
        </w:rPr>
        <w:t xml:space="preserve"> okvir </w:t>
      </w:r>
      <w:r w:rsidR="00512E30">
        <w:rPr>
          <w:rFonts w:ascii="Times New Roman" w:hAnsi="Times New Roman"/>
          <w:lang w:val="en-US"/>
        </w:rPr>
        <w:t>sistem</w:t>
      </w:r>
      <w:r w:rsidR="003605E2">
        <w:rPr>
          <w:rFonts w:ascii="Times New Roman" w:hAnsi="Times New Roman"/>
          <w:lang w:val="en-US"/>
        </w:rPr>
        <w:t>a</w:t>
      </w:r>
      <w:r w:rsidRPr="00155F80">
        <w:rPr>
          <w:rFonts w:ascii="Times New Roman" w:hAnsi="Times New Roman"/>
          <w:lang w:val="en-US"/>
        </w:rPr>
        <w:t xml:space="preserve"> kontrole nad izvorima </w:t>
      </w:r>
      <w:r w:rsidR="003605E2">
        <w:rPr>
          <w:rFonts w:ascii="Times New Roman" w:hAnsi="Times New Roman"/>
          <w:lang w:val="en-US"/>
        </w:rPr>
        <w:t>i</w:t>
      </w:r>
      <w:r w:rsidRPr="00155F80">
        <w:rPr>
          <w:rFonts w:ascii="Times New Roman" w:hAnsi="Times New Roman"/>
          <w:lang w:val="en-US"/>
        </w:rPr>
        <w:t xml:space="preserve">onizirajućeg zračenja i zaštite osoba koje obavljaju djelatnost u zoni </w:t>
      </w:r>
      <w:r w:rsidR="003605E2">
        <w:rPr>
          <w:rFonts w:ascii="Times New Roman" w:hAnsi="Times New Roman"/>
          <w:lang w:val="en-US"/>
        </w:rPr>
        <w:t>i</w:t>
      </w:r>
      <w:r w:rsidRPr="00155F80">
        <w:rPr>
          <w:rFonts w:ascii="Times New Roman" w:hAnsi="Times New Roman"/>
          <w:lang w:val="en-US"/>
        </w:rPr>
        <w:t>onizirajućeg zračenja.</w:t>
      </w:r>
    </w:p>
    <w:p w:rsidR="00A131AD" w:rsidRPr="00155F80" w:rsidRDefault="003605E2" w:rsidP="000C0138">
      <w:pPr>
        <w:autoSpaceDE w:val="0"/>
        <w:autoSpaceDN w:val="0"/>
        <w:adjustRightInd w:val="0"/>
        <w:spacing w:line="276" w:lineRule="auto"/>
        <w:rPr>
          <w:rFonts w:ascii="Times New Roman" w:hAnsi="Times New Roman"/>
          <w:lang w:val="en-US"/>
        </w:rPr>
      </w:pPr>
      <w:r>
        <w:rPr>
          <w:rFonts w:ascii="Times New Roman" w:hAnsi="Times New Roman"/>
          <w:lang w:val="en-US"/>
        </w:rPr>
        <w:t>Radi</w:t>
      </w:r>
      <w:r w:rsidR="00A131AD" w:rsidRPr="00155F80">
        <w:rPr>
          <w:rFonts w:ascii="Times New Roman" w:hAnsi="Times New Roman"/>
          <w:lang w:val="en-US"/>
        </w:rPr>
        <w:t xml:space="preserve"> zaštite profesionalno </w:t>
      </w:r>
      <w:r w:rsidR="00950A64">
        <w:rPr>
          <w:rFonts w:ascii="Times New Roman" w:hAnsi="Times New Roman"/>
          <w:lang w:val="en-US"/>
        </w:rPr>
        <w:t>zaposlen</w:t>
      </w:r>
      <w:r w:rsidR="00A131AD" w:rsidRPr="00155F80">
        <w:rPr>
          <w:rFonts w:ascii="Times New Roman" w:hAnsi="Times New Roman"/>
          <w:lang w:val="en-US"/>
        </w:rPr>
        <w:t xml:space="preserve">ih na radnim mjestima na kojima su izloženi  </w:t>
      </w:r>
      <w:r>
        <w:rPr>
          <w:rFonts w:ascii="Times New Roman" w:hAnsi="Times New Roman"/>
          <w:lang w:val="en-US"/>
        </w:rPr>
        <w:t>i</w:t>
      </w:r>
      <w:r w:rsidR="00A131AD" w:rsidRPr="00155F80">
        <w:rPr>
          <w:rFonts w:ascii="Times New Roman" w:hAnsi="Times New Roman"/>
          <w:lang w:val="en-US"/>
        </w:rPr>
        <w:t xml:space="preserve">onizirajućem zračenju, propisana je kontrola mjera zaštite prostora i izvora zračenja, kao i </w:t>
      </w:r>
      <w:r w:rsidR="00526FD0">
        <w:rPr>
          <w:rFonts w:ascii="Times New Roman" w:hAnsi="Times New Roman"/>
          <w:lang w:val="en-US"/>
        </w:rPr>
        <w:t>lični</w:t>
      </w:r>
      <w:r w:rsidR="00A131AD" w:rsidRPr="00155F80">
        <w:rPr>
          <w:rFonts w:ascii="Times New Roman" w:hAnsi="Times New Roman"/>
          <w:lang w:val="en-US"/>
        </w:rPr>
        <w:t xml:space="preserve"> nadzor nad svakim </w:t>
      </w:r>
      <w:r w:rsidR="00950A64">
        <w:rPr>
          <w:rFonts w:ascii="Times New Roman" w:hAnsi="Times New Roman"/>
          <w:lang w:val="en-US"/>
        </w:rPr>
        <w:t>zaposlen</w:t>
      </w:r>
      <w:r w:rsidR="00A131AD" w:rsidRPr="00155F80">
        <w:rPr>
          <w:rFonts w:ascii="Times New Roman" w:hAnsi="Times New Roman"/>
          <w:lang w:val="en-US"/>
        </w:rPr>
        <w:t xml:space="preserve">ikom koji radi u zoni </w:t>
      </w:r>
      <w:r>
        <w:rPr>
          <w:rFonts w:ascii="Times New Roman" w:hAnsi="Times New Roman"/>
          <w:lang w:val="en-US"/>
        </w:rPr>
        <w:t>i</w:t>
      </w:r>
      <w:r w:rsidR="00A131AD" w:rsidRPr="00155F80">
        <w:rPr>
          <w:rFonts w:ascii="Times New Roman" w:hAnsi="Times New Roman"/>
          <w:lang w:val="en-US"/>
        </w:rPr>
        <w:t xml:space="preserve">onizirajučeg zračenja (dozimetrijski i medicinski nadzor). </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rPr>
        <w:t>Primarna odgovornost za sigurnost izvora je vlasnika izvora.</w:t>
      </w:r>
    </w:p>
    <w:p w:rsidR="00A726E5" w:rsidRPr="00155F80" w:rsidRDefault="00A726E5" w:rsidP="000C0138">
      <w:pPr>
        <w:autoSpaceDE w:val="0"/>
        <w:autoSpaceDN w:val="0"/>
        <w:adjustRightInd w:val="0"/>
        <w:spacing w:line="276" w:lineRule="auto"/>
        <w:rPr>
          <w:rFonts w:ascii="Times New Roman" w:hAnsi="Times New Roman"/>
          <w:b/>
          <w:bCs/>
        </w:rPr>
      </w:pPr>
    </w:p>
    <w:p w:rsidR="00A131AD" w:rsidRDefault="00A131AD" w:rsidP="000C0138">
      <w:pPr>
        <w:autoSpaceDE w:val="0"/>
        <w:autoSpaceDN w:val="0"/>
        <w:adjustRightInd w:val="0"/>
        <w:spacing w:line="276" w:lineRule="auto"/>
        <w:rPr>
          <w:rFonts w:ascii="Times New Roman" w:hAnsi="Times New Roman"/>
          <w:b/>
          <w:bCs/>
        </w:rPr>
      </w:pPr>
      <w:r w:rsidRPr="00155F80">
        <w:rPr>
          <w:rFonts w:ascii="Times New Roman" w:hAnsi="Times New Roman"/>
          <w:b/>
          <w:bCs/>
        </w:rPr>
        <w:t>Uređaji koji proizvode zračenje</w:t>
      </w:r>
    </w:p>
    <w:p w:rsidR="00EB7CC7" w:rsidRPr="00155F80" w:rsidRDefault="00EB7CC7" w:rsidP="000C0138">
      <w:pPr>
        <w:autoSpaceDE w:val="0"/>
        <w:autoSpaceDN w:val="0"/>
        <w:adjustRightInd w:val="0"/>
        <w:spacing w:line="276" w:lineRule="auto"/>
        <w:rPr>
          <w:rFonts w:ascii="Times New Roman" w:hAnsi="Times New Roman"/>
          <w:b/>
          <w:bCs/>
        </w:rPr>
      </w:pPr>
    </w:p>
    <w:p w:rsidR="00A131AD" w:rsidRPr="00155F80" w:rsidRDefault="00A131AD" w:rsidP="000C0138">
      <w:pPr>
        <w:spacing w:line="276" w:lineRule="auto"/>
        <w:rPr>
          <w:rFonts w:ascii="Times New Roman" w:hAnsi="Times New Roman"/>
          <w:lang w:val="en-US"/>
        </w:rPr>
      </w:pPr>
      <w:r w:rsidRPr="00155F80">
        <w:rPr>
          <w:rFonts w:ascii="Times New Roman" w:hAnsi="Times New Roman"/>
        </w:rPr>
        <w:t xml:space="preserve">Državna regulatorna agencija za radijacijsku i nuklearnu sigurnost (DRARNS,) u okviru svoje </w:t>
      </w:r>
      <w:r w:rsidR="002B489B">
        <w:rPr>
          <w:rFonts w:ascii="Times New Roman" w:hAnsi="Times New Roman"/>
        </w:rPr>
        <w:t>redovne</w:t>
      </w:r>
      <w:r w:rsidRPr="00155F80">
        <w:rPr>
          <w:rFonts w:ascii="Times New Roman" w:hAnsi="Times New Roman"/>
        </w:rPr>
        <w:t xml:space="preserve"> aktivnosti, obavlja autorizaciju djelatnosti sa izvorima </w:t>
      </w:r>
      <w:r w:rsidR="00AE4AED">
        <w:rPr>
          <w:rFonts w:ascii="Times New Roman" w:hAnsi="Times New Roman"/>
        </w:rPr>
        <w:t>i</w:t>
      </w:r>
      <w:r w:rsidRPr="00155F80">
        <w:rPr>
          <w:rFonts w:ascii="Times New Roman" w:hAnsi="Times New Roman"/>
        </w:rPr>
        <w:t xml:space="preserve">onizirajućeg zračenja, tj. postupak notifikacije i autorizacije djelatnosti sa izvorima </w:t>
      </w:r>
      <w:r w:rsidR="00AE4AED">
        <w:rPr>
          <w:rFonts w:ascii="Times New Roman" w:hAnsi="Times New Roman"/>
        </w:rPr>
        <w:t>i</w:t>
      </w:r>
      <w:r w:rsidRPr="00155F80">
        <w:rPr>
          <w:rFonts w:ascii="Times New Roman" w:hAnsi="Times New Roman"/>
        </w:rPr>
        <w:t xml:space="preserve">onizirajućeg zračenja </w:t>
      </w:r>
      <w:r w:rsidR="00526FD0">
        <w:rPr>
          <w:rFonts w:ascii="Times New Roman" w:hAnsi="Times New Roman"/>
        </w:rPr>
        <w:t>u skladu sa</w:t>
      </w:r>
      <w:r w:rsidRPr="00155F80">
        <w:rPr>
          <w:rFonts w:ascii="Times New Roman" w:hAnsi="Times New Roman"/>
        </w:rPr>
        <w:t xml:space="preserve"> Pravilnik</w:t>
      </w:r>
      <w:r w:rsidR="00526FD0">
        <w:rPr>
          <w:rFonts w:ascii="Times New Roman" w:hAnsi="Times New Roman"/>
        </w:rPr>
        <w:t>om</w:t>
      </w:r>
      <w:r w:rsidRPr="00155F80">
        <w:rPr>
          <w:rFonts w:ascii="Times New Roman" w:hAnsi="Times New Roman"/>
        </w:rPr>
        <w:t xml:space="preserve"> o notifikaciji i autorizaciji djelatnosti sa izvorima </w:t>
      </w:r>
      <w:r w:rsidR="00AE4AED">
        <w:rPr>
          <w:rFonts w:ascii="Times New Roman" w:hAnsi="Times New Roman"/>
        </w:rPr>
        <w:t>i</w:t>
      </w:r>
      <w:r w:rsidRPr="00155F80">
        <w:rPr>
          <w:rFonts w:ascii="Times New Roman" w:hAnsi="Times New Roman"/>
        </w:rPr>
        <w:t xml:space="preserve">onizirajućeg zračenja  </w:t>
      </w:r>
      <w:r w:rsidRPr="00155F80">
        <w:rPr>
          <w:rFonts w:ascii="Times New Roman" w:hAnsi="Times New Roman"/>
          <w:lang w:val="en-US"/>
        </w:rPr>
        <w:t>("Službeni glasnik BiH" broj 66/10).</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Registar izvora </w:t>
      </w:r>
      <w:r w:rsidR="00AE4AED">
        <w:rPr>
          <w:rFonts w:ascii="Times New Roman" w:hAnsi="Times New Roman"/>
        </w:rPr>
        <w:t>i</w:t>
      </w:r>
      <w:r w:rsidRPr="00155F80">
        <w:rPr>
          <w:rFonts w:ascii="Times New Roman" w:hAnsi="Times New Roman"/>
        </w:rPr>
        <w:t xml:space="preserve">onizirajućeg zračenja treba da se vodi u Državnoj regulatornoj agenciji za radijacijsku i nuklearnu sigurnost. </w:t>
      </w:r>
    </w:p>
    <w:p w:rsidR="00A131AD" w:rsidRPr="00155F80" w:rsidRDefault="002B489B" w:rsidP="000C0138">
      <w:pPr>
        <w:autoSpaceDE w:val="0"/>
        <w:autoSpaceDN w:val="0"/>
        <w:adjustRightInd w:val="0"/>
        <w:spacing w:line="276" w:lineRule="auto"/>
        <w:rPr>
          <w:rFonts w:ascii="Times New Roman" w:hAnsi="Times New Roman"/>
        </w:rPr>
      </w:pPr>
      <w:r>
        <w:rPr>
          <w:rFonts w:ascii="Times New Roman" w:hAnsi="Times New Roman"/>
        </w:rPr>
        <w:t>Na osnovu</w:t>
      </w:r>
      <w:r w:rsidR="00A131AD" w:rsidRPr="00155F80">
        <w:rPr>
          <w:rFonts w:ascii="Times New Roman" w:hAnsi="Times New Roman"/>
        </w:rPr>
        <w:t xml:space="preserve"> dostupnih podataka, procjena je da se u Bosni i Hercegovini  nalazi 1</w:t>
      </w:r>
      <w:r w:rsidR="00AE4AED">
        <w:rPr>
          <w:rFonts w:ascii="Times New Roman" w:hAnsi="Times New Roman"/>
        </w:rPr>
        <w:t>.</w:t>
      </w:r>
      <w:r w:rsidR="00A131AD" w:rsidRPr="00155F80">
        <w:rPr>
          <w:rFonts w:ascii="Times New Roman" w:hAnsi="Times New Roman"/>
        </w:rPr>
        <w:t xml:space="preserve">200 uređaja koji proizvode </w:t>
      </w:r>
      <w:r w:rsidR="00AE4AED">
        <w:rPr>
          <w:rFonts w:ascii="Times New Roman" w:hAnsi="Times New Roman"/>
        </w:rPr>
        <w:t>i</w:t>
      </w:r>
      <w:r w:rsidR="00A131AD" w:rsidRPr="00155F80">
        <w:rPr>
          <w:rFonts w:ascii="Times New Roman" w:hAnsi="Times New Roman"/>
        </w:rPr>
        <w:t xml:space="preserve">onizirajuće zračenje, a od tog broja 68%  se nalazi u Federaciji BiH.  Najveći broj koristi se u zdravstvenim ustanovama. Na </w:t>
      </w:r>
      <w:r w:rsidR="00AE4AED">
        <w:rPr>
          <w:rFonts w:ascii="Times New Roman" w:hAnsi="Times New Roman"/>
        </w:rPr>
        <w:t>temelju</w:t>
      </w:r>
      <w:r w:rsidR="00A131AD" w:rsidRPr="00155F80">
        <w:rPr>
          <w:rFonts w:ascii="Times New Roman" w:hAnsi="Times New Roman"/>
        </w:rPr>
        <w:t xml:space="preserve"> podataka o kontolama za </w:t>
      </w:r>
      <w:r w:rsidR="00F70FD4">
        <w:rPr>
          <w:rFonts w:ascii="Times New Roman" w:hAnsi="Times New Roman"/>
        </w:rPr>
        <w:t>period</w:t>
      </w:r>
      <w:r w:rsidR="00A131AD" w:rsidRPr="00155F80">
        <w:rPr>
          <w:rFonts w:ascii="Times New Roman" w:hAnsi="Times New Roman"/>
        </w:rPr>
        <w:t xml:space="preserve"> 2010.-2015. od prosječno 450 pregledanih uređaja manje od 0,5% nije zadovoljavalo propisane mjere zaštite, i to uglavnom zbog zastarjelosti opreme. </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3819E7">
      <w:pPr>
        <w:autoSpaceDE w:val="0"/>
        <w:autoSpaceDN w:val="0"/>
        <w:adjustRightInd w:val="0"/>
        <w:spacing w:after="240" w:line="276" w:lineRule="auto"/>
        <w:rPr>
          <w:rFonts w:ascii="Times New Roman" w:hAnsi="Times New Roman"/>
          <w:color w:val="339966"/>
        </w:rPr>
      </w:pPr>
      <w:r w:rsidRPr="00155F80">
        <w:rPr>
          <w:rFonts w:ascii="Times New Roman" w:hAnsi="Times New Roman"/>
          <w:b/>
          <w:bCs/>
        </w:rPr>
        <w:t xml:space="preserve">Zaštita </w:t>
      </w:r>
      <w:r w:rsidR="00AE4AED">
        <w:rPr>
          <w:rFonts w:ascii="Times New Roman" w:hAnsi="Times New Roman"/>
          <w:b/>
          <w:bCs/>
        </w:rPr>
        <w:t>osoba</w:t>
      </w:r>
      <w:r w:rsidRPr="00155F80">
        <w:rPr>
          <w:rFonts w:ascii="Times New Roman" w:hAnsi="Times New Roman"/>
          <w:b/>
          <w:bCs/>
        </w:rPr>
        <w:t xml:space="preserve"> profesionalno izloženih </w:t>
      </w:r>
      <w:r w:rsidR="00AE4AED">
        <w:rPr>
          <w:rFonts w:ascii="Times New Roman" w:hAnsi="Times New Roman"/>
          <w:b/>
          <w:bCs/>
        </w:rPr>
        <w:t>i</w:t>
      </w:r>
      <w:r w:rsidRPr="00155F80">
        <w:rPr>
          <w:rFonts w:ascii="Times New Roman" w:hAnsi="Times New Roman"/>
          <w:b/>
          <w:bCs/>
        </w:rPr>
        <w:t>onizirajućem zračenju</w:t>
      </w:r>
    </w:p>
    <w:p w:rsidR="00A131AD" w:rsidRPr="00155F80" w:rsidRDefault="00AE4AED" w:rsidP="000C0138">
      <w:pPr>
        <w:autoSpaceDE w:val="0"/>
        <w:autoSpaceDN w:val="0"/>
        <w:adjustRightInd w:val="0"/>
        <w:spacing w:line="276" w:lineRule="auto"/>
        <w:rPr>
          <w:rFonts w:ascii="Times New Roman" w:hAnsi="Times New Roman"/>
        </w:rPr>
      </w:pPr>
      <w:r>
        <w:rPr>
          <w:rFonts w:ascii="Times New Roman" w:hAnsi="Times New Roman"/>
        </w:rPr>
        <w:t>Osoba</w:t>
      </w:r>
      <w:r w:rsidR="00A131AD" w:rsidRPr="00155F80">
        <w:rPr>
          <w:rFonts w:ascii="Times New Roman" w:hAnsi="Times New Roman"/>
        </w:rPr>
        <w:t xml:space="preserve"> profesionalno izložen</w:t>
      </w:r>
      <w:r>
        <w:rPr>
          <w:rFonts w:ascii="Times New Roman" w:hAnsi="Times New Roman"/>
        </w:rPr>
        <w:t>a</w:t>
      </w:r>
      <w:r w:rsidR="00A131AD" w:rsidRPr="00155F80">
        <w:rPr>
          <w:rFonts w:ascii="Times New Roman" w:hAnsi="Times New Roman"/>
        </w:rPr>
        <w:t xml:space="preserve"> </w:t>
      </w:r>
      <w:r>
        <w:rPr>
          <w:rFonts w:ascii="Times New Roman" w:hAnsi="Times New Roman"/>
        </w:rPr>
        <w:t>i</w:t>
      </w:r>
      <w:r w:rsidR="00A131AD" w:rsidRPr="00155F80">
        <w:rPr>
          <w:rFonts w:ascii="Times New Roman" w:hAnsi="Times New Roman"/>
        </w:rPr>
        <w:t xml:space="preserve">onizirajućem zračenju mora biti podvrgnuta </w:t>
      </w:r>
      <w:r>
        <w:rPr>
          <w:rFonts w:ascii="Times New Roman" w:hAnsi="Times New Roman"/>
        </w:rPr>
        <w:t>osobnoj</w:t>
      </w:r>
      <w:r w:rsidR="00A131AD" w:rsidRPr="00155F80">
        <w:rPr>
          <w:rFonts w:ascii="Times New Roman" w:hAnsi="Times New Roman"/>
        </w:rPr>
        <w:t xml:space="preserve"> dozimetrijskoj kontroli, kao i </w:t>
      </w:r>
      <w:r w:rsidR="002B489B">
        <w:rPr>
          <w:rFonts w:ascii="Times New Roman" w:hAnsi="Times New Roman"/>
        </w:rPr>
        <w:t>redovno</w:t>
      </w:r>
      <w:r w:rsidR="00A131AD" w:rsidRPr="00155F80">
        <w:rPr>
          <w:rFonts w:ascii="Times New Roman" w:hAnsi="Times New Roman"/>
        </w:rPr>
        <w:t xml:space="preserve">m periodičnom zdravstvenom pregledu u ovlaštenim zdravstvenim ustanovama </w:t>
      </w:r>
      <w:r w:rsidR="00526FD0">
        <w:rPr>
          <w:rFonts w:ascii="Times New Roman" w:hAnsi="Times New Roman"/>
        </w:rPr>
        <w:t>u skladu sa</w:t>
      </w:r>
      <w:r w:rsidR="00A131AD" w:rsidRPr="00155F80">
        <w:rPr>
          <w:rFonts w:ascii="Times New Roman" w:hAnsi="Times New Roman"/>
        </w:rPr>
        <w:t xml:space="preserve"> podzakonskim aktima koji </w:t>
      </w:r>
      <w:r w:rsidR="00F0369C">
        <w:rPr>
          <w:rFonts w:ascii="Times New Roman" w:hAnsi="Times New Roman"/>
        </w:rPr>
        <w:t>regulišu</w:t>
      </w:r>
      <w:r w:rsidR="00A131AD" w:rsidRPr="00155F80">
        <w:rPr>
          <w:rFonts w:ascii="Times New Roman" w:hAnsi="Times New Roman"/>
        </w:rPr>
        <w:t xml:space="preserve"> t</w:t>
      </w:r>
      <w:r>
        <w:rPr>
          <w:rFonts w:ascii="Times New Roman" w:hAnsi="Times New Roman"/>
        </w:rPr>
        <w:t>o</w:t>
      </w:r>
      <w:r w:rsidR="00A131AD" w:rsidRPr="00155F80">
        <w:rPr>
          <w:rFonts w:ascii="Times New Roman" w:hAnsi="Times New Roman"/>
        </w:rPr>
        <w:t xml:space="preserve"> </w:t>
      </w:r>
      <w:r>
        <w:rPr>
          <w:rFonts w:ascii="Times New Roman" w:hAnsi="Times New Roman"/>
        </w:rPr>
        <w:t>područje</w:t>
      </w:r>
      <w:r w:rsidR="00A131AD" w:rsidRPr="00155F80">
        <w:rPr>
          <w:rFonts w:ascii="Times New Roman" w:hAnsi="Times New Roman"/>
        </w:rPr>
        <w:t>.</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27028E" w:rsidP="000C0138">
      <w:pPr>
        <w:autoSpaceDE w:val="0"/>
        <w:autoSpaceDN w:val="0"/>
        <w:adjustRightInd w:val="0"/>
        <w:spacing w:line="276" w:lineRule="auto"/>
        <w:rPr>
          <w:rFonts w:ascii="Times New Roman" w:hAnsi="Times New Roman"/>
        </w:rPr>
      </w:pPr>
      <w:r>
        <w:rPr>
          <w:rFonts w:ascii="Times New Roman" w:hAnsi="Times New Roman"/>
          <w:color w:val="000000"/>
          <w:lang w:val="en-US"/>
        </w:rPr>
        <w:t>Nosilac</w:t>
      </w:r>
      <w:r w:rsidR="00A131AD" w:rsidRPr="00155F80">
        <w:rPr>
          <w:rFonts w:ascii="Times New Roman" w:hAnsi="Times New Roman"/>
          <w:color w:val="000000"/>
          <w:lang w:val="en-US"/>
        </w:rPr>
        <w:t xml:space="preserve"> autorizacije </w:t>
      </w:r>
      <w:r w:rsidR="00AE4AED">
        <w:rPr>
          <w:rFonts w:ascii="Times New Roman" w:hAnsi="Times New Roman"/>
          <w:color w:val="000000"/>
          <w:lang w:val="en-US"/>
        </w:rPr>
        <w:t>obavlja</w:t>
      </w:r>
      <w:r w:rsidR="00A131AD" w:rsidRPr="00155F80">
        <w:rPr>
          <w:rFonts w:ascii="Times New Roman" w:hAnsi="Times New Roman"/>
          <w:color w:val="000000"/>
          <w:lang w:val="en-US"/>
        </w:rPr>
        <w:t xml:space="preserve"> kategorizaciju </w:t>
      </w:r>
      <w:r w:rsidR="00950A64">
        <w:rPr>
          <w:rFonts w:ascii="Times New Roman" w:hAnsi="Times New Roman"/>
          <w:color w:val="000000"/>
          <w:lang w:val="en-US"/>
        </w:rPr>
        <w:t>zaposlen</w:t>
      </w:r>
      <w:r w:rsidR="00A131AD" w:rsidRPr="00155F80">
        <w:rPr>
          <w:rFonts w:ascii="Times New Roman" w:hAnsi="Times New Roman"/>
          <w:color w:val="000000"/>
          <w:lang w:val="en-US"/>
        </w:rPr>
        <w:t xml:space="preserve">ih </w:t>
      </w:r>
      <w:r w:rsidR="00AE4AED">
        <w:rPr>
          <w:rFonts w:ascii="Times New Roman" w:hAnsi="Times New Roman"/>
          <w:color w:val="000000"/>
          <w:lang w:val="en-US"/>
        </w:rPr>
        <w:t>osoba</w:t>
      </w:r>
      <w:r w:rsidR="00A131AD" w:rsidRPr="00155F80">
        <w:rPr>
          <w:rFonts w:ascii="Times New Roman" w:hAnsi="Times New Roman"/>
          <w:color w:val="000000"/>
          <w:lang w:val="en-US"/>
        </w:rPr>
        <w:t xml:space="preserve"> profesionalno izloženih </w:t>
      </w:r>
      <w:r w:rsidR="00AE4AED">
        <w:rPr>
          <w:rFonts w:ascii="Times New Roman" w:hAnsi="Times New Roman"/>
          <w:color w:val="000000"/>
          <w:lang w:val="en-US"/>
        </w:rPr>
        <w:t>i</w:t>
      </w:r>
      <w:r w:rsidR="00A131AD" w:rsidRPr="00155F80">
        <w:rPr>
          <w:rFonts w:ascii="Times New Roman" w:hAnsi="Times New Roman"/>
          <w:color w:val="000000"/>
          <w:lang w:val="en-US"/>
        </w:rPr>
        <w:t xml:space="preserve">onizirajućem zračenju u kategorije A i B, </w:t>
      </w:r>
      <w:r w:rsidR="00526FD0">
        <w:rPr>
          <w:rFonts w:ascii="Times New Roman" w:hAnsi="Times New Roman"/>
          <w:color w:val="000000"/>
          <w:lang w:val="en-US"/>
        </w:rPr>
        <w:t>u skladu sa</w:t>
      </w:r>
      <w:r w:rsidR="00A131AD" w:rsidRPr="00155F80">
        <w:rPr>
          <w:rFonts w:ascii="Times New Roman" w:hAnsi="Times New Roman"/>
          <w:color w:val="000000"/>
          <w:lang w:val="en-US"/>
        </w:rPr>
        <w:t xml:space="preserve"> „Pravilnik</w:t>
      </w:r>
      <w:r w:rsidR="00526FD0">
        <w:rPr>
          <w:rFonts w:ascii="Times New Roman" w:hAnsi="Times New Roman"/>
          <w:color w:val="000000"/>
          <w:lang w:val="en-US"/>
        </w:rPr>
        <w:t>om</w:t>
      </w:r>
      <w:r w:rsidR="00A131AD" w:rsidRPr="00155F80">
        <w:rPr>
          <w:rFonts w:ascii="Times New Roman" w:hAnsi="Times New Roman"/>
          <w:color w:val="000000"/>
          <w:lang w:val="en-US"/>
        </w:rPr>
        <w:t xml:space="preserve"> o zaštiti od zračenja kod profesionalne ekspozicije i ekspozicije stanovništva“, a </w:t>
      </w:r>
      <w:r w:rsidR="00AE4AED">
        <w:rPr>
          <w:rFonts w:ascii="Times New Roman" w:hAnsi="Times New Roman"/>
          <w:color w:val="000000"/>
          <w:lang w:val="en-US"/>
        </w:rPr>
        <w:t>radi</w:t>
      </w:r>
      <w:r w:rsidR="00A131AD" w:rsidRPr="00155F80">
        <w:rPr>
          <w:rFonts w:ascii="Times New Roman" w:hAnsi="Times New Roman"/>
          <w:color w:val="000000"/>
          <w:lang w:val="en-US"/>
        </w:rPr>
        <w:t xml:space="preserve"> </w:t>
      </w:r>
      <w:r w:rsidR="00526FD0">
        <w:rPr>
          <w:rFonts w:ascii="Times New Roman" w:hAnsi="Times New Roman"/>
          <w:color w:val="000000"/>
          <w:lang w:val="en-US"/>
        </w:rPr>
        <w:t>ličnog</w:t>
      </w:r>
      <w:r w:rsidR="00A131AD" w:rsidRPr="00155F80">
        <w:rPr>
          <w:rFonts w:ascii="Times New Roman" w:hAnsi="Times New Roman"/>
          <w:color w:val="000000"/>
          <w:lang w:val="en-US"/>
        </w:rPr>
        <w:t xml:space="preserve"> dozimetrijskog nadzora i zdravstvene kontrole.</w:t>
      </w:r>
    </w:p>
    <w:p w:rsidR="00A131AD" w:rsidRPr="00155F80" w:rsidRDefault="00A131AD" w:rsidP="000C0138">
      <w:pPr>
        <w:autoSpaceDE w:val="0"/>
        <w:autoSpaceDN w:val="0"/>
        <w:adjustRightInd w:val="0"/>
        <w:spacing w:line="276" w:lineRule="auto"/>
        <w:rPr>
          <w:rFonts w:ascii="Times New Roman" w:hAnsi="Times New Roman"/>
          <w:b/>
          <w:bCs/>
        </w:rPr>
      </w:pPr>
    </w:p>
    <w:p w:rsidR="00874E9B" w:rsidRDefault="00874E9B">
      <w:pPr>
        <w:spacing w:after="160" w:line="259" w:lineRule="auto"/>
        <w:jc w:val="left"/>
        <w:rPr>
          <w:rFonts w:ascii="Times New Roman" w:hAnsi="Times New Roman"/>
          <w:b/>
          <w:bCs/>
        </w:rPr>
      </w:pPr>
      <w:r>
        <w:rPr>
          <w:rFonts w:ascii="Times New Roman" w:hAnsi="Times New Roman"/>
          <w:b/>
          <w:bCs/>
        </w:rPr>
        <w:br w:type="page"/>
      </w:r>
    </w:p>
    <w:p w:rsidR="00A131AD" w:rsidRPr="00155F80" w:rsidRDefault="00AE4AED" w:rsidP="003819E7">
      <w:pPr>
        <w:autoSpaceDE w:val="0"/>
        <w:autoSpaceDN w:val="0"/>
        <w:adjustRightInd w:val="0"/>
        <w:spacing w:after="240" w:line="276" w:lineRule="auto"/>
        <w:rPr>
          <w:rFonts w:ascii="Times New Roman" w:hAnsi="Times New Roman"/>
          <w:b/>
          <w:bCs/>
        </w:rPr>
      </w:pPr>
      <w:r>
        <w:rPr>
          <w:rFonts w:ascii="Times New Roman" w:hAnsi="Times New Roman"/>
          <w:b/>
          <w:bCs/>
        </w:rPr>
        <w:t>Osobna</w:t>
      </w:r>
      <w:r w:rsidR="00A131AD" w:rsidRPr="00155F80">
        <w:rPr>
          <w:rFonts w:ascii="Times New Roman" w:hAnsi="Times New Roman"/>
          <w:b/>
          <w:bCs/>
        </w:rPr>
        <w:t xml:space="preserve"> dozimetrijska kontrola </w:t>
      </w:r>
      <w:r>
        <w:rPr>
          <w:rFonts w:ascii="Times New Roman" w:hAnsi="Times New Roman"/>
          <w:b/>
          <w:bCs/>
        </w:rPr>
        <w:t>osoba</w:t>
      </w:r>
      <w:r w:rsidR="00A131AD" w:rsidRPr="00155F80">
        <w:rPr>
          <w:rFonts w:ascii="Times New Roman" w:hAnsi="Times New Roman"/>
          <w:b/>
          <w:bCs/>
        </w:rPr>
        <w:t xml:space="preserve"> profesionalno izloženih </w:t>
      </w:r>
      <w:r>
        <w:rPr>
          <w:rFonts w:ascii="Times New Roman" w:hAnsi="Times New Roman"/>
          <w:b/>
          <w:bCs/>
        </w:rPr>
        <w:t>i</w:t>
      </w:r>
      <w:r w:rsidR="00A131AD" w:rsidRPr="00155F80">
        <w:rPr>
          <w:rFonts w:ascii="Times New Roman" w:hAnsi="Times New Roman"/>
          <w:b/>
          <w:bCs/>
        </w:rPr>
        <w:t>onizirajućem zračenju</w:t>
      </w:r>
    </w:p>
    <w:p w:rsidR="00A131AD" w:rsidRPr="00155F80" w:rsidRDefault="00AE4AED" w:rsidP="000C0138">
      <w:pPr>
        <w:autoSpaceDE w:val="0"/>
        <w:autoSpaceDN w:val="0"/>
        <w:adjustRightInd w:val="0"/>
        <w:spacing w:line="276" w:lineRule="auto"/>
        <w:rPr>
          <w:rFonts w:ascii="Times New Roman" w:hAnsi="Times New Roman"/>
          <w:color w:val="000000"/>
          <w:lang w:val="en-US"/>
        </w:rPr>
      </w:pPr>
      <w:r>
        <w:rPr>
          <w:rFonts w:ascii="Times New Roman" w:hAnsi="Times New Roman"/>
          <w:color w:val="000000"/>
          <w:lang w:val="en-US"/>
        </w:rPr>
        <w:t>Osobna</w:t>
      </w:r>
      <w:r w:rsidR="00A131AD" w:rsidRPr="00155F80">
        <w:rPr>
          <w:rFonts w:ascii="Times New Roman" w:hAnsi="Times New Roman"/>
          <w:color w:val="000000"/>
          <w:lang w:val="en-US"/>
        </w:rPr>
        <w:t xml:space="preserve"> dozimetrijska kontrola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obavlja se </w:t>
      </w:r>
      <w:r w:rsidR="00526FD0">
        <w:rPr>
          <w:rFonts w:ascii="Times New Roman" w:hAnsi="Times New Roman"/>
          <w:color w:val="000000"/>
          <w:lang w:val="en-US"/>
        </w:rPr>
        <w:t>u skladu sa</w:t>
      </w:r>
      <w:r w:rsidR="00A131AD" w:rsidRPr="00155F80">
        <w:rPr>
          <w:rFonts w:ascii="Times New Roman" w:hAnsi="Times New Roman"/>
          <w:color w:val="000000"/>
          <w:lang w:val="en-US"/>
        </w:rPr>
        <w:t xml:space="preserve"> „Pravilnik</w:t>
      </w:r>
      <w:r w:rsidR="0027028E">
        <w:rPr>
          <w:rFonts w:ascii="Times New Roman" w:hAnsi="Times New Roman"/>
          <w:color w:val="000000"/>
          <w:lang w:val="en-US"/>
        </w:rPr>
        <w:t>om</w:t>
      </w:r>
      <w:r w:rsidR="00A131AD" w:rsidRPr="00155F80">
        <w:rPr>
          <w:rFonts w:ascii="Times New Roman" w:hAnsi="Times New Roman"/>
          <w:color w:val="000000"/>
          <w:lang w:val="en-US"/>
        </w:rPr>
        <w:t xml:space="preserve"> o zaštiti od zračenja kod profesionalne ekspozicije i ekspozicije stanovništva“. </w:t>
      </w:r>
      <w:r w:rsidR="00CB080B">
        <w:rPr>
          <w:rFonts w:ascii="Times New Roman" w:hAnsi="Times New Roman"/>
          <w:color w:val="000000"/>
          <w:lang w:val="en-US"/>
        </w:rPr>
        <w:t>Stepen</w:t>
      </w:r>
      <w:r w:rsidR="00A131AD" w:rsidRPr="00155F80">
        <w:rPr>
          <w:rFonts w:ascii="Times New Roman" w:hAnsi="Times New Roman"/>
          <w:color w:val="000000"/>
          <w:lang w:val="en-US"/>
        </w:rPr>
        <w:t xml:space="preserve"> vanjske ekspozicije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kategorija A i B mjeri se pasivnim termoluminiscentnim </w:t>
      </w:r>
      <w:r w:rsidR="00526FD0">
        <w:rPr>
          <w:rFonts w:ascii="Times New Roman" w:hAnsi="Times New Roman"/>
          <w:color w:val="000000"/>
          <w:lang w:val="en-US"/>
        </w:rPr>
        <w:t>lični</w:t>
      </w:r>
      <w:r>
        <w:rPr>
          <w:rFonts w:ascii="Times New Roman" w:hAnsi="Times New Roman"/>
          <w:color w:val="000000"/>
          <w:lang w:val="en-US"/>
        </w:rPr>
        <w:t>m</w:t>
      </w:r>
      <w:r w:rsidR="00A131AD" w:rsidRPr="00155F80">
        <w:rPr>
          <w:rFonts w:ascii="Times New Roman" w:hAnsi="Times New Roman"/>
          <w:color w:val="000000"/>
          <w:lang w:val="en-US"/>
        </w:rPr>
        <w:t xml:space="preserve"> dozimetrima, sa </w:t>
      </w:r>
      <w:r>
        <w:rPr>
          <w:rFonts w:ascii="Times New Roman" w:hAnsi="Times New Roman"/>
          <w:color w:val="000000"/>
          <w:lang w:val="en-US"/>
        </w:rPr>
        <w:t>periodom</w:t>
      </w:r>
      <w:r w:rsidR="00A131AD" w:rsidRPr="00155F80">
        <w:rPr>
          <w:rFonts w:ascii="Times New Roman" w:hAnsi="Times New Roman"/>
          <w:color w:val="000000"/>
          <w:lang w:val="en-US"/>
        </w:rPr>
        <w:t xml:space="preserve"> očitavanja od mjesec dana. </w:t>
      </w:r>
      <w:r>
        <w:rPr>
          <w:rFonts w:ascii="Times New Roman" w:hAnsi="Times New Roman"/>
          <w:color w:val="000000"/>
          <w:lang w:val="en-US"/>
        </w:rPr>
        <w:t>Period</w:t>
      </w:r>
      <w:r w:rsidR="00A131AD" w:rsidRPr="00155F80">
        <w:rPr>
          <w:rFonts w:ascii="Times New Roman" w:hAnsi="Times New Roman"/>
          <w:color w:val="000000"/>
          <w:lang w:val="en-US"/>
        </w:rPr>
        <w:t xml:space="preserve"> očitavanja za kategoriju B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može biti i duže od mjesec dana, ali ne duže od tri mjeseca, o čemu odluku donosi Agencija zavisno od radijacijskog rizika i </w:t>
      </w:r>
      <w:r>
        <w:rPr>
          <w:rFonts w:ascii="Times New Roman" w:hAnsi="Times New Roman"/>
          <w:color w:val="000000"/>
          <w:lang w:val="en-US"/>
        </w:rPr>
        <w:t>složenosti</w:t>
      </w:r>
      <w:r w:rsidR="00A131AD" w:rsidRPr="00155F80">
        <w:rPr>
          <w:rFonts w:ascii="Times New Roman" w:hAnsi="Times New Roman"/>
          <w:color w:val="000000"/>
          <w:lang w:val="en-US"/>
        </w:rPr>
        <w:t xml:space="preserve"> djelatnosti.</w:t>
      </w:r>
    </w:p>
    <w:p w:rsidR="00A131AD" w:rsidRPr="00155F80" w:rsidRDefault="00A131AD" w:rsidP="000C0138">
      <w:pPr>
        <w:autoSpaceDE w:val="0"/>
        <w:autoSpaceDN w:val="0"/>
        <w:adjustRightInd w:val="0"/>
        <w:spacing w:line="276" w:lineRule="auto"/>
        <w:rPr>
          <w:rFonts w:ascii="Times New Roman" w:hAnsi="Times New Roman"/>
          <w:color w:val="000000"/>
          <w:lang w:val="en-US"/>
        </w:rPr>
      </w:pPr>
    </w:p>
    <w:p w:rsidR="00A131AD" w:rsidRPr="00155F80" w:rsidRDefault="00A131AD" w:rsidP="000C0138">
      <w:pPr>
        <w:spacing w:line="276" w:lineRule="auto"/>
        <w:rPr>
          <w:rFonts w:ascii="Times New Roman" w:hAnsi="Times New Roman"/>
        </w:rPr>
      </w:pPr>
      <w:r w:rsidRPr="00155F80">
        <w:rPr>
          <w:rFonts w:ascii="Times New Roman" w:hAnsi="Times New Roman"/>
        </w:rPr>
        <w:t>Dozimetrijska kontrola profesionalne ekspozicije u Bosni i Hercegovini počela je šesdesetih godina XX</w:t>
      </w:r>
      <w:r w:rsidR="00AE4AED">
        <w:rPr>
          <w:rFonts w:ascii="Times New Roman" w:hAnsi="Times New Roman"/>
        </w:rPr>
        <w:t>.</w:t>
      </w:r>
      <w:r w:rsidRPr="00155F80">
        <w:rPr>
          <w:rFonts w:ascii="Times New Roman" w:hAnsi="Times New Roman"/>
        </w:rPr>
        <w:t xml:space="preserve"> </w:t>
      </w:r>
      <w:r w:rsidR="00AE4AED">
        <w:rPr>
          <w:rFonts w:ascii="Times New Roman" w:hAnsi="Times New Roman"/>
        </w:rPr>
        <w:t>stoljeća</w:t>
      </w:r>
      <w:r w:rsidRPr="00155F80">
        <w:rPr>
          <w:rFonts w:ascii="Times New Roman" w:hAnsi="Times New Roman"/>
        </w:rPr>
        <w:t xml:space="preserve"> (filmska dozimetrija). Kontrola se nastavlja 1999. godine nakon donacije TLD-čitača i termoluminiscentnih dozimetara od strane IAEA. Do 2013. godine Zavod za javno zdravstvo FBiH je bio jedina institucija u Bosni i Hercegovini koja je pružala ove usluge, uz dobro uspostavljenu bazu podataka dozimetrijske kontrole</w:t>
      </w:r>
      <w:r w:rsidR="00AE4AED">
        <w:rPr>
          <w:rFonts w:ascii="Times New Roman" w:hAnsi="Times New Roman"/>
        </w:rPr>
        <w:t>.</w:t>
      </w:r>
    </w:p>
    <w:p w:rsidR="00A131AD" w:rsidRPr="00155F80" w:rsidRDefault="00A131AD" w:rsidP="000C0138">
      <w:pPr>
        <w:autoSpaceDE w:val="0"/>
        <w:autoSpaceDN w:val="0"/>
        <w:adjustRightInd w:val="0"/>
        <w:spacing w:line="276" w:lineRule="auto"/>
        <w:rPr>
          <w:rFonts w:ascii="Times New Roman" w:hAnsi="Times New Roman"/>
          <w:lang w:val="en-US"/>
        </w:rPr>
      </w:pPr>
    </w:p>
    <w:p w:rsidR="00A131AD"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lang w:val="en-US"/>
        </w:rPr>
        <w:t xml:space="preserve">U proteklom </w:t>
      </w:r>
      <w:r w:rsidR="00F70FD4">
        <w:rPr>
          <w:rFonts w:ascii="Times New Roman" w:hAnsi="Times New Roman"/>
          <w:lang w:val="en-US"/>
        </w:rPr>
        <w:t>periodu</w:t>
      </w:r>
      <w:r w:rsidR="00AE4AED">
        <w:rPr>
          <w:rFonts w:ascii="Times New Roman" w:hAnsi="Times New Roman"/>
          <w:lang w:val="en-US"/>
        </w:rPr>
        <w:t xml:space="preserve"> </w:t>
      </w:r>
      <w:r w:rsidRPr="00155F80">
        <w:rPr>
          <w:rFonts w:ascii="Times New Roman" w:hAnsi="Times New Roman"/>
          <w:lang w:val="en-US"/>
        </w:rPr>
        <w:t>od 2010.</w:t>
      </w:r>
      <w:r w:rsidR="00AE4AED">
        <w:rPr>
          <w:rFonts w:ascii="Times New Roman" w:hAnsi="Times New Roman"/>
          <w:lang w:val="en-US"/>
        </w:rPr>
        <w:t xml:space="preserve"> do </w:t>
      </w:r>
      <w:r w:rsidRPr="00155F80">
        <w:rPr>
          <w:rFonts w:ascii="Times New Roman" w:hAnsi="Times New Roman"/>
          <w:lang w:val="en-US"/>
        </w:rPr>
        <w:t>2015. godine nije bilo od</w:t>
      </w:r>
      <w:r w:rsidR="00CB080B">
        <w:rPr>
          <w:rFonts w:ascii="Times New Roman" w:hAnsi="Times New Roman"/>
          <w:lang w:val="en-US"/>
        </w:rPr>
        <w:t>stepen</w:t>
      </w:r>
      <w:r w:rsidRPr="00155F80">
        <w:rPr>
          <w:rFonts w:ascii="Times New Roman" w:hAnsi="Times New Roman"/>
          <w:lang w:val="en-US"/>
        </w:rPr>
        <w:t xml:space="preserve">a od maksimalno dozvoljene granice efektivne doze za </w:t>
      </w:r>
      <w:r w:rsidR="00AE4AED">
        <w:rPr>
          <w:rFonts w:ascii="Times New Roman" w:hAnsi="Times New Roman"/>
          <w:lang w:val="en-US"/>
        </w:rPr>
        <w:t>osobe</w:t>
      </w:r>
      <w:r w:rsidRPr="00155F80">
        <w:rPr>
          <w:rFonts w:ascii="Times New Roman" w:hAnsi="Times New Roman"/>
          <w:lang w:val="en-US"/>
        </w:rPr>
        <w:t xml:space="preserve"> profesionalno izložen</w:t>
      </w:r>
      <w:r w:rsidR="00AE4AED">
        <w:rPr>
          <w:rFonts w:ascii="Times New Roman" w:hAnsi="Times New Roman"/>
          <w:lang w:val="en-US"/>
        </w:rPr>
        <w:t>e</w:t>
      </w:r>
      <w:r w:rsidRPr="00155F80">
        <w:rPr>
          <w:rFonts w:ascii="Times New Roman" w:hAnsi="Times New Roman"/>
          <w:lang w:val="en-US"/>
        </w:rPr>
        <w:t xml:space="preserve"> </w:t>
      </w:r>
      <w:r w:rsidR="00AE4AED">
        <w:rPr>
          <w:rFonts w:ascii="Times New Roman" w:hAnsi="Times New Roman"/>
          <w:lang w:val="en-US"/>
        </w:rPr>
        <w:t>i</w:t>
      </w:r>
      <w:r w:rsidRPr="00155F80">
        <w:rPr>
          <w:rFonts w:ascii="Times New Roman" w:hAnsi="Times New Roman"/>
          <w:lang w:val="en-US"/>
        </w:rPr>
        <w:t xml:space="preserve">onizirajućem zračenju (20 mSv/god), a </w:t>
      </w:r>
      <w:r w:rsidRPr="00155F80">
        <w:rPr>
          <w:rFonts w:ascii="Times New Roman" w:hAnsi="Times New Roman"/>
        </w:rPr>
        <w:t xml:space="preserve">rezultati su prezentirani u </w:t>
      </w:r>
      <w:r w:rsidR="00F0369C">
        <w:rPr>
          <w:rFonts w:ascii="Times New Roman" w:hAnsi="Times New Roman"/>
        </w:rPr>
        <w:t>tabeli</w:t>
      </w:r>
      <w:r w:rsidRPr="00155F80">
        <w:rPr>
          <w:rFonts w:ascii="Times New Roman" w:hAnsi="Times New Roman"/>
        </w:rPr>
        <w:t xml:space="preserve"> koja slijedi.</w:t>
      </w:r>
    </w:p>
    <w:p w:rsidR="00834139" w:rsidRDefault="00834139" w:rsidP="000C0138">
      <w:pPr>
        <w:autoSpaceDE w:val="0"/>
        <w:autoSpaceDN w:val="0"/>
        <w:adjustRightInd w:val="0"/>
        <w:spacing w:line="276" w:lineRule="auto"/>
        <w:rPr>
          <w:rFonts w:ascii="Times New Roman" w:hAnsi="Times New Roman"/>
        </w:rPr>
      </w:pPr>
    </w:p>
    <w:p w:rsidR="00A131AD" w:rsidRPr="00155F80" w:rsidRDefault="00A80006" w:rsidP="00EB7CC7">
      <w:pPr>
        <w:pStyle w:val="refererere"/>
        <w:rPr>
          <w:lang w:val="en-US"/>
        </w:rPr>
      </w:pPr>
      <w:r>
        <w:t>Tabela</w:t>
      </w:r>
      <w:r w:rsidR="00A131AD" w:rsidRPr="00155F80">
        <w:t xml:space="preserve"> 12: Pregled </w:t>
      </w:r>
      <w:r w:rsidR="00950A64">
        <w:t>zaposlen</w:t>
      </w:r>
      <w:r w:rsidR="00A131AD" w:rsidRPr="00155F80">
        <w:t xml:space="preserve">ika prema primljenoj dozi za </w:t>
      </w:r>
      <w:r w:rsidR="00F70FD4">
        <w:t>period</w:t>
      </w:r>
      <w:r w:rsidR="00A131AD" w:rsidRPr="00155F80">
        <w:t xml:space="preserve"> 2010.-</w:t>
      </w:r>
      <w:smartTag w:uri="urn:schemas-microsoft-com:office:smarttags" w:element="metricconverter">
        <w:smartTagPr>
          <w:attr w:name="ProductID" w:val="2015. g"/>
        </w:smartTagPr>
        <w:r w:rsidR="00A131AD" w:rsidRPr="00155F80">
          <w:t>2015. g</w:t>
        </w:r>
      </w:smartTag>
      <w:r w:rsidR="00A131AD" w:rsidRPr="00155F80">
        <w:t>odina</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30"/>
        <w:gridCol w:w="350"/>
        <w:gridCol w:w="716"/>
        <w:gridCol w:w="716"/>
        <w:gridCol w:w="717"/>
        <w:gridCol w:w="716"/>
        <w:gridCol w:w="716"/>
        <w:gridCol w:w="717"/>
        <w:gridCol w:w="716"/>
        <w:gridCol w:w="716"/>
        <w:gridCol w:w="717"/>
        <w:gridCol w:w="716"/>
        <w:gridCol w:w="717"/>
      </w:tblGrid>
      <w:tr w:rsidR="00A131AD" w:rsidRPr="00BE0521" w:rsidTr="00B560D0">
        <w:trPr>
          <w:cantSplit/>
          <w:trHeight w:val="322"/>
        </w:trPr>
        <w:tc>
          <w:tcPr>
            <w:tcW w:w="980" w:type="dxa"/>
            <w:gridSpan w:val="2"/>
            <w:vMerge w:val="restart"/>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bCs/>
                <w:color w:val="000000" w:themeColor="text1"/>
              </w:rPr>
            </w:pPr>
            <w:r w:rsidRPr="00BE0521">
              <w:rPr>
                <w:rFonts w:ascii="Times New Roman" w:hAnsi="Times New Roman"/>
                <w:b/>
                <w:bCs/>
                <w:color w:val="000000" w:themeColor="text1"/>
              </w:rPr>
              <w:t>Godine</w:t>
            </w:r>
          </w:p>
        </w:tc>
        <w:tc>
          <w:tcPr>
            <w:tcW w:w="7163" w:type="dxa"/>
            <w:gridSpan w:val="10"/>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rPr>
              <w:t>Godišnja doza</w:t>
            </w:r>
            <w:r w:rsidRPr="00BE0521">
              <w:rPr>
                <w:rFonts w:ascii="Times New Roman" w:hAnsi="Times New Roman"/>
                <w:b/>
                <w:bCs/>
                <w:color w:val="000000" w:themeColor="text1"/>
                <w:sz w:val="20"/>
                <w:szCs w:val="20"/>
              </w:rPr>
              <w:t xml:space="preserve"> (mSv)</w:t>
            </w:r>
          </w:p>
        </w:tc>
        <w:tc>
          <w:tcPr>
            <w:tcW w:w="717" w:type="dxa"/>
            <w:vMerge w:val="restart"/>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Ukupan broj korisnika</w:t>
            </w:r>
          </w:p>
        </w:tc>
      </w:tr>
      <w:tr w:rsidR="00A131AD" w:rsidRPr="00BE0521" w:rsidTr="00B560D0">
        <w:trPr>
          <w:trHeight w:val="980"/>
        </w:trPr>
        <w:tc>
          <w:tcPr>
            <w:tcW w:w="980" w:type="dxa"/>
            <w:gridSpan w:val="2"/>
            <w:vMerge/>
            <w:shd w:val="clear" w:color="auto" w:fill="E7E6E6" w:themeFill="background2"/>
            <w:vAlign w:val="center"/>
          </w:tcPr>
          <w:p w:rsidR="00A131AD" w:rsidRPr="00BE0521" w:rsidRDefault="00A131AD" w:rsidP="000C0138">
            <w:pPr>
              <w:autoSpaceDE w:val="0"/>
              <w:autoSpaceDN w:val="0"/>
              <w:adjustRightInd w:val="0"/>
              <w:spacing w:line="276" w:lineRule="auto"/>
              <w:rPr>
                <w:rFonts w:ascii="Times New Roman" w:hAnsi="Times New Roman"/>
                <w:b/>
                <w:bCs/>
                <w:color w:val="000000" w:themeColor="text1"/>
              </w:rPr>
            </w:pP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&lt;0,99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1,0-1,99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2,0-2,99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3,0-3,99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4,0-4,99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5,0-5,99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6,0-6,99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7,0-7,99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8,0-8,99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10,0-15,99</w:t>
            </w:r>
          </w:p>
        </w:tc>
        <w:tc>
          <w:tcPr>
            <w:tcW w:w="717" w:type="dxa"/>
            <w:vMerge/>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0C0138">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2010.</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1355</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37</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11</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0C0138">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1406</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0C0138">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96,37</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2,63</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0,78</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0C0138">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2011.</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1400</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1435</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97,56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1,88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0,14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2012.</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1415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1437</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98,47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0,97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0,56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2013.</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1416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1436</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98,61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1,18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2014.</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1445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1460</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r w:rsidRPr="00BE0521">
              <w:rPr>
                <w:rFonts w:ascii="Times New Roman" w:hAnsi="Times New Roman"/>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98,97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0,82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0,21</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2015.</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1454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3</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1487</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r w:rsidRPr="00BE0521">
              <w:rPr>
                <w:rFonts w:ascii="Times New Roman" w:hAnsi="Times New Roman"/>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97,78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0,34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0,20</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bl>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Od ukupnog broja </w:t>
      </w:r>
      <w:r w:rsidR="00950A64">
        <w:rPr>
          <w:rFonts w:ascii="Times New Roman" w:hAnsi="Times New Roman"/>
        </w:rPr>
        <w:t>zaposlen</w:t>
      </w:r>
      <w:r w:rsidRPr="00155F80">
        <w:rPr>
          <w:rFonts w:ascii="Times New Roman" w:hAnsi="Times New Roman"/>
        </w:rPr>
        <w:t xml:space="preserve">ika, više od 97% je primilo godišnju dozu manju od 1 mSv, što je na </w:t>
      </w:r>
      <w:r w:rsidR="002B489B">
        <w:rPr>
          <w:rFonts w:ascii="Times New Roman" w:hAnsi="Times New Roman"/>
        </w:rPr>
        <w:t>nivou</w:t>
      </w:r>
      <w:r w:rsidRPr="00155F80">
        <w:rPr>
          <w:rFonts w:ascii="Times New Roman" w:hAnsi="Times New Roman"/>
        </w:rPr>
        <w:t xml:space="preserve"> dozvoljenih vrijednosti za stanovništvo. U proteklom </w:t>
      </w:r>
      <w:r w:rsidR="00F70FD4">
        <w:rPr>
          <w:rFonts w:ascii="Times New Roman" w:hAnsi="Times New Roman"/>
        </w:rPr>
        <w:t>periodu</w:t>
      </w:r>
      <w:r w:rsidRPr="00155F80">
        <w:rPr>
          <w:rFonts w:ascii="Times New Roman" w:hAnsi="Times New Roman"/>
        </w:rPr>
        <w:t xml:space="preserve"> nijedan </w:t>
      </w:r>
      <w:r w:rsidR="00950A64">
        <w:rPr>
          <w:rFonts w:ascii="Times New Roman" w:hAnsi="Times New Roman"/>
        </w:rPr>
        <w:t>zaposlen</w:t>
      </w:r>
      <w:r w:rsidRPr="00155F80">
        <w:rPr>
          <w:rFonts w:ascii="Times New Roman" w:hAnsi="Times New Roman"/>
        </w:rPr>
        <w:t xml:space="preserve">ik nije primio godišnju dozu veću od 10 mSv. Mali je broj </w:t>
      </w:r>
      <w:r w:rsidR="00BD1A28">
        <w:rPr>
          <w:rFonts w:ascii="Times New Roman" w:hAnsi="Times New Roman"/>
        </w:rPr>
        <w:t>osoba</w:t>
      </w:r>
      <w:r w:rsidRPr="00155F80">
        <w:rPr>
          <w:rFonts w:ascii="Times New Roman" w:hAnsi="Times New Roman"/>
        </w:rPr>
        <w:t xml:space="preserve"> sa dozom većom od 2 mSv.</w:t>
      </w:r>
    </w:p>
    <w:p w:rsidR="007A7E4A" w:rsidRDefault="00A131AD" w:rsidP="007A7E4A">
      <w:pPr>
        <w:spacing w:line="276" w:lineRule="auto"/>
        <w:rPr>
          <w:rFonts w:ascii="Times New Roman" w:hAnsi="Times New Roman"/>
        </w:rPr>
      </w:pPr>
      <w:r w:rsidRPr="00155F80">
        <w:rPr>
          <w:rFonts w:ascii="Times New Roman" w:hAnsi="Times New Roman"/>
        </w:rPr>
        <w:t xml:space="preserve">Zavisno od djelatnosti variraju i primljene godišnje doze  profesionalne  </w:t>
      </w:r>
      <w:r w:rsidR="00950A64">
        <w:rPr>
          <w:rFonts w:ascii="Times New Roman" w:hAnsi="Times New Roman"/>
        </w:rPr>
        <w:t>zaposlen</w:t>
      </w:r>
      <w:r w:rsidRPr="00155F80">
        <w:rPr>
          <w:rFonts w:ascii="Times New Roman" w:hAnsi="Times New Roman"/>
        </w:rPr>
        <w:t xml:space="preserve">ika i  prezentirane su u  </w:t>
      </w:r>
      <w:r w:rsidR="00F0369C">
        <w:rPr>
          <w:rFonts w:ascii="Times New Roman" w:hAnsi="Times New Roman"/>
        </w:rPr>
        <w:t>tabeli</w:t>
      </w:r>
      <w:r w:rsidRPr="00155F80">
        <w:rPr>
          <w:rFonts w:ascii="Times New Roman" w:hAnsi="Times New Roman"/>
        </w:rPr>
        <w:t xml:space="preserve"> koja slijedi.</w:t>
      </w: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A131AD" w:rsidRPr="00B560D0" w:rsidRDefault="00A80006" w:rsidP="00B560D0">
      <w:pPr>
        <w:pStyle w:val="refererere"/>
        <w:shd w:val="clear" w:color="auto" w:fill="FFFFFF" w:themeFill="background1"/>
        <w:rPr>
          <w:b/>
        </w:rPr>
      </w:pPr>
      <w:r>
        <w:t>Tabela</w:t>
      </w:r>
      <w:r w:rsidR="00A131AD" w:rsidRPr="00155F80">
        <w:t xml:space="preserve"> 13: Pregled kolektivnih doza (mSv) u zavisnosti od djelatnosti za </w:t>
      </w:r>
      <w:r w:rsidR="00F70FD4">
        <w:t>period</w:t>
      </w:r>
      <w:r w:rsidR="00BD1A28">
        <w:t xml:space="preserve"> </w:t>
      </w:r>
      <w:r w:rsidR="00A131AD" w:rsidRPr="00155F80">
        <w:t>2010.-</w:t>
      </w:r>
      <w:smartTag w:uri="urn:schemas-microsoft-com:office:smarttags" w:element="metricconverter">
        <w:smartTagPr>
          <w:attr w:name="ProductID" w:val="2015. g"/>
        </w:smartTagPr>
        <w:r w:rsidR="00A131AD" w:rsidRPr="00155F80">
          <w:t>2015. g</w:t>
        </w:r>
      </w:smartTag>
      <w:r w:rsidR="00A131AD" w:rsidRPr="00155F80">
        <w:t>odina</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30" w:type="dxa"/>
          <w:right w:w="30" w:type="dxa"/>
        </w:tblCellMar>
        <w:tblLook w:val="0000" w:firstRow="0" w:lastRow="0" w:firstColumn="0" w:lastColumn="0" w:noHBand="0" w:noVBand="0"/>
      </w:tblPr>
      <w:tblGrid>
        <w:gridCol w:w="462"/>
        <w:gridCol w:w="1718"/>
        <w:gridCol w:w="865"/>
        <w:gridCol w:w="866"/>
        <w:gridCol w:w="866"/>
        <w:gridCol w:w="866"/>
        <w:gridCol w:w="865"/>
        <w:gridCol w:w="866"/>
        <w:gridCol w:w="866"/>
        <w:gridCol w:w="866"/>
      </w:tblGrid>
      <w:tr w:rsidR="00A06016" w:rsidRPr="0070527E" w:rsidTr="0070527E">
        <w:trPr>
          <w:cantSplit/>
          <w:trHeight w:val="1562"/>
          <w:jc w:val="center"/>
        </w:trPr>
        <w:tc>
          <w:tcPr>
            <w:tcW w:w="462"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jc w:val="center"/>
              <w:rPr>
                <w:b/>
                <w:color w:val="000000" w:themeColor="text1"/>
                <w:sz w:val="20"/>
                <w:szCs w:val="20"/>
              </w:rPr>
            </w:pPr>
          </w:p>
        </w:tc>
        <w:tc>
          <w:tcPr>
            <w:tcW w:w="1718"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p>
        </w:tc>
        <w:tc>
          <w:tcPr>
            <w:tcW w:w="865"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Dijagnostika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Interventna dijagnostika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Nuklearna medicina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Onkolo</w:t>
            </w:r>
            <w:r w:rsidR="0070527E" w:rsidRPr="0070527E">
              <w:rPr>
                <w:b/>
                <w:color w:val="000000" w:themeColor="text1"/>
                <w:sz w:val="22"/>
                <w:szCs w:val="22"/>
              </w:rPr>
              <w:t>gija</w:t>
            </w:r>
          </w:p>
        </w:tc>
        <w:tc>
          <w:tcPr>
            <w:tcW w:w="865"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Industrija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Stomatologija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Veterina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UKUPNO</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2010</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389,150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75,625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49,125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27,820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60,166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17,985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0,770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620,641</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975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76</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1406</w:t>
            </w:r>
          </w:p>
        </w:tc>
      </w:tr>
      <w:tr w:rsidR="00A06016" w:rsidRPr="0070527E" w:rsidTr="0070527E">
        <w:trPr>
          <w:trHeight w:val="274"/>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b/>
                <w:color w:val="000000" w:themeColor="text1"/>
                <w:sz w:val="22"/>
                <w:szCs w:val="22"/>
              </w:rPr>
            </w:pPr>
            <w:r w:rsidRPr="0070527E">
              <w:rPr>
                <w:b/>
                <w:color w:val="000000" w:themeColor="text1"/>
                <w:sz w:val="22"/>
                <w:szCs w:val="22"/>
              </w:rPr>
              <w:t>Srednja vrijednost</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0,399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0,764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0,571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0,366</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0,519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0,367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0,441</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2011</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311,066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58,530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43,440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20,170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57,910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20,065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0,785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511,966</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78</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1435</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0,316</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0,580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0,517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0,259</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0,471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0,334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0,357</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2012</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122,325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26,145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25,310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8,975</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34,225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227,360</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987</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117</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1437</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0,124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0,100</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0,293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0,163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0,210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0,158</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2013</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158,750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25,650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24,620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13,190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23,712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18,310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0,715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264,947</w:t>
            </w:r>
          </w:p>
        </w:tc>
      </w:tr>
      <w:tr w:rsidR="00A06016" w:rsidRPr="0070527E" w:rsidTr="0070527E">
        <w:trPr>
          <w:cantSplit/>
          <w:trHeight w:val="352"/>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1436</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0,282</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0,133</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0,316</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0,119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0,185</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2014</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149,210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25,545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24,535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12,960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21,78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15,055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250,185</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1488</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0,143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0,255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0,245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0,132</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0,232</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0,307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0,220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0,168</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2015</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242,780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42,620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49,270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17,860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28,360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20,715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403,030</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1065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92</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1497</w:t>
            </w:r>
          </w:p>
        </w:tc>
      </w:tr>
      <w:tr w:rsidR="00A06016" w:rsidRPr="0070527E" w:rsidTr="0070527E">
        <w:trPr>
          <w:trHeight w:val="80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0,228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0,410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0,474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0,194</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0,378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0,398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0,269</w:t>
            </w:r>
          </w:p>
        </w:tc>
      </w:tr>
    </w:tbl>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Očitane vrijednosti efektivne doze su znatno veća za </w:t>
      </w:r>
      <w:r w:rsidR="00BD1A28">
        <w:rPr>
          <w:rFonts w:ascii="Times New Roman" w:hAnsi="Times New Roman"/>
        </w:rPr>
        <w:t>osobe</w:t>
      </w:r>
      <w:r w:rsidRPr="00155F80">
        <w:rPr>
          <w:rFonts w:ascii="Times New Roman" w:hAnsi="Times New Roman"/>
        </w:rPr>
        <w:t xml:space="preserve"> koja rade na nuklearnoj medicini i </w:t>
      </w:r>
      <w:r w:rsidR="00BD1A28">
        <w:rPr>
          <w:rFonts w:ascii="Times New Roman" w:hAnsi="Times New Roman"/>
        </w:rPr>
        <w:t>osobe</w:t>
      </w:r>
      <w:r w:rsidRPr="00155F80">
        <w:rPr>
          <w:rFonts w:ascii="Times New Roman" w:hAnsi="Times New Roman"/>
        </w:rPr>
        <w:t xml:space="preserve"> koj</w:t>
      </w:r>
      <w:r w:rsidR="00BD1A28">
        <w:rPr>
          <w:rFonts w:ascii="Times New Roman" w:hAnsi="Times New Roman"/>
        </w:rPr>
        <w:t>e</w:t>
      </w:r>
      <w:r w:rsidRPr="00155F80">
        <w:rPr>
          <w:rFonts w:ascii="Times New Roman" w:hAnsi="Times New Roman"/>
        </w:rPr>
        <w:t xml:space="preserve"> rade u interventnoj dijagnostici, a uočeno je i da </w:t>
      </w:r>
      <w:r w:rsidR="00950A64">
        <w:rPr>
          <w:rFonts w:ascii="Times New Roman" w:hAnsi="Times New Roman"/>
        </w:rPr>
        <w:t>zaposlen</w:t>
      </w:r>
      <w:r w:rsidRPr="00155F80">
        <w:rPr>
          <w:rFonts w:ascii="Times New Roman" w:hAnsi="Times New Roman"/>
        </w:rPr>
        <w:t xml:space="preserve">ici koji rade u stomatološkim ordinacijama primaju veće doze od očekivanih. Pretpostavka je da se ne poštuju pravila korištenja </w:t>
      </w:r>
      <w:r w:rsidR="00BD1A28">
        <w:rPr>
          <w:rFonts w:ascii="Times New Roman" w:hAnsi="Times New Roman"/>
        </w:rPr>
        <w:t>osobne</w:t>
      </w:r>
      <w:r w:rsidRPr="00155F80">
        <w:rPr>
          <w:rFonts w:ascii="Times New Roman" w:hAnsi="Times New Roman"/>
        </w:rPr>
        <w:t xml:space="preserve"> zaštitne opreme.</w:t>
      </w:r>
    </w:p>
    <w:p w:rsidR="00A131AD" w:rsidRPr="00155F80" w:rsidRDefault="00A131AD" w:rsidP="000C0138">
      <w:pPr>
        <w:spacing w:line="276" w:lineRule="auto"/>
        <w:rPr>
          <w:rFonts w:ascii="Times New Roman" w:hAnsi="Times New Roman"/>
        </w:rPr>
      </w:pPr>
    </w:p>
    <w:p w:rsidR="001628EA" w:rsidRDefault="001628EA" w:rsidP="000C0138">
      <w:pPr>
        <w:autoSpaceDE w:val="0"/>
        <w:autoSpaceDN w:val="0"/>
        <w:adjustRightInd w:val="0"/>
        <w:spacing w:line="276" w:lineRule="auto"/>
        <w:rPr>
          <w:rFonts w:ascii="Times New Roman" w:hAnsi="Times New Roman"/>
          <w:b/>
          <w:bCs/>
        </w:rPr>
      </w:pPr>
    </w:p>
    <w:p w:rsidR="0070527E" w:rsidRDefault="0070527E" w:rsidP="000C0138">
      <w:pPr>
        <w:autoSpaceDE w:val="0"/>
        <w:autoSpaceDN w:val="0"/>
        <w:adjustRightInd w:val="0"/>
        <w:spacing w:line="276" w:lineRule="auto"/>
        <w:rPr>
          <w:rFonts w:ascii="Times New Roman" w:hAnsi="Times New Roman"/>
          <w:b/>
          <w:bCs/>
        </w:rPr>
      </w:pPr>
    </w:p>
    <w:p w:rsidR="001628EA" w:rsidRDefault="001628EA" w:rsidP="000C0138">
      <w:pPr>
        <w:autoSpaceDE w:val="0"/>
        <w:autoSpaceDN w:val="0"/>
        <w:adjustRightInd w:val="0"/>
        <w:spacing w:line="276" w:lineRule="auto"/>
        <w:rPr>
          <w:rFonts w:ascii="Times New Roman" w:hAnsi="Times New Roman"/>
          <w:b/>
          <w:bCs/>
        </w:rPr>
      </w:pPr>
    </w:p>
    <w:p w:rsidR="001628EA" w:rsidRDefault="001628EA" w:rsidP="000C0138">
      <w:pPr>
        <w:autoSpaceDE w:val="0"/>
        <w:autoSpaceDN w:val="0"/>
        <w:adjustRightInd w:val="0"/>
        <w:spacing w:line="276" w:lineRule="auto"/>
        <w:rPr>
          <w:rFonts w:ascii="Times New Roman" w:hAnsi="Times New Roman"/>
          <w:b/>
          <w:bCs/>
        </w:rPr>
      </w:pPr>
    </w:p>
    <w:p w:rsidR="00A131AD" w:rsidRPr="00155F80" w:rsidRDefault="00A131AD" w:rsidP="000C0138">
      <w:pPr>
        <w:autoSpaceDE w:val="0"/>
        <w:autoSpaceDN w:val="0"/>
        <w:adjustRightInd w:val="0"/>
        <w:spacing w:line="276" w:lineRule="auto"/>
        <w:rPr>
          <w:rFonts w:ascii="Times New Roman" w:hAnsi="Times New Roman"/>
          <w:b/>
          <w:bCs/>
        </w:rPr>
      </w:pPr>
      <w:r w:rsidRPr="00155F80">
        <w:rPr>
          <w:rFonts w:ascii="Times New Roman" w:hAnsi="Times New Roman"/>
          <w:b/>
          <w:bCs/>
        </w:rPr>
        <w:t xml:space="preserve">Zdravstvena kontrola profesionalno izloženih radnika </w:t>
      </w:r>
      <w:r w:rsidR="00BD1A28">
        <w:rPr>
          <w:rFonts w:ascii="Times New Roman" w:hAnsi="Times New Roman"/>
          <w:b/>
          <w:bCs/>
        </w:rPr>
        <w:t>i</w:t>
      </w:r>
      <w:r w:rsidRPr="00155F80">
        <w:rPr>
          <w:rFonts w:ascii="Times New Roman" w:hAnsi="Times New Roman"/>
          <w:b/>
          <w:bCs/>
        </w:rPr>
        <w:t>onizirajućem zračenju</w:t>
      </w:r>
    </w:p>
    <w:p w:rsidR="00A131AD" w:rsidRPr="00155F80" w:rsidRDefault="00A131AD" w:rsidP="000C0138">
      <w:pPr>
        <w:autoSpaceDE w:val="0"/>
        <w:autoSpaceDN w:val="0"/>
        <w:adjustRightInd w:val="0"/>
        <w:spacing w:line="276" w:lineRule="auto"/>
        <w:rPr>
          <w:rFonts w:ascii="Times New Roman" w:hAnsi="Times New Roman"/>
          <w:b/>
          <w:bCs/>
        </w:rPr>
      </w:pPr>
    </w:p>
    <w:p w:rsidR="00A131AD" w:rsidRPr="00155F80" w:rsidRDefault="00A131AD" w:rsidP="000C0138">
      <w:pPr>
        <w:spacing w:line="276" w:lineRule="auto"/>
        <w:rPr>
          <w:rFonts w:ascii="Times New Roman" w:hAnsi="Times New Roman"/>
          <w:lang w:val="en-US"/>
        </w:rPr>
      </w:pPr>
      <w:r w:rsidRPr="00155F80">
        <w:rPr>
          <w:rFonts w:ascii="Times New Roman" w:hAnsi="Times New Roman"/>
        </w:rPr>
        <w:t xml:space="preserve">Osim </w:t>
      </w:r>
      <w:r w:rsidR="00BD1A28">
        <w:rPr>
          <w:rFonts w:ascii="Times New Roman" w:hAnsi="Times New Roman"/>
        </w:rPr>
        <w:t>osobne</w:t>
      </w:r>
      <w:r w:rsidRPr="00155F80">
        <w:rPr>
          <w:rFonts w:ascii="Times New Roman" w:hAnsi="Times New Roman"/>
        </w:rPr>
        <w:t xml:space="preserve"> dozimetrijske kontrole </w:t>
      </w:r>
      <w:r w:rsidR="00BD1A28">
        <w:rPr>
          <w:rFonts w:ascii="Times New Roman" w:hAnsi="Times New Roman"/>
        </w:rPr>
        <w:t>radi</w:t>
      </w:r>
      <w:r w:rsidRPr="00155F80">
        <w:rPr>
          <w:rFonts w:ascii="Times New Roman" w:hAnsi="Times New Roman"/>
        </w:rPr>
        <w:t xml:space="preserve"> zaštite od </w:t>
      </w:r>
      <w:r w:rsidR="00BD1A28">
        <w:rPr>
          <w:rFonts w:ascii="Times New Roman" w:hAnsi="Times New Roman"/>
        </w:rPr>
        <w:t>i</w:t>
      </w:r>
      <w:r w:rsidRPr="00155F80">
        <w:rPr>
          <w:rFonts w:ascii="Times New Roman" w:hAnsi="Times New Roman"/>
        </w:rPr>
        <w:t xml:space="preserve">onizirajućeg zračenja, </w:t>
      </w:r>
      <w:r w:rsidR="00BD1A28">
        <w:rPr>
          <w:rFonts w:ascii="Times New Roman" w:hAnsi="Times New Roman"/>
        </w:rPr>
        <w:t>osobe</w:t>
      </w:r>
      <w:r w:rsidRPr="00155F80">
        <w:rPr>
          <w:rFonts w:ascii="Times New Roman" w:hAnsi="Times New Roman"/>
        </w:rPr>
        <w:t xml:space="preserve"> koja rade sa izvorima </w:t>
      </w:r>
      <w:r w:rsidR="00BD1A28">
        <w:rPr>
          <w:rFonts w:ascii="Times New Roman" w:hAnsi="Times New Roman"/>
        </w:rPr>
        <w:t>i</w:t>
      </w:r>
      <w:r w:rsidRPr="00155F80">
        <w:rPr>
          <w:rFonts w:ascii="Times New Roman" w:hAnsi="Times New Roman"/>
        </w:rPr>
        <w:t>onizirajućeg zračenja obavljaju i periodične zdravstvene preglede („Službeni list SFRJ“,br. 40/86), a od polovine 2012. godine prema Pravilniku o autorizaciji pravnih osoba koje obavljaju zdravstvene  preglede i načinu obavljanja zdravstvenih pregleda</w:t>
      </w:r>
      <w:r w:rsidR="0075749A">
        <w:rPr>
          <w:rFonts w:ascii="Times New Roman" w:hAnsi="Times New Roman"/>
        </w:rPr>
        <w:t xml:space="preserve"> osoba profesionalno izloženih </w:t>
      </w:r>
      <w:r w:rsidR="00BD1A28">
        <w:rPr>
          <w:rFonts w:ascii="Times New Roman" w:hAnsi="Times New Roman"/>
        </w:rPr>
        <w:t>i</w:t>
      </w:r>
      <w:r w:rsidRPr="00155F80">
        <w:rPr>
          <w:rFonts w:ascii="Times New Roman" w:hAnsi="Times New Roman"/>
        </w:rPr>
        <w:t xml:space="preserve">onizirajućem zračenju  (,,Službeni  glasnik BiH" broj 25//12), te od 2015. godine </w:t>
      </w:r>
      <w:r w:rsidRPr="00155F80">
        <w:rPr>
          <w:rFonts w:ascii="Times New Roman" w:hAnsi="Times New Roman"/>
          <w:lang w:val="en-US"/>
        </w:rPr>
        <w:t xml:space="preserve">Pravilnik o zdravstvenom nadzoru </w:t>
      </w:r>
      <w:r w:rsidR="00BD1A28">
        <w:rPr>
          <w:rFonts w:ascii="Times New Roman" w:hAnsi="Times New Roman"/>
          <w:lang w:val="en-US"/>
        </w:rPr>
        <w:t>osoba</w:t>
      </w:r>
      <w:r w:rsidRPr="00155F80">
        <w:rPr>
          <w:rFonts w:ascii="Times New Roman" w:hAnsi="Times New Roman"/>
          <w:lang w:val="en-US"/>
        </w:rPr>
        <w:t xml:space="preserve"> profesionalno izloženih </w:t>
      </w:r>
      <w:r w:rsidR="00BD1A28">
        <w:rPr>
          <w:rFonts w:ascii="Times New Roman" w:hAnsi="Times New Roman"/>
          <w:lang w:val="en-US"/>
        </w:rPr>
        <w:t>i</w:t>
      </w:r>
      <w:r w:rsidRPr="00155F80">
        <w:rPr>
          <w:rFonts w:ascii="Times New Roman" w:hAnsi="Times New Roman"/>
          <w:lang w:val="en-US"/>
        </w:rPr>
        <w:t>onizirajuće</w:t>
      </w:r>
      <w:r w:rsidR="00BD1A28">
        <w:rPr>
          <w:rFonts w:ascii="Times New Roman" w:hAnsi="Times New Roman"/>
          <w:lang w:val="en-US"/>
        </w:rPr>
        <w:t>m</w:t>
      </w:r>
      <w:r w:rsidRPr="00155F80">
        <w:rPr>
          <w:rFonts w:ascii="Times New Roman" w:hAnsi="Times New Roman"/>
          <w:lang w:val="en-US"/>
        </w:rPr>
        <w:t xml:space="preserve"> zračenju ("Službeni glasnik BiH" broj 68/15).</w:t>
      </w:r>
    </w:p>
    <w:p w:rsidR="00A131AD" w:rsidRPr="00155F80" w:rsidRDefault="00A131AD" w:rsidP="000C0138">
      <w:pPr>
        <w:spacing w:line="276" w:lineRule="auto"/>
        <w:rPr>
          <w:rFonts w:ascii="Times New Roman" w:hAnsi="Times New Roman"/>
          <w:lang w:val="en-US"/>
        </w:rPr>
      </w:pPr>
      <w:r w:rsidRPr="00155F80">
        <w:rPr>
          <w:rFonts w:ascii="Times New Roman" w:hAnsi="Times New Roman"/>
          <w:lang w:val="en-US"/>
        </w:rPr>
        <w:t>Procjena je da u FBiH ima 1</w:t>
      </w:r>
      <w:r w:rsidR="00BD1A28">
        <w:rPr>
          <w:rFonts w:ascii="Times New Roman" w:hAnsi="Times New Roman"/>
          <w:lang w:val="en-US"/>
        </w:rPr>
        <w:t>.</w:t>
      </w:r>
      <w:r w:rsidRPr="00155F80">
        <w:rPr>
          <w:rFonts w:ascii="Times New Roman" w:hAnsi="Times New Roman"/>
          <w:lang w:val="en-US"/>
        </w:rPr>
        <w:t xml:space="preserve">800 radnika koji rade u zoni </w:t>
      </w:r>
      <w:r w:rsidR="00BD1A28">
        <w:rPr>
          <w:rFonts w:ascii="Times New Roman" w:hAnsi="Times New Roman"/>
          <w:lang w:val="en-US"/>
        </w:rPr>
        <w:t>i</w:t>
      </w:r>
      <w:r w:rsidRPr="00155F80">
        <w:rPr>
          <w:rFonts w:ascii="Times New Roman" w:hAnsi="Times New Roman"/>
          <w:lang w:val="en-US"/>
        </w:rPr>
        <w:t xml:space="preserve">onizirajućeg zračenja. Na </w:t>
      </w:r>
      <w:r w:rsidR="00BD1A28">
        <w:rPr>
          <w:rFonts w:ascii="Times New Roman" w:hAnsi="Times New Roman"/>
          <w:lang w:val="en-US"/>
        </w:rPr>
        <w:t>temelju</w:t>
      </w:r>
      <w:r w:rsidRPr="00155F80">
        <w:rPr>
          <w:rFonts w:ascii="Times New Roman" w:hAnsi="Times New Roman"/>
          <w:lang w:val="en-US"/>
        </w:rPr>
        <w:t xml:space="preserve"> dostupnih  podataka u Grafikon</w:t>
      </w:r>
      <w:r w:rsidR="001628EA">
        <w:rPr>
          <w:rFonts w:ascii="Times New Roman" w:hAnsi="Times New Roman"/>
          <w:lang w:val="en-US"/>
        </w:rPr>
        <w:t>u 54 da</w:t>
      </w:r>
      <w:r w:rsidR="00BD1A28">
        <w:rPr>
          <w:rFonts w:ascii="Times New Roman" w:hAnsi="Times New Roman"/>
          <w:lang w:val="en-US"/>
        </w:rPr>
        <w:t>n</w:t>
      </w:r>
      <w:r w:rsidR="001628EA">
        <w:rPr>
          <w:rFonts w:ascii="Times New Roman" w:hAnsi="Times New Roman"/>
          <w:lang w:val="en-US"/>
        </w:rPr>
        <w:t xml:space="preserve"> je prikaz zdravstvene sposobnosti </w:t>
      </w:r>
      <w:r w:rsidR="00950A64">
        <w:rPr>
          <w:rFonts w:ascii="Times New Roman" w:hAnsi="Times New Roman"/>
          <w:lang w:val="en-US"/>
        </w:rPr>
        <w:t>zaposlen</w:t>
      </w:r>
      <w:r w:rsidRPr="00155F80">
        <w:rPr>
          <w:rFonts w:ascii="Times New Roman" w:hAnsi="Times New Roman"/>
          <w:lang w:val="en-US"/>
        </w:rPr>
        <w:t xml:space="preserve">ika koji rade u zoni </w:t>
      </w:r>
      <w:r w:rsidR="00BD1A28">
        <w:rPr>
          <w:rFonts w:ascii="Times New Roman" w:hAnsi="Times New Roman"/>
          <w:lang w:val="en-US"/>
        </w:rPr>
        <w:t>i</w:t>
      </w:r>
      <w:r w:rsidRPr="00155F80">
        <w:rPr>
          <w:rFonts w:ascii="Times New Roman" w:hAnsi="Times New Roman"/>
          <w:lang w:val="en-US"/>
        </w:rPr>
        <w:t xml:space="preserve">onizirajućeg zračenja. Na </w:t>
      </w:r>
      <w:r w:rsidR="00BD1A28">
        <w:rPr>
          <w:rFonts w:ascii="Times New Roman" w:hAnsi="Times New Roman"/>
          <w:lang w:val="en-US"/>
        </w:rPr>
        <w:t>temelju</w:t>
      </w:r>
      <w:r w:rsidRPr="00155F80">
        <w:rPr>
          <w:rFonts w:ascii="Times New Roman" w:hAnsi="Times New Roman"/>
          <w:lang w:val="en-US"/>
        </w:rPr>
        <w:t xml:space="preserve"> ovog uzorka sa velikim st</w:t>
      </w:r>
      <w:r w:rsidR="00BD1A28">
        <w:rPr>
          <w:rFonts w:ascii="Times New Roman" w:hAnsi="Times New Roman"/>
          <w:lang w:val="en-US"/>
        </w:rPr>
        <w:t>upnjem</w:t>
      </w:r>
      <w:r w:rsidRPr="00155F80">
        <w:rPr>
          <w:rFonts w:ascii="Times New Roman" w:hAnsi="Times New Roman"/>
          <w:lang w:val="en-US"/>
        </w:rPr>
        <w:t xml:space="preserve"> pouzdanosti može se zaključiti da je </w:t>
      </w:r>
      <w:r w:rsidR="00CB080B">
        <w:rPr>
          <w:rFonts w:ascii="Times New Roman" w:hAnsi="Times New Roman"/>
          <w:lang w:val="en-US"/>
        </w:rPr>
        <w:t>stepen</w:t>
      </w:r>
      <w:r w:rsidRPr="00155F80">
        <w:rPr>
          <w:rFonts w:ascii="Times New Roman" w:hAnsi="Times New Roman"/>
          <w:lang w:val="en-US"/>
        </w:rPr>
        <w:t xml:space="preserve"> zaštite od </w:t>
      </w:r>
      <w:r w:rsidR="00BD1A28">
        <w:rPr>
          <w:rFonts w:ascii="Times New Roman" w:hAnsi="Times New Roman"/>
          <w:lang w:val="en-US"/>
        </w:rPr>
        <w:t>i</w:t>
      </w:r>
      <w:r w:rsidRPr="00155F80">
        <w:rPr>
          <w:rFonts w:ascii="Times New Roman" w:hAnsi="Times New Roman"/>
          <w:lang w:val="en-US"/>
        </w:rPr>
        <w:t>onizirajučeg zračenja na visoko</w:t>
      </w:r>
      <w:r w:rsidR="00BD1A28">
        <w:rPr>
          <w:rFonts w:ascii="Times New Roman" w:hAnsi="Times New Roman"/>
          <w:lang w:val="en-US"/>
        </w:rPr>
        <w:t>j</w:t>
      </w:r>
      <w:r w:rsidRPr="00155F80">
        <w:rPr>
          <w:rFonts w:ascii="Times New Roman" w:hAnsi="Times New Roman"/>
          <w:lang w:val="en-US"/>
        </w:rPr>
        <w:t xml:space="preserve"> </w:t>
      </w:r>
      <w:r w:rsidR="002B489B">
        <w:rPr>
          <w:rFonts w:ascii="Times New Roman" w:hAnsi="Times New Roman"/>
          <w:lang w:val="en-US"/>
        </w:rPr>
        <w:t>nivou</w:t>
      </w:r>
      <w:r w:rsidRPr="00155F80">
        <w:rPr>
          <w:rFonts w:ascii="Times New Roman" w:hAnsi="Times New Roman"/>
          <w:lang w:val="en-US"/>
        </w:rPr>
        <w:t xml:space="preserve">, jer je u </w:t>
      </w:r>
      <w:r w:rsidR="00F70FD4">
        <w:rPr>
          <w:rFonts w:ascii="Times New Roman" w:hAnsi="Times New Roman"/>
          <w:lang w:val="en-US"/>
        </w:rPr>
        <w:t>periodu</w:t>
      </w:r>
      <w:r w:rsidRPr="00155F80">
        <w:rPr>
          <w:rFonts w:ascii="Times New Roman" w:hAnsi="Times New Roman"/>
          <w:lang w:val="en-US"/>
        </w:rPr>
        <w:t xml:space="preserve"> 2010.-2015. godine od </w:t>
      </w:r>
      <w:r w:rsidR="00950A64">
        <w:rPr>
          <w:rFonts w:ascii="Times New Roman" w:hAnsi="Times New Roman"/>
          <w:lang w:val="en-US"/>
        </w:rPr>
        <w:t>zaposlen</w:t>
      </w:r>
      <w:r w:rsidRPr="00155F80">
        <w:rPr>
          <w:rFonts w:ascii="Times New Roman" w:hAnsi="Times New Roman"/>
          <w:lang w:val="en-US"/>
        </w:rPr>
        <w:t>ika koji su pristupili zdravstvenom pregledu u kategoriji sp</w:t>
      </w:r>
      <w:r w:rsidR="00526FD0">
        <w:rPr>
          <w:rFonts w:ascii="Times New Roman" w:hAnsi="Times New Roman"/>
          <w:lang w:val="en-US"/>
        </w:rPr>
        <w:t>lični</w:t>
      </w:r>
      <w:r w:rsidRPr="00155F80">
        <w:rPr>
          <w:rFonts w:ascii="Times New Roman" w:hAnsi="Times New Roman"/>
          <w:lang w:val="en-US"/>
        </w:rPr>
        <w:t xml:space="preserve">h </w:t>
      </w:r>
      <w:r w:rsidR="001628EA" w:rsidRPr="00155F80">
        <w:rPr>
          <w:rFonts w:ascii="Times New Roman" w:hAnsi="Times New Roman"/>
          <w:lang w:val="en-US"/>
        </w:rPr>
        <w:t xml:space="preserve">bilo </w:t>
      </w:r>
      <w:r w:rsidRPr="00155F80">
        <w:rPr>
          <w:rFonts w:ascii="Times New Roman" w:hAnsi="Times New Roman"/>
          <w:lang w:val="en-US"/>
        </w:rPr>
        <w:t>96,4%, u kat</w:t>
      </w:r>
      <w:r w:rsidR="001628EA">
        <w:rPr>
          <w:rFonts w:ascii="Times New Roman" w:hAnsi="Times New Roman"/>
          <w:lang w:val="en-US"/>
        </w:rPr>
        <w:t>egoriji uslovno sp</w:t>
      </w:r>
      <w:r w:rsidR="00526FD0">
        <w:rPr>
          <w:rFonts w:ascii="Times New Roman" w:hAnsi="Times New Roman"/>
          <w:lang w:val="en-US"/>
        </w:rPr>
        <w:t>lični</w:t>
      </w:r>
      <w:r w:rsidR="001628EA">
        <w:rPr>
          <w:rFonts w:ascii="Times New Roman" w:hAnsi="Times New Roman"/>
          <w:lang w:val="en-US"/>
        </w:rPr>
        <w:t>h 3,2% i</w:t>
      </w:r>
      <w:r w:rsidRPr="00155F80">
        <w:rPr>
          <w:rFonts w:ascii="Times New Roman" w:hAnsi="Times New Roman"/>
          <w:lang w:val="en-US"/>
        </w:rPr>
        <w:t xml:space="preserve"> u kategoriji nesp</w:t>
      </w:r>
      <w:r w:rsidR="00526FD0">
        <w:rPr>
          <w:rFonts w:ascii="Times New Roman" w:hAnsi="Times New Roman"/>
          <w:lang w:val="en-US"/>
        </w:rPr>
        <w:t>lični</w:t>
      </w:r>
      <w:r w:rsidRPr="00155F80">
        <w:rPr>
          <w:rFonts w:ascii="Times New Roman" w:hAnsi="Times New Roman"/>
          <w:lang w:val="en-US"/>
        </w:rPr>
        <w:t>h 0,4%. Osobe koje su proglašene nesp</w:t>
      </w:r>
      <w:r w:rsidR="00526FD0">
        <w:rPr>
          <w:rFonts w:ascii="Times New Roman" w:hAnsi="Times New Roman"/>
          <w:lang w:val="en-US"/>
        </w:rPr>
        <w:t>lični</w:t>
      </w:r>
      <w:r w:rsidRPr="00155F80">
        <w:rPr>
          <w:rFonts w:ascii="Times New Roman" w:hAnsi="Times New Roman"/>
          <w:lang w:val="en-US"/>
        </w:rPr>
        <w:t xml:space="preserve">m za rad u zoni </w:t>
      </w:r>
      <w:r w:rsidR="00BD1A28">
        <w:rPr>
          <w:rFonts w:ascii="Times New Roman" w:hAnsi="Times New Roman"/>
          <w:lang w:val="en-US"/>
        </w:rPr>
        <w:t>i</w:t>
      </w:r>
      <w:r w:rsidRPr="00155F80">
        <w:rPr>
          <w:rFonts w:ascii="Times New Roman" w:hAnsi="Times New Roman"/>
          <w:lang w:val="en-US"/>
        </w:rPr>
        <w:t xml:space="preserve">onizirajućeg zračenja imale su medicinske kontraindikacije koje nisu prihvatljive za rad i nisu nužno posljedica rada u zoni </w:t>
      </w:r>
      <w:r w:rsidR="00BD1A28">
        <w:rPr>
          <w:rFonts w:ascii="Times New Roman" w:hAnsi="Times New Roman"/>
          <w:lang w:val="en-US"/>
        </w:rPr>
        <w:t>i</w:t>
      </w:r>
      <w:r w:rsidRPr="00155F80">
        <w:rPr>
          <w:rFonts w:ascii="Times New Roman" w:hAnsi="Times New Roman"/>
          <w:lang w:val="en-US"/>
        </w:rPr>
        <w:t xml:space="preserve">onizirajućeg zračenja. </w:t>
      </w:r>
    </w:p>
    <w:p w:rsidR="00A131AD" w:rsidRPr="00155F80" w:rsidRDefault="00A131AD" w:rsidP="000C0138">
      <w:pPr>
        <w:spacing w:line="276" w:lineRule="auto"/>
        <w:rPr>
          <w:rFonts w:ascii="Times New Roman" w:hAnsi="Times New Roman"/>
          <w:lang w:val="en-US"/>
        </w:rPr>
      </w:pPr>
    </w:p>
    <w:p w:rsidR="00A131AD" w:rsidRPr="00155F80" w:rsidRDefault="00A131AD" w:rsidP="00EB7CC7">
      <w:pPr>
        <w:pStyle w:val="refererere"/>
        <w:rPr>
          <w:lang w:val="en-US"/>
        </w:rPr>
      </w:pPr>
      <w:r w:rsidRPr="00155F80">
        <w:rPr>
          <w:lang w:val="en-US"/>
        </w:rPr>
        <w:t xml:space="preserve">Grafikon 54: Procjena zdravstvene sposobnosti </w:t>
      </w:r>
      <w:r w:rsidR="00950A64">
        <w:rPr>
          <w:lang w:val="en-US"/>
        </w:rPr>
        <w:t>zaposlen</w:t>
      </w:r>
      <w:r w:rsidRPr="00155F80">
        <w:rPr>
          <w:lang w:val="en-US"/>
        </w:rPr>
        <w:t xml:space="preserve">ika koji rade u zoni </w:t>
      </w:r>
      <w:r w:rsidR="00BD1A28">
        <w:rPr>
          <w:lang w:val="en-US"/>
        </w:rPr>
        <w:t>i</w:t>
      </w:r>
      <w:r w:rsidRPr="00155F80">
        <w:rPr>
          <w:lang w:val="en-US"/>
        </w:rPr>
        <w:t xml:space="preserve">onizirajućeg zračenja, za </w:t>
      </w:r>
      <w:r w:rsidR="00F70FD4">
        <w:rPr>
          <w:lang w:val="en-US"/>
        </w:rPr>
        <w:t>period</w:t>
      </w:r>
      <w:r w:rsidRPr="00155F80">
        <w:rPr>
          <w:lang w:val="en-US"/>
        </w:rPr>
        <w:t xml:space="preserve"> 2010.-2015. godina</w:t>
      </w:r>
    </w:p>
    <w:p w:rsidR="00A131AD" w:rsidRPr="00155F80" w:rsidRDefault="00A131AD" w:rsidP="000C0138">
      <w:pPr>
        <w:spacing w:line="276" w:lineRule="auto"/>
        <w:rPr>
          <w:rFonts w:ascii="Times New Roman" w:hAnsi="Times New Roman"/>
          <w:lang w:val="en-US"/>
        </w:rPr>
      </w:pPr>
      <w:r w:rsidRPr="00155F80">
        <w:rPr>
          <w:rFonts w:ascii="Times New Roman" w:hAnsi="Times New Roman"/>
          <w:noProof/>
          <w:lang w:eastAsia="en-GB"/>
        </w:rPr>
        <w:drawing>
          <wp:inline distT="0" distB="0" distL="0" distR="0" wp14:anchorId="00E052A8" wp14:editId="38CF9F91">
            <wp:extent cx="5676900" cy="2447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6900" cy="2447925"/>
                    </a:xfrm>
                    <a:prstGeom prst="rect">
                      <a:avLst/>
                    </a:prstGeom>
                    <a:noFill/>
                    <a:ln>
                      <a:noFill/>
                    </a:ln>
                  </pic:spPr>
                </pic:pic>
              </a:graphicData>
            </a:graphic>
          </wp:inline>
        </w:drawing>
      </w:r>
    </w:p>
    <w:p w:rsidR="00A131AD" w:rsidRPr="00155F80" w:rsidRDefault="00A131AD" w:rsidP="000C0138">
      <w:pPr>
        <w:spacing w:line="276" w:lineRule="auto"/>
        <w:rPr>
          <w:rFonts w:ascii="Times New Roman" w:hAnsi="Times New Roman"/>
          <w:lang w:val="en-US"/>
        </w:rPr>
      </w:pPr>
    </w:p>
    <w:p w:rsidR="00A131AD" w:rsidRPr="00155F80" w:rsidRDefault="00A131AD" w:rsidP="000C0138">
      <w:pPr>
        <w:spacing w:after="160" w:line="276" w:lineRule="auto"/>
        <w:rPr>
          <w:rFonts w:ascii="Times New Roman" w:eastAsiaTheme="minorHAnsi" w:hAnsi="Times New Roman"/>
          <w:lang w:val="bs-Latn-BA"/>
        </w:rPr>
      </w:pPr>
    </w:p>
    <w:p w:rsidR="00A131AD" w:rsidRPr="00155F80" w:rsidRDefault="00A06016" w:rsidP="003E3695">
      <w:pPr>
        <w:pStyle w:val="Poglavlje3"/>
      </w:pPr>
      <w:bookmarkStart w:id="293" w:name="_Toc424298832"/>
      <w:bookmarkStart w:id="294" w:name="_Toc460929201"/>
      <w:r>
        <w:t>3.2.5.3</w:t>
      </w:r>
      <w:r w:rsidR="00752EAE">
        <w:t xml:space="preserve"> </w:t>
      </w:r>
      <w:r w:rsidR="00A131AD" w:rsidRPr="00155F80">
        <w:t>Zdravlje stanovništva starijeg od 65 godina</w:t>
      </w:r>
      <w:bookmarkEnd w:id="293"/>
      <w:bookmarkEnd w:id="294"/>
      <w:r w:rsidR="00A131AD" w:rsidRPr="00155F80">
        <w:t xml:space="preserve">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Stanovništvo Federacije BiH, kao i </w:t>
      </w:r>
      <w:r w:rsidR="00BD1A28">
        <w:rPr>
          <w:rFonts w:ascii="Times New Roman" w:hAnsi="Times New Roman"/>
          <w:noProof/>
          <w:lang w:val="bs-Latn-BA"/>
        </w:rPr>
        <w:t>eu</w:t>
      </w:r>
      <w:r w:rsidRPr="00155F80">
        <w:rPr>
          <w:rFonts w:ascii="Times New Roman" w:hAnsi="Times New Roman"/>
          <w:noProof/>
          <w:lang w:val="bs-Latn-BA"/>
        </w:rPr>
        <w:t xml:space="preserve">ropske regije, ubrzano stari. Uzroci ove pojave su sve bolji </w:t>
      </w:r>
      <w:r w:rsidR="00F70FD4">
        <w:rPr>
          <w:rFonts w:ascii="Times New Roman" w:hAnsi="Times New Roman"/>
          <w:noProof/>
          <w:lang w:val="bs-Latn-BA"/>
        </w:rPr>
        <w:t>uslovi</w:t>
      </w:r>
      <w:r w:rsidRPr="00155F80">
        <w:rPr>
          <w:rFonts w:ascii="Times New Roman" w:hAnsi="Times New Roman"/>
          <w:noProof/>
          <w:lang w:val="bs-Latn-BA"/>
        </w:rPr>
        <w:t xml:space="preserve"> života zbog čega se produžava životni vijek, ali i opadanje stope nataliteta i fertiliteta, a porasta stope mortaliteta.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procjeni Federalnog zavoda za statistiku, u</w:t>
      </w:r>
      <w:r w:rsidR="00BD1A28">
        <w:rPr>
          <w:rFonts w:ascii="Times New Roman" w:hAnsi="Times New Roman"/>
          <w:noProof/>
          <w:lang w:val="bs-Latn-BA"/>
        </w:rPr>
        <w:t>dio</w:t>
      </w:r>
      <w:r w:rsidRPr="00155F80">
        <w:rPr>
          <w:rFonts w:ascii="Times New Roman" w:hAnsi="Times New Roman"/>
          <w:noProof/>
          <w:lang w:val="bs-Latn-BA"/>
        </w:rPr>
        <w:t xml:space="preserve"> stanovništva starijeg od 65 godine u ukupnom stanovništvu, u p</w:t>
      </w:r>
      <w:r w:rsidR="00BD1A28">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iznosi 14,3%, pa je stanovništvo u Federaciji BiH na granici stacionarno-regresivnog tipa.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Starenjem se povećava broj </w:t>
      </w:r>
      <w:r w:rsidR="00512E30">
        <w:rPr>
          <w:rFonts w:ascii="Times New Roman" w:hAnsi="Times New Roman"/>
          <w:noProof/>
          <w:lang w:val="bs-Latn-BA"/>
        </w:rPr>
        <w:t>hronični</w:t>
      </w:r>
      <w:r w:rsidRPr="00155F80">
        <w:rPr>
          <w:rFonts w:ascii="Times New Roman" w:hAnsi="Times New Roman"/>
          <w:noProof/>
          <w:lang w:val="bs-Latn-BA"/>
        </w:rPr>
        <w:t>h oboljenja i stanja, te onesposobljenja za samostalno funkcioni</w:t>
      </w:r>
      <w:r w:rsidR="00BD1A28">
        <w:rPr>
          <w:rFonts w:ascii="Times New Roman" w:hAnsi="Times New Roman"/>
          <w:noProof/>
          <w:lang w:val="bs-Latn-BA"/>
        </w:rPr>
        <w:t>r</w:t>
      </w:r>
      <w:r w:rsidRPr="00155F80">
        <w:rPr>
          <w:rFonts w:ascii="Times New Roman" w:hAnsi="Times New Roman"/>
          <w:noProof/>
          <w:lang w:val="bs-Latn-BA"/>
        </w:rPr>
        <w:t>anje.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Ova populaci</w:t>
      </w:r>
      <w:r w:rsidR="00BD1A28">
        <w:rPr>
          <w:rFonts w:ascii="Times New Roman" w:hAnsi="Times New Roman"/>
          <w:noProof/>
          <w:lang w:val="bs-Latn-BA"/>
        </w:rPr>
        <w:t>jska</w:t>
      </w:r>
      <w:r w:rsidRPr="00155F80">
        <w:rPr>
          <w:rFonts w:ascii="Times New Roman" w:hAnsi="Times New Roman"/>
          <w:noProof/>
          <w:lang w:val="bs-Latn-BA"/>
        </w:rPr>
        <w:t xml:space="preserve"> grupa je u 2015. godini </w:t>
      </w:r>
      <w:r w:rsidR="00BD1A28">
        <w:rPr>
          <w:rFonts w:ascii="Times New Roman" w:hAnsi="Times New Roman"/>
          <w:noProof/>
          <w:lang w:val="bs-Latn-BA"/>
        </w:rPr>
        <w:t>sudjelovala</w:t>
      </w:r>
      <w:r w:rsidRPr="00155F80">
        <w:rPr>
          <w:rFonts w:ascii="Times New Roman" w:hAnsi="Times New Roman"/>
          <w:noProof/>
          <w:lang w:val="bs-Latn-BA"/>
        </w:rPr>
        <w:t xml:space="preserve"> sa 23% u strukturi oboljenja i stanja, a stopa obolijevanja u ambulantno-polikliničkom morbiditetu u p</w:t>
      </w:r>
      <w:r w:rsidR="00BD1A28">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je imala trend porasta.</w:t>
      </w:r>
    </w:p>
    <w:p w:rsidR="00834139" w:rsidRDefault="00A131AD" w:rsidP="00834139">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Vodeća oboljenja u ovoj starosnoj grupi u p</w:t>
      </w:r>
      <w:r w:rsidR="00BD1A28">
        <w:rPr>
          <w:rFonts w:ascii="Times New Roman" w:hAnsi="Times New Roman"/>
          <w:noProof/>
          <w:lang w:val="bs-Latn-BA"/>
        </w:rPr>
        <w:t>r</w:t>
      </w:r>
      <w:r w:rsidRPr="00155F8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su: hipertenzivna oboljenja i dijabetes</w:t>
      </w:r>
      <w:r w:rsidR="00BB3160">
        <w:rPr>
          <w:rFonts w:ascii="Times New Roman" w:hAnsi="Times New Roman"/>
          <w:noProof/>
          <w:lang w:val="bs-Latn-BA"/>
        </w:rPr>
        <w:t xml:space="preserve"> sa kontinuiranim porastom stope obolijevanja u p</w:t>
      </w:r>
      <w:r w:rsidR="00BD1A28">
        <w:rPr>
          <w:rFonts w:ascii="Times New Roman" w:hAnsi="Times New Roman"/>
          <w:noProof/>
          <w:lang w:val="bs-Latn-BA"/>
        </w:rPr>
        <w:t>r</w:t>
      </w:r>
      <w:r w:rsidR="00BB3160">
        <w:rPr>
          <w:rFonts w:ascii="Times New Roman" w:hAnsi="Times New Roman"/>
          <w:noProof/>
          <w:lang w:val="bs-Latn-BA"/>
        </w:rPr>
        <w:t xml:space="preserve">omatranom </w:t>
      </w:r>
      <w:r w:rsidR="00F70FD4">
        <w:rPr>
          <w:rFonts w:ascii="Times New Roman" w:hAnsi="Times New Roman"/>
          <w:noProof/>
          <w:lang w:val="bs-Latn-BA"/>
        </w:rPr>
        <w:t>periodu</w:t>
      </w:r>
      <w:r w:rsidRPr="00155F80">
        <w:rPr>
          <w:rFonts w:ascii="Times New Roman" w:hAnsi="Times New Roman"/>
          <w:noProof/>
          <w:lang w:val="bs-Latn-BA"/>
        </w:rPr>
        <w:t xml:space="preserve">, </w:t>
      </w:r>
      <w:r w:rsidR="00BB3160">
        <w:rPr>
          <w:rFonts w:ascii="Times New Roman" w:hAnsi="Times New Roman"/>
          <w:noProof/>
          <w:lang w:val="bs-Latn-BA"/>
        </w:rPr>
        <w:t>poslije kojih slijede</w:t>
      </w:r>
      <w:r w:rsidRPr="00155F80">
        <w:rPr>
          <w:rFonts w:ascii="Times New Roman" w:hAnsi="Times New Roman"/>
          <w:noProof/>
          <w:lang w:val="bs-Latn-BA"/>
        </w:rPr>
        <w:t xml:space="preserve"> akutne infekcije respiratornih</w:t>
      </w:r>
      <w:r w:rsidR="00BB3160">
        <w:rPr>
          <w:rFonts w:ascii="Times New Roman" w:hAnsi="Times New Roman"/>
          <w:noProof/>
          <w:lang w:val="bs-Latn-BA"/>
        </w:rPr>
        <w:t xml:space="preserve"> puteva, dorzopatije i cistitis, čije stope obolijevanja zadržavaju sličan trend obolijevanja.</w:t>
      </w:r>
    </w:p>
    <w:p w:rsidR="006256C9" w:rsidRPr="00155F80" w:rsidRDefault="006256C9" w:rsidP="00834139">
      <w:pPr>
        <w:tabs>
          <w:tab w:val="left" w:pos="550"/>
        </w:tabs>
        <w:spacing w:before="120" w:line="276" w:lineRule="auto"/>
        <w:rPr>
          <w:rFonts w:ascii="Times New Roman" w:hAnsi="Times New Roman"/>
          <w:noProof/>
          <w:lang w:val="bs-Latn-BA"/>
        </w:rPr>
      </w:pPr>
    </w:p>
    <w:p w:rsidR="00A131AD" w:rsidRPr="00155F80" w:rsidRDefault="00A131AD" w:rsidP="00EB7CC7">
      <w:pPr>
        <w:pStyle w:val="refererere"/>
        <w:rPr>
          <w:noProof/>
          <w:lang w:val="bs-Latn-BA" w:eastAsia="bs-Latn-BA"/>
        </w:rPr>
      </w:pPr>
      <w:r w:rsidRPr="00BB3160">
        <w:rPr>
          <w:noProof/>
          <w:lang w:val="bs-Latn-BA" w:eastAsia="bs-Latn-BA"/>
        </w:rPr>
        <w:t xml:space="preserve">Grafikon 55: Vodeća oboljenja stanovništva dobi 65 i više godina u Federaciji BiH, za </w:t>
      </w:r>
      <w:r w:rsidR="00F70FD4">
        <w:rPr>
          <w:noProof/>
          <w:lang w:val="bs-Latn-BA" w:eastAsia="bs-Latn-BA"/>
        </w:rPr>
        <w:t>period</w:t>
      </w:r>
      <w:r w:rsidRPr="00BB3160">
        <w:rPr>
          <w:noProof/>
          <w:lang w:val="bs-Latn-BA" w:eastAsia="bs-Latn-BA"/>
        </w:rPr>
        <w:t xml:space="preserve"> 2010.-2015. godina, stopa na 10.000 stanovnika</w:t>
      </w:r>
    </w:p>
    <w:p w:rsidR="00A131AD" w:rsidRPr="00155F80" w:rsidRDefault="00793494" w:rsidP="000C0138">
      <w:pPr>
        <w:spacing w:after="160" w:line="276" w:lineRule="auto"/>
        <w:rPr>
          <w:rFonts w:ascii="Times New Roman" w:eastAsiaTheme="minorHAnsi" w:hAnsi="Times New Roman"/>
          <w:lang w:val="bs-Latn-BA"/>
        </w:rPr>
      </w:pPr>
      <w:r>
        <w:rPr>
          <w:noProof/>
          <w:lang w:eastAsia="en-GB"/>
        </w:rPr>
        <w:drawing>
          <wp:inline distT="0" distB="0" distL="0" distR="0" wp14:anchorId="102961C9" wp14:editId="1E990E60">
            <wp:extent cx="5760720" cy="2076450"/>
            <wp:effectExtent l="0" t="0" r="1143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Iako nisu među vodećim oboljenjima, u ovoj populaci</w:t>
      </w:r>
      <w:r w:rsidR="00BD1A28">
        <w:rPr>
          <w:rFonts w:ascii="Times New Roman" w:eastAsiaTheme="minorHAnsi" w:hAnsi="Times New Roman"/>
          <w:lang w:val="bs-Latn-BA"/>
        </w:rPr>
        <w:t>jskoj</w:t>
      </w:r>
      <w:r w:rsidRPr="00155F80">
        <w:rPr>
          <w:rFonts w:ascii="Times New Roman" w:eastAsiaTheme="minorHAnsi" w:hAnsi="Times New Roman"/>
          <w:lang w:val="bs-Latn-BA"/>
        </w:rPr>
        <w:t xml:space="preserve"> grupi su česti poremećaji mentalnog zdravlja što se posebno odnosi na depresiju i demenciju, zatim poremećaji vida i sluha, </w:t>
      </w:r>
      <w:r w:rsidR="00D21A46">
        <w:rPr>
          <w:rFonts w:ascii="Times New Roman" w:eastAsiaTheme="minorHAnsi" w:hAnsi="Times New Roman"/>
          <w:lang w:val="bs-Latn-BA"/>
        </w:rPr>
        <w:t>povrede</w:t>
      </w:r>
      <w:r w:rsidRPr="00155F80">
        <w:rPr>
          <w:rFonts w:ascii="Times New Roman" w:eastAsiaTheme="minorHAnsi" w:hAnsi="Times New Roman"/>
          <w:lang w:val="bs-Latn-BA"/>
        </w:rPr>
        <w:t>, maligne neoplazme i drugo, što sve smanjuje kvalitet života.</w:t>
      </w:r>
    </w:p>
    <w:p w:rsidR="00A131AD" w:rsidRPr="00155F80" w:rsidRDefault="00A131AD" w:rsidP="000C0138">
      <w:pPr>
        <w:spacing w:line="276" w:lineRule="auto"/>
        <w:rPr>
          <w:rFonts w:ascii="Times New Roman" w:hAnsi="Times New Roman"/>
        </w:rPr>
      </w:pPr>
      <w:r w:rsidRPr="00155F80">
        <w:rPr>
          <w:rFonts w:ascii="Times New Roman" w:hAnsi="Times New Roman"/>
        </w:rPr>
        <w:t>Vodeći uzroci smrti stanovništva starijeg od 65 godina u Federaciji BiH u  2015. godini, kao i 2010. godine, su oboljenja cirkula</w:t>
      </w:r>
      <w:r w:rsidR="00467393">
        <w:rPr>
          <w:rFonts w:ascii="Times New Roman" w:hAnsi="Times New Roman"/>
        </w:rPr>
        <w:t>cijskog</w:t>
      </w:r>
      <w:r w:rsidRPr="00155F80">
        <w:rPr>
          <w:rFonts w:ascii="Times New Roman" w:hAnsi="Times New Roman"/>
        </w:rPr>
        <w:t xml:space="preserve"> </w:t>
      </w:r>
      <w:r w:rsidR="00512E30">
        <w:rPr>
          <w:rFonts w:ascii="Times New Roman" w:hAnsi="Times New Roman"/>
        </w:rPr>
        <w:t>sistem</w:t>
      </w:r>
      <w:r w:rsidR="00467393">
        <w:rPr>
          <w:rFonts w:ascii="Times New Roman" w:hAnsi="Times New Roman"/>
        </w:rPr>
        <w:t>a</w:t>
      </w:r>
      <w:r w:rsidRPr="00155F80">
        <w:rPr>
          <w:rFonts w:ascii="Times New Roman" w:hAnsi="Times New Roman"/>
        </w:rPr>
        <w:t xml:space="preserve"> (I00-I99) sa udjelom od 59,1% (2918,0/100.000), i imaju lagani trend rasta u odnosu na 2010. godinu, slijede maligne neoplazme (C00-C97) sa udjelom od 17,9% (883,3/100.000) i takođe su u porastu u </w:t>
      </w:r>
      <w:r w:rsidR="00467393">
        <w:rPr>
          <w:rFonts w:ascii="Times New Roman" w:hAnsi="Times New Roman"/>
        </w:rPr>
        <w:t>usporedbi</w:t>
      </w:r>
      <w:r w:rsidRPr="00155F80">
        <w:rPr>
          <w:rFonts w:ascii="Times New Roman" w:hAnsi="Times New Roman"/>
        </w:rPr>
        <w:t xml:space="preserve"> sa 2010. godinom.</w:t>
      </w:r>
    </w:p>
    <w:p w:rsidR="00A131AD" w:rsidRDefault="00A131AD" w:rsidP="000C0138">
      <w:pPr>
        <w:spacing w:line="276" w:lineRule="auto"/>
        <w:rPr>
          <w:rFonts w:ascii="Times New Roman" w:hAnsi="Times New Roman"/>
          <w:color w:val="000000"/>
          <w:lang w:eastAsia="bs-Latn-BA"/>
        </w:rPr>
      </w:pPr>
      <w:r w:rsidRPr="00155F80">
        <w:rPr>
          <w:rFonts w:ascii="Times New Roman" w:hAnsi="Times New Roman"/>
        </w:rPr>
        <w:t xml:space="preserve">Treći vodeći uzrok smrti stanovništva starijeg od 65 godina bila su endokrina i metabolička oboljenja sa poremećajima u </w:t>
      </w:r>
      <w:r w:rsidR="00950A64">
        <w:rPr>
          <w:rFonts w:ascii="Times New Roman" w:hAnsi="Times New Roman"/>
        </w:rPr>
        <w:t>ishrani</w:t>
      </w:r>
      <w:r w:rsidRPr="00155F80">
        <w:rPr>
          <w:rFonts w:ascii="Times New Roman" w:hAnsi="Times New Roman"/>
        </w:rPr>
        <w:t xml:space="preserve"> (E00-E99) sa u</w:t>
      </w:r>
      <w:r w:rsidR="00243A26">
        <w:rPr>
          <w:rFonts w:ascii="Times New Roman" w:hAnsi="Times New Roman"/>
        </w:rPr>
        <w:t>djelom</w:t>
      </w:r>
      <w:r w:rsidRPr="00155F80">
        <w:rPr>
          <w:rFonts w:ascii="Times New Roman" w:hAnsi="Times New Roman"/>
        </w:rPr>
        <w:t xml:space="preserve"> 6,2% (303,8/100.000) što predstavlja porast u odnosu na 2010. godinu., slijede oboljenja respiratornog </w:t>
      </w:r>
      <w:r w:rsidR="00512E30">
        <w:rPr>
          <w:rFonts w:ascii="Times New Roman" w:hAnsi="Times New Roman"/>
        </w:rPr>
        <w:t>sistem</w:t>
      </w:r>
      <w:r w:rsidR="00467393">
        <w:rPr>
          <w:rFonts w:ascii="Times New Roman" w:hAnsi="Times New Roman"/>
        </w:rPr>
        <w:t>a</w:t>
      </w:r>
      <w:r w:rsidRPr="00155F80">
        <w:rPr>
          <w:rFonts w:ascii="Times New Roman" w:hAnsi="Times New Roman"/>
        </w:rPr>
        <w:t xml:space="preserve"> (J00-J99) sa u</w:t>
      </w:r>
      <w:r w:rsidR="00467393">
        <w:rPr>
          <w:rFonts w:ascii="Times New Roman" w:hAnsi="Times New Roman"/>
        </w:rPr>
        <w:t>djelom</w:t>
      </w:r>
      <w:r w:rsidRPr="00155F80">
        <w:rPr>
          <w:rFonts w:ascii="Times New Roman" w:hAnsi="Times New Roman"/>
        </w:rPr>
        <w:t xml:space="preserve"> od 5,3% (260,5/100.000). Na petom mjestu su </w:t>
      </w:r>
      <w:r w:rsidR="004F1CAA" w:rsidRPr="00155F80">
        <w:rPr>
          <w:rFonts w:ascii="Times New Roman" w:hAnsi="Times New Roman"/>
        </w:rPr>
        <w:t>s</w:t>
      </w:r>
      <w:r w:rsidRPr="00155F80">
        <w:rPr>
          <w:rFonts w:ascii="Times New Roman" w:hAnsi="Times New Roman"/>
          <w:color w:val="000000"/>
          <w:lang w:eastAsia="bs-Latn-BA"/>
        </w:rPr>
        <w:t>imptomi,</w:t>
      </w:r>
      <w:r w:rsidR="004F1CAA" w:rsidRPr="00155F80">
        <w:rPr>
          <w:rFonts w:ascii="Times New Roman" w:hAnsi="Times New Roman"/>
          <w:color w:val="000000"/>
          <w:lang w:eastAsia="bs-Latn-BA"/>
        </w:rPr>
        <w:t xml:space="preserve"> </w:t>
      </w:r>
      <w:r w:rsidR="00587CDA">
        <w:rPr>
          <w:rFonts w:ascii="Times New Roman" w:hAnsi="Times New Roman"/>
          <w:color w:val="000000"/>
          <w:lang w:eastAsia="bs-Latn-BA"/>
        </w:rPr>
        <w:t>pokazatelji</w:t>
      </w:r>
      <w:r w:rsidR="004F1CAA" w:rsidRPr="00155F80">
        <w:rPr>
          <w:rFonts w:ascii="Times New Roman" w:hAnsi="Times New Roman"/>
          <w:color w:val="000000"/>
          <w:lang w:eastAsia="bs-Latn-BA"/>
        </w:rPr>
        <w:t xml:space="preserve"> i nenormalni klinički i laboratorijski </w:t>
      </w:r>
      <w:r w:rsidRPr="00155F80">
        <w:rPr>
          <w:rFonts w:ascii="Times New Roman" w:hAnsi="Times New Roman"/>
          <w:color w:val="000000"/>
          <w:lang w:eastAsia="bs-Latn-BA"/>
        </w:rPr>
        <w:t>nalazi (R00-R99) sa u</w:t>
      </w:r>
      <w:r w:rsidR="00243A26">
        <w:rPr>
          <w:rFonts w:ascii="Times New Roman" w:hAnsi="Times New Roman"/>
          <w:color w:val="000000"/>
          <w:lang w:eastAsia="bs-Latn-BA"/>
        </w:rPr>
        <w:t>djelom</w:t>
      </w:r>
      <w:r w:rsidRPr="00155F80">
        <w:rPr>
          <w:rFonts w:ascii="Times New Roman" w:hAnsi="Times New Roman"/>
          <w:color w:val="000000"/>
          <w:lang w:eastAsia="bs-Latn-BA"/>
        </w:rPr>
        <w:t xml:space="preserve"> od 2,1% (104,7/100.000).</w:t>
      </w:r>
    </w:p>
    <w:p w:rsidR="00A131AD" w:rsidRPr="00155F80" w:rsidRDefault="00A131AD" w:rsidP="000C0138">
      <w:pPr>
        <w:spacing w:line="276" w:lineRule="auto"/>
        <w:rPr>
          <w:rFonts w:ascii="Times New Roman" w:hAnsi="Times New Roman"/>
          <w:color w:val="000000"/>
          <w:lang w:eastAsia="bs-Latn-BA"/>
        </w:rPr>
      </w:pPr>
    </w:p>
    <w:p w:rsidR="00110347" w:rsidRDefault="00A131AD" w:rsidP="00EB7CC7">
      <w:pPr>
        <w:pStyle w:val="refererere"/>
        <w:rPr>
          <w:lang w:eastAsia="bs-Latn-BA"/>
        </w:rPr>
      </w:pPr>
      <w:r w:rsidRPr="00155F80">
        <w:rPr>
          <w:lang w:eastAsia="bs-Latn-BA"/>
        </w:rPr>
        <w:t>Grafikon 56: Pet vodećih grupa oboljenja kao uzroka smrti stanovništva starijeg od 65 godina u Federaciji BiH, 2010. i 2015. godina, stopa na 100.000 stanovnika</w:t>
      </w:r>
    </w:p>
    <w:p w:rsidR="00110347" w:rsidRDefault="00793494" w:rsidP="000C0138">
      <w:pPr>
        <w:spacing w:line="276" w:lineRule="auto"/>
        <w:rPr>
          <w:rFonts w:ascii="Times New Roman" w:hAnsi="Times New Roman"/>
          <w:color w:val="000000"/>
          <w:lang w:eastAsia="bs-Latn-BA"/>
        </w:rPr>
      </w:pPr>
      <w:r>
        <w:rPr>
          <w:noProof/>
          <w:lang w:eastAsia="en-GB"/>
        </w:rPr>
        <w:drawing>
          <wp:inline distT="0" distB="0" distL="0" distR="0" wp14:anchorId="70C92EBF" wp14:editId="7113463A">
            <wp:extent cx="5715000" cy="2295525"/>
            <wp:effectExtent l="0" t="0" r="0" b="952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10347" w:rsidRPr="00155F80" w:rsidRDefault="00110347" w:rsidP="000C0138">
      <w:pPr>
        <w:spacing w:line="276" w:lineRule="auto"/>
        <w:rPr>
          <w:rFonts w:ascii="Times New Roman" w:hAnsi="Times New Roman"/>
          <w:color w:val="000000"/>
          <w:lang w:eastAsia="bs-Latn-BA"/>
        </w:rPr>
      </w:pPr>
    </w:p>
    <w:p w:rsidR="00A131AD" w:rsidRPr="00993848" w:rsidRDefault="00A06016" w:rsidP="003E3695">
      <w:pPr>
        <w:pStyle w:val="Poglavlje3"/>
      </w:pPr>
      <w:bookmarkStart w:id="295" w:name="_Toc460929202"/>
      <w:r>
        <w:t>3.2.5.4</w:t>
      </w:r>
      <w:r w:rsidR="00230D7E" w:rsidRPr="00993848">
        <w:t xml:space="preserve"> </w:t>
      </w:r>
      <w:r w:rsidR="00A131AD" w:rsidRPr="00993848">
        <w:t xml:space="preserve">Reproduktivno zdravlje i planiranje </w:t>
      </w:r>
      <w:r w:rsidR="00F0369C">
        <w:t>porodici</w:t>
      </w:r>
      <w:bookmarkEnd w:id="295"/>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Pravo na reproduktivno zdravlje predstavlja dio </w:t>
      </w:r>
      <w:r w:rsidR="00CB080B">
        <w:rPr>
          <w:rFonts w:ascii="Times New Roman" w:hAnsi="Times New Roman"/>
          <w:noProof/>
          <w:lang w:val="bs-Latn-BA"/>
        </w:rPr>
        <w:t>opšti</w:t>
      </w:r>
      <w:r w:rsidRPr="00155F80">
        <w:rPr>
          <w:rFonts w:ascii="Times New Roman" w:hAnsi="Times New Roman"/>
          <w:noProof/>
          <w:lang w:val="bs-Latn-BA"/>
        </w:rPr>
        <w:t>h ljudskih prava, a uključuje slobodno i svjesno odlučivanje o najpovoljnijem vremenu za roditeljstvo, rađanje željenog broja djece, razmak između poroda, dostupnost informacija i sredstava za kontracepciju, te pravo na najviše standarde zaštite seksualnog i reproduktivnog zdravlja.</w:t>
      </w:r>
    </w:p>
    <w:p w:rsidR="00A131AD" w:rsidRDefault="00A131AD" w:rsidP="00B37E7E">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Zdravlje i zdravstvena zaštita majke i djeteta je od priori</w:t>
      </w:r>
      <w:r w:rsidR="00B37E7E">
        <w:rPr>
          <w:rFonts w:ascii="Times New Roman" w:hAnsi="Times New Roman"/>
          <w:noProof/>
          <w:lang w:val="bs-Latn-BA"/>
        </w:rPr>
        <w:t>tetne važnosti za svaku zemlju.</w:t>
      </w:r>
    </w:p>
    <w:p w:rsidR="00B37E7E" w:rsidRPr="00B37E7E" w:rsidRDefault="00B37E7E" w:rsidP="00B37E7E">
      <w:pPr>
        <w:tabs>
          <w:tab w:val="left" w:pos="550"/>
        </w:tabs>
        <w:spacing w:before="120" w:line="276" w:lineRule="auto"/>
        <w:rPr>
          <w:rFonts w:ascii="Times New Roman" w:hAnsi="Times New Roman"/>
          <w:noProof/>
          <w:lang w:val="bs-Latn-BA"/>
        </w:rPr>
      </w:pPr>
    </w:p>
    <w:p w:rsidR="00A131AD" w:rsidRPr="00155F80" w:rsidRDefault="00A131AD" w:rsidP="000C0138">
      <w:pPr>
        <w:keepNext/>
        <w:keepLines/>
        <w:spacing w:before="40"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t xml:space="preserve">Fertilitet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U Federaciji BiH u 2015. godini je, prema procjeni Federalnog zavoda za statistiku, živjelo 1.176.010 žena (50,4%).</w:t>
      </w:r>
    </w:p>
    <w:p w:rsidR="00A131AD" w:rsidRPr="00155F80" w:rsidRDefault="00A131AD" w:rsidP="00B560D0">
      <w:pPr>
        <w:tabs>
          <w:tab w:val="left" w:pos="550"/>
        </w:tabs>
        <w:spacing w:line="276" w:lineRule="auto"/>
        <w:rPr>
          <w:rFonts w:ascii="Times New Roman" w:hAnsi="Times New Roman"/>
          <w:noProof/>
          <w:lang w:val="bs-Latn-BA"/>
        </w:rPr>
      </w:pPr>
      <w:r w:rsidRPr="00155F80">
        <w:rPr>
          <w:rFonts w:ascii="Times New Roman" w:hAnsi="Times New Roman"/>
          <w:noProof/>
          <w:lang w:val="bs-Latn-BA"/>
        </w:rPr>
        <w:t xml:space="preserve">Stopa </w:t>
      </w:r>
      <w:r w:rsidR="00CB080B">
        <w:rPr>
          <w:rFonts w:ascii="Times New Roman" w:hAnsi="Times New Roman"/>
          <w:noProof/>
          <w:lang w:val="bs-Latn-BA"/>
        </w:rPr>
        <w:t>opšteg</w:t>
      </w:r>
      <w:r w:rsidRPr="00155F80">
        <w:rPr>
          <w:rFonts w:ascii="Times New Roman" w:hAnsi="Times New Roman"/>
          <w:noProof/>
          <w:lang w:val="bs-Latn-BA"/>
        </w:rPr>
        <w:t xml:space="preserve"> fertiliteta (plodnosti) predstavlja broj živorođene djece na 1.000 žena reproduktivne dobi, i kontinuirano se smanjuje, pa je u 2015. godini iznosila samo 1,2.</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F70FD4">
        <w:rPr>
          <w:rFonts w:ascii="Times New Roman" w:hAnsi="Times New Roman"/>
          <w:noProof/>
          <w:lang w:val="bs-Latn-BA"/>
        </w:rPr>
        <w:t>periodu</w:t>
      </w:r>
      <w:r w:rsidR="004B2A12">
        <w:rPr>
          <w:rFonts w:ascii="Times New Roman" w:hAnsi="Times New Roman"/>
          <w:noProof/>
          <w:lang w:val="bs-Latn-BA"/>
        </w:rPr>
        <w:t xml:space="preserve"> </w:t>
      </w:r>
      <w:r w:rsidRPr="00155F80">
        <w:rPr>
          <w:rFonts w:ascii="Times New Roman" w:hAnsi="Times New Roman"/>
          <w:noProof/>
          <w:lang w:val="bs-Latn-BA"/>
        </w:rPr>
        <w:t>od 2010.-2015. godine je uočljivo smanjenje broja poroda i pomjeranje dobi rodilja prema starijim podgrupama. U 2015. godini, najviše poroda (28,5%) je bilo u grupi rodilja starosti 30-34  godine, potom u grupi starosti od 25-29 godina (28%). Ovo ukazuje da prosječna starost rodilja prelazi optimalnu granicu od 25 godina života.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Broj poroda u starosti  ispod 15 godina (3 poroda) i iznad 49 godina (1 porod) sveden je na sporadične slučajeve u 2015. godini. </w:t>
      </w:r>
    </w:p>
    <w:p w:rsidR="00A131AD" w:rsidRDefault="00E61F0C"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U</w:t>
      </w:r>
      <w:r w:rsidR="004B2A12">
        <w:rPr>
          <w:rFonts w:ascii="Times New Roman" w:hAnsi="Times New Roman"/>
          <w:noProof/>
          <w:lang w:val="bs-Latn-BA"/>
        </w:rPr>
        <w:t>dio</w:t>
      </w:r>
      <w:r w:rsidR="00A131AD" w:rsidRPr="00155F80">
        <w:rPr>
          <w:rFonts w:ascii="Times New Roman" w:hAnsi="Times New Roman"/>
          <w:noProof/>
          <w:lang w:val="bs-Latn-BA"/>
        </w:rPr>
        <w:t xml:space="preserve"> rođenih od majki mlađih od 20 godina</w:t>
      </w:r>
      <w:r>
        <w:rPr>
          <w:rFonts w:ascii="Times New Roman" w:hAnsi="Times New Roman"/>
          <w:noProof/>
          <w:lang w:val="bs-Latn-BA"/>
        </w:rPr>
        <w:t xml:space="preserve"> u 2015. godini je </w:t>
      </w:r>
      <w:r w:rsidR="00A131AD" w:rsidRPr="00155F80">
        <w:rPr>
          <w:rFonts w:ascii="Times New Roman" w:hAnsi="Times New Roman"/>
          <w:noProof/>
          <w:lang w:val="bs-Latn-BA"/>
        </w:rPr>
        <w:t>iznosi</w:t>
      </w:r>
      <w:r>
        <w:rPr>
          <w:rFonts w:ascii="Times New Roman" w:hAnsi="Times New Roman"/>
          <w:noProof/>
          <w:lang w:val="bs-Latn-BA"/>
        </w:rPr>
        <w:t>o 5% i viš</w:t>
      </w:r>
      <w:r w:rsidR="004B2A12">
        <w:rPr>
          <w:rFonts w:ascii="Times New Roman" w:hAnsi="Times New Roman"/>
          <w:noProof/>
          <w:lang w:val="bs-Latn-BA"/>
        </w:rPr>
        <w:t>i</w:t>
      </w:r>
      <w:r w:rsidR="00A131AD" w:rsidRPr="00155F80">
        <w:rPr>
          <w:rFonts w:ascii="Times New Roman" w:hAnsi="Times New Roman"/>
          <w:noProof/>
          <w:lang w:val="bs-Latn-BA"/>
        </w:rPr>
        <w:t xml:space="preserve"> je nego prethodnih godina zbog manjeg broja porođaja, dok je udio rođenih od majki starijih od 35 godina u 2015. godini je iznosio 12,8% i nešto je niži u odnosu na 2014. godinu (14,3%). </w:t>
      </w:r>
    </w:p>
    <w:p w:rsidR="00B37E7E" w:rsidRDefault="00B37E7E" w:rsidP="000C0138">
      <w:pPr>
        <w:tabs>
          <w:tab w:val="left" w:pos="550"/>
        </w:tabs>
        <w:spacing w:before="120" w:line="276" w:lineRule="auto"/>
        <w:rPr>
          <w:rFonts w:ascii="Times New Roman" w:hAnsi="Times New Roman"/>
          <w:noProof/>
          <w:lang w:val="bs-Latn-BA"/>
        </w:rPr>
      </w:pPr>
    </w:p>
    <w:p w:rsidR="00A131AD" w:rsidRPr="00155F80" w:rsidRDefault="00A131AD" w:rsidP="00B37E7E">
      <w:pPr>
        <w:pStyle w:val="refererere"/>
        <w:rPr>
          <w:noProof/>
          <w:lang w:val="bs-Latn-BA" w:eastAsia="bs-Latn-BA"/>
        </w:rPr>
      </w:pPr>
      <w:bookmarkStart w:id="296" w:name="_Toc390770680"/>
      <w:r w:rsidRPr="00155F80">
        <w:rPr>
          <w:noProof/>
          <w:lang w:val="bs-Latn-BA" w:eastAsia="bs-Latn-BA"/>
        </w:rPr>
        <w:t>Grafikon 57: Broj rođenih prema dobi majke u Federaciji BiH</w:t>
      </w:r>
      <w:bookmarkEnd w:id="296"/>
      <w:r w:rsidRPr="00155F80">
        <w:rPr>
          <w:noProof/>
          <w:lang w:val="bs-Latn-BA" w:eastAsia="bs-Latn-BA"/>
        </w:rPr>
        <w:t>, 2010. i 2015. godina</w:t>
      </w:r>
    </w:p>
    <w:p w:rsidR="00A131AD" w:rsidRPr="00155F80" w:rsidRDefault="00A131AD" w:rsidP="000C0138">
      <w:pPr>
        <w:spacing w:after="160" w:line="276" w:lineRule="auto"/>
        <w:jc w:val="center"/>
        <w:rPr>
          <w:rFonts w:ascii="Times New Roman" w:eastAsiaTheme="minorHAnsi" w:hAnsi="Times New Roman"/>
          <w:lang w:val="bs-Latn-BA"/>
        </w:rPr>
      </w:pPr>
      <w:r w:rsidRPr="00155F80">
        <w:rPr>
          <w:rFonts w:ascii="Times New Roman" w:eastAsiaTheme="minorHAnsi" w:hAnsi="Times New Roman"/>
          <w:noProof/>
          <w:lang w:eastAsia="en-GB"/>
        </w:rPr>
        <w:drawing>
          <wp:inline distT="0" distB="0" distL="0" distR="0" wp14:anchorId="0B7A0E0B" wp14:editId="64796FEB">
            <wp:extent cx="5619750" cy="2101933"/>
            <wp:effectExtent l="0" t="0" r="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131AD" w:rsidRPr="00155F80" w:rsidRDefault="00E61F0C"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M</w:t>
      </w:r>
      <w:r w:rsidRPr="00155F80">
        <w:rPr>
          <w:rFonts w:ascii="Times New Roman" w:hAnsi="Times New Roman"/>
          <w:noProof/>
          <w:lang w:val="bs-Latn-BA"/>
        </w:rPr>
        <w:t xml:space="preserve">aternalna smrtnost </w:t>
      </w:r>
      <w:r>
        <w:rPr>
          <w:rFonts w:ascii="Times New Roman" w:hAnsi="Times New Roman"/>
          <w:noProof/>
          <w:lang w:val="bs-Latn-BA"/>
        </w:rPr>
        <w:t xml:space="preserve">je </w:t>
      </w:r>
      <w:r w:rsidRPr="00155F80">
        <w:rPr>
          <w:rFonts w:ascii="Times New Roman" w:hAnsi="Times New Roman"/>
          <w:noProof/>
          <w:lang w:val="bs-Latn-BA"/>
        </w:rPr>
        <w:t xml:space="preserve">godinama na </w:t>
      </w:r>
      <w:r w:rsidR="002B489B">
        <w:rPr>
          <w:rFonts w:ascii="Times New Roman" w:hAnsi="Times New Roman"/>
          <w:noProof/>
          <w:lang w:val="bs-Latn-BA"/>
        </w:rPr>
        <w:t>nivou</w:t>
      </w:r>
      <w:r w:rsidRPr="00155F80">
        <w:rPr>
          <w:rFonts w:ascii="Times New Roman" w:hAnsi="Times New Roman"/>
          <w:noProof/>
          <w:lang w:val="bs-Latn-BA"/>
        </w:rPr>
        <w:t xml:space="preserve"> sporadičnih slučajeva. </w:t>
      </w:r>
      <w:r w:rsidR="00A131AD" w:rsidRPr="00155F80">
        <w:rPr>
          <w:rFonts w:ascii="Times New Roman" w:hAnsi="Times New Roman"/>
          <w:noProof/>
          <w:lang w:val="bs-Latn-BA"/>
        </w:rPr>
        <w:t xml:space="preserve">U 2015. godini skoro svi porodi (99,96%) su obavljeni  uz stručnu pomoć, </w:t>
      </w:r>
      <w:r>
        <w:rPr>
          <w:rFonts w:ascii="Times New Roman" w:hAnsi="Times New Roman"/>
          <w:noProof/>
          <w:lang w:val="bs-Latn-BA"/>
        </w:rPr>
        <w:t xml:space="preserve">te </w:t>
      </w:r>
      <w:r w:rsidR="00A131AD" w:rsidRPr="00155F80">
        <w:rPr>
          <w:rFonts w:ascii="Times New Roman" w:hAnsi="Times New Roman"/>
          <w:noProof/>
          <w:lang w:val="bs-Latn-BA"/>
        </w:rPr>
        <w:t>nisu registr</w:t>
      </w:r>
      <w:r w:rsidR="004B2A12">
        <w:rPr>
          <w:rFonts w:ascii="Times New Roman" w:hAnsi="Times New Roman"/>
          <w:noProof/>
          <w:lang w:val="bs-Latn-BA"/>
        </w:rPr>
        <w:t>irani</w:t>
      </w:r>
      <w:r w:rsidR="00A131AD" w:rsidRPr="00155F80">
        <w:rPr>
          <w:rFonts w:ascii="Times New Roman" w:hAnsi="Times New Roman"/>
          <w:noProof/>
          <w:lang w:val="bs-Latn-BA"/>
        </w:rPr>
        <w:t xml:space="preserve"> smrtni slučajevi vezani za trudnoću, porod i </w:t>
      </w:r>
      <w:r w:rsidR="00F70FD4">
        <w:rPr>
          <w:rFonts w:ascii="Times New Roman" w:hAnsi="Times New Roman"/>
          <w:noProof/>
          <w:lang w:val="bs-Latn-BA"/>
        </w:rPr>
        <w:t>period</w:t>
      </w:r>
      <w:r w:rsidR="00A131AD" w:rsidRPr="00155F80">
        <w:rPr>
          <w:rFonts w:ascii="Times New Roman" w:hAnsi="Times New Roman"/>
          <w:noProof/>
          <w:lang w:val="bs-Latn-BA"/>
        </w:rPr>
        <w:t xml:space="preserve"> poslije poroda. Dobra antenatalna zaštita, koja podrazumijeva odgovarajući broj pregleda u trudnoći, doprinosi prevenciji nepovoljnih ishoda. </w:t>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2015. godini je </w:t>
      </w:r>
      <w:r w:rsidR="00A80006">
        <w:rPr>
          <w:rFonts w:ascii="Times New Roman" w:hAnsi="Times New Roman"/>
          <w:noProof/>
          <w:lang w:val="bs-Latn-BA"/>
        </w:rPr>
        <w:t>registrovano</w:t>
      </w:r>
      <w:r w:rsidRPr="00155F80">
        <w:rPr>
          <w:rFonts w:ascii="Times New Roman" w:hAnsi="Times New Roman"/>
          <w:noProof/>
          <w:lang w:val="bs-Latn-BA"/>
        </w:rPr>
        <w:t xml:space="preserve"> 19.108 porođaja i nastavljen je trend povećanja broja poroda carskim rezom, kojim je završeno 25% porođaja (4.788) što odstupa od 10-15% koliko preporučuje SZO. Stopa poroda carskim rezom je u porastu, ima vrijednost od 249,3/1.000 živorođenih i slična je prosjeku zemalja </w:t>
      </w:r>
      <w:r w:rsidR="00A726E5" w:rsidRPr="00155F80">
        <w:rPr>
          <w:rFonts w:ascii="Times New Roman" w:hAnsi="Times New Roman"/>
          <w:noProof/>
          <w:lang w:val="bs-Latn-BA"/>
        </w:rPr>
        <w:t>e</w:t>
      </w:r>
      <w:r w:rsidR="004B2A12">
        <w:rPr>
          <w:rFonts w:ascii="Times New Roman" w:hAnsi="Times New Roman"/>
          <w:noProof/>
          <w:lang w:val="bs-Latn-BA"/>
        </w:rPr>
        <w:t>u</w:t>
      </w:r>
      <w:r w:rsidR="00A726E5" w:rsidRPr="00155F80">
        <w:rPr>
          <w:rFonts w:ascii="Times New Roman" w:hAnsi="Times New Roman"/>
          <w:noProof/>
          <w:lang w:val="bs-Latn-BA"/>
        </w:rPr>
        <w:t>ropske regije (254,95</w:t>
      </w:r>
      <w:r w:rsidRPr="00155F80">
        <w:rPr>
          <w:rFonts w:ascii="Times New Roman" w:hAnsi="Times New Roman"/>
          <w:noProof/>
          <w:lang w:val="bs-Latn-BA"/>
        </w:rPr>
        <w:t xml:space="preserve">1.000 živorođenih). </w:t>
      </w:r>
    </w:p>
    <w:p w:rsidR="00A131AD" w:rsidRPr="00155F80" w:rsidRDefault="00A131AD" w:rsidP="000C0138">
      <w:pPr>
        <w:keepNext/>
        <w:keepLines/>
        <w:spacing w:before="40"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t xml:space="preserve">Planiranje </w:t>
      </w:r>
      <w:r w:rsidR="00F0369C">
        <w:rPr>
          <w:rFonts w:ascii="Times New Roman" w:eastAsiaTheme="majorEastAsia" w:hAnsi="Times New Roman"/>
          <w:b/>
          <w:iCs/>
          <w:lang w:val="bs-Latn-BA"/>
        </w:rPr>
        <w:t>porodici</w:t>
      </w:r>
      <w:r w:rsidRPr="00155F80">
        <w:rPr>
          <w:rFonts w:ascii="Times New Roman" w:eastAsiaTheme="majorEastAsia" w:hAnsi="Times New Roman"/>
          <w:b/>
          <w:iCs/>
          <w:lang w:val="bs-Latn-BA"/>
        </w:rPr>
        <w:t>, kontracepcija i prekidi trudnoće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Reproduktivno zdravlje uključuje slobodno i svjesno odlučivanje o najpovoljnijem vremenu za roditeljstvo, za rađenje željenog broja djece, razmak između poroda, dostupnost informacija i sredstava za kontracepciju.</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Prema </w:t>
      </w:r>
      <w:r w:rsidR="002B489B">
        <w:rPr>
          <w:rFonts w:ascii="Times New Roman" w:hAnsi="Times New Roman"/>
          <w:noProof/>
          <w:lang w:val="bs-Latn-BA"/>
        </w:rPr>
        <w:t>podaci</w:t>
      </w:r>
      <w:r w:rsidRPr="00155F80">
        <w:rPr>
          <w:rFonts w:ascii="Times New Roman" w:hAnsi="Times New Roman"/>
          <w:noProof/>
          <w:lang w:val="bs-Latn-BA"/>
        </w:rPr>
        <w:t xml:space="preserve">ma službi za zdravstvenu zaštitu žena (PZZ), mali broj žena reproduktivne dobi je u 2015. godini posjetilo savjetovališta za planiranje </w:t>
      </w:r>
      <w:r w:rsidR="00F0369C">
        <w:rPr>
          <w:rFonts w:ascii="Times New Roman" w:hAnsi="Times New Roman"/>
          <w:noProof/>
          <w:lang w:val="bs-Latn-BA"/>
        </w:rPr>
        <w:t>porodici</w:t>
      </w:r>
      <w:r w:rsidRPr="00155F80">
        <w:rPr>
          <w:rFonts w:ascii="Times New Roman" w:hAnsi="Times New Roman"/>
          <w:noProof/>
          <w:lang w:val="bs-Latn-BA"/>
        </w:rPr>
        <w:t xml:space="preserve">, gdje je zabilježeno samo 6.831 posjeta tj. za 4,5% manje nego u 2014. godini (6.995) .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Prema </w:t>
      </w:r>
      <w:r w:rsidR="002B489B">
        <w:rPr>
          <w:rFonts w:ascii="Times New Roman" w:hAnsi="Times New Roman"/>
          <w:noProof/>
          <w:lang w:val="bs-Latn-BA"/>
        </w:rPr>
        <w:t>podaci</w:t>
      </w:r>
      <w:r w:rsidRPr="00155F80">
        <w:rPr>
          <w:rFonts w:ascii="Times New Roman" w:hAnsi="Times New Roman"/>
          <w:noProof/>
          <w:lang w:val="bs-Latn-BA"/>
        </w:rPr>
        <w:t>ma MICS4 istraživanja, kontracepciju (bilo koju metodu) koristi 43,3% žena koje su u braku ili u zajednici, pri čemu daju prednost tradicionalnim metodama (33,3%) u odnosu na 10% žena koje koriste moderne metode. Najčešća metoda kontracepcije je prekinuti snošaj</w:t>
      </w:r>
      <w:r w:rsidRPr="00155F80">
        <w:rPr>
          <w:rFonts w:ascii="Times New Roman" w:hAnsi="Times New Roman"/>
          <w:iCs/>
          <w:noProof/>
          <w:lang w:val="bs-Latn-BA"/>
        </w:rPr>
        <w:t xml:space="preserve">, </w:t>
      </w:r>
      <w:r w:rsidRPr="00155F80">
        <w:rPr>
          <w:rFonts w:ascii="Times New Roman" w:hAnsi="Times New Roman"/>
          <w:noProof/>
          <w:lang w:val="bs-Latn-BA"/>
        </w:rPr>
        <w:t>koju koristi 29,2% udatih žena, nakon čega slijedi muški kondom, (5,9%). Od ostalih metoda kontracepcije 2,2% žena koriste spiralu, 3,9% praktikuje periodičnu apstinenciju</w:t>
      </w:r>
      <w:r w:rsidRPr="00155F80">
        <w:rPr>
          <w:rFonts w:ascii="Times New Roman" w:hAnsi="Times New Roman"/>
          <w:iCs/>
          <w:noProof/>
          <w:lang w:val="bs-Latn-BA"/>
        </w:rPr>
        <w:t xml:space="preserve"> </w:t>
      </w:r>
      <w:r w:rsidRPr="00155F80">
        <w:rPr>
          <w:rFonts w:ascii="Times New Roman" w:hAnsi="Times New Roman"/>
          <w:noProof/>
          <w:lang w:val="bs-Latn-BA"/>
        </w:rPr>
        <w:t>i 1,6% koristi kontracepcijske pilule.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Ukupno 56,7% žena u dobi od 15 do 49 godina koje su u braku ili u zajednici ne koriste niti jednu metodu kontracepcije.</w:t>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F70FD4">
        <w:rPr>
          <w:rFonts w:ascii="Times New Roman" w:hAnsi="Times New Roman"/>
          <w:noProof/>
          <w:lang w:val="bs-Latn-BA"/>
        </w:rPr>
        <w:t>periodu</w:t>
      </w:r>
      <w:r w:rsidRPr="00155F80">
        <w:rPr>
          <w:rFonts w:ascii="Times New Roman" w:hAnsi="Times New Roman"/>
          <w:noProof/>
          <w:lang w:val="bs-Latn-BA"/>
        </w:rPr>
        <w:t xml:space="preserve"> od 2010.-2015. godine u službama za zdravstvenu zaštitu žena je zabilježeno opadanje stope obol</w:t>
      </w:r>
      <w:r w:rsidR="004B2A12">
        <w:rPr>
          <w:rFonts w:ascii="Times New Roman" w:hAnsi="Times New Roman"/>
          <w:noProof/>
          <w:lang w:val="bs-Latn-BA"/>
        </w:rPr>
        <w:t>i</w:t>
      </w:r>
      <w:r w:rsidRPr="00155F80">
        <w:rPr>
          <w:rFonts w:ascii="Times New Roman" w:hAnsi="Times New Roman"/>
          <w:noProof/>
          <w:lang w:val="bs-Latn-BA"/>
        </w:rPr>
        <w:t xml:space="preserve">jevanja od 2010.-2013. godine, a potom porast posljednje dvije godine. Na ovo je vjerovatno  </w:t>
      </w:r>
      <w:r w:rsidR="000A3A46">
        <w:rPr>
          <w:rFonts w:ascii="Times New Roman" w:hAnsi="Times New Roman"/>
          <w:noProof/>
          <w:lang w:val="bs-Latn-BA"/>
        </w:rPr>
        <w:t>uticalo</w:t>
      </w:r>
      <w:r w:rsidRPr="00155F80">
        <w:rPr>
          <w:rFonts w:ascii="Times New Roman" w:hAnsi="Times New Roman"/>
          <w:noProof/>
          <w:lang w:val="bs-Latn-BA"/>
        </w:rPr>
        <w:t xml:space="preserve"> sve veće  korištenje privatnog sektora do 2013. godine.</w:t>
      </w:r>
    </w:p>
    <w:p w:rsidR="00E61F0C" w:rsidRPr="00155F80" w:rsidRDefault="00E61F0C" w:rsidP="000C0138">
      <w:pPr>
        <w:tabs>
          <w:tab w:val="left" w:pos="550"/>
        </w:tabs>
        <w:spacing w:before="120" w:line="276" w:lineRule="auto"/>
        <w:rPr>
          <w:rFonts w:ascii="Times New Roman" w:hAnsi="Times New Roman"/>
          <w:noProof/>
          <w:lang w:val="bs-Latn-BA"/>
        </w:rPr>
      </w:pPr>
    </w:p>
    <w:p w:rsidR="00A131AD" w:rsidRPr="00155F80" w:rsidRDefault="00A131AD" w:rsidP="00B37E7E">
      <w:pPr>
        <w:pStyle w:val="refererere"/>
      </w:pPr>
      <w:r w:rsidRPr="00155F80">
        <w:t>Grafikon 58: Stopa obol</w:t>
      </w:r>
      <w:r w:rsidR="004B2A12">
        <w:t>i</w:t>
      </w:r>
      <w:r w:rsidRPr="00155F80">
        <w:t xml:space="preserve">jevanja žena starosti 15+ godina u Federaciji BiH, za </w:t>
      </w:r>
      <w:r w:rsidR="00F70FD4">
        <w:t>period</w:t>
      </w:r>
      <w:r w:rsidRPr="00155F80">
        <w:t xml:space="preserve"> 2010.-2015. godina, stopa na 10.000 stanovnika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eastAsia="en-GB"/>
        </w:rPr>
        <w:drawing>
          <wp:inline distT="0" distB="0" distL="0" distR="0" wp14:anchorId="596D1BCA" wp14:editId="49D00839">
            <wp:extent cx="5581650" cy="2517569"/>
            <wp:effectExtent l="0" t="0" r="0" b="165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p>
    <w:p w:rsidR="00A131AD" w:rsidRDefault="00A131AD" w:rsidP="007A7E4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Vodeća oboljenja žena dobi 15 i više godina, bez poremećaja menstruacije, su menopauza i drugi menopauzalni poremećaji i druge upale vagine i vulve s trendom porasta stope obolijevanja u </w:t>
      </w:r>
      <w:r w:rsidR="00F70FD4">
        <w:rPr>
          <w:rFonts w:ascii="Times New Roman" w:hAnsi="Times New Roman"/>
          <w:noProof/>
          <w:lang w:val="bs-Latn-BA"/>
        </w:rPr>
        <w:t>periodu</w:t>
      </w:r>
      <w:r w:rsidRPr="00155F80">
        <w:rPr>
          <w:rFonts w:ascii="Times New Roman" w:hAnsi="Times New Roman"/>
          <w:noProof/>
          <w:lang w:val="bs-Latn-BA"/>
        </w:rPr>
        <w:t xml:space="preserve"> od 2010.-2015. godine, slijede kandidijaza s trendom opadanja stope obolijevanja, upala mokraćnog mjehura, te upala vrata materice koja bilježi trend porasta. </w:t>
      </w:r>
      <w:bookmarkStart w:id="297" w:name="_Toc390770682"/>
    </w:p>
    <w:p w:rsidR="007A7E4A" w:rsidRPr="00155F80" w:rsidRDefault="007A7E4A" w:rsidP="007A7E4A">
      <w:pPr>
        <w:tabs>
          <w:tab w:val="left" w:pos="550"/>
        </w:tabs>
        <w:spacing w:before="120" w:line="276" w:lineRule="auto"/>
        <w:rPr>
          <w:rFonts w:ascii="Times New Roman" w:hAnsi="Times New Roman"/>
          <w:iCs/>
          <w:noProof/>
          <w:lang w:val="bs-Latn-BA" w:eastAsia="bs-Latn-BA"/>
        </w:rPr>
      </w:pPr>
    </w:p>
    <w:p w:rsidR="00F8495E" w:rsidRDefault="00F8495E">
      <w:pPr>
        <w:spacing w:after="160" w:line="259" w:lineRule="auto"/>
        <w:jc w:val="left"/>
        <w:rPr>
          <w:rFonts w:ascii="Times New Roman" w:hAnsi="Times New Roman"/>
          <w:sz w:val="20"/>
          <w:szCs w:val="20"/>
        </w:rPr>
      </w:pPr>
      <w:r>
        <w:br w:type="page"/>
      </w:r>
    </w:p>
    <w:p w:rsidR="00A131AD" w:rsidRPr="00834139" w:rsidRDefault="00A131AD" w:rsidP="00B37E7E">
      <w:pPr>
        <w:pStyle w:val="refererere"/>
        <w:rPr>
          <w:noProof/>
          <w:lang w:val="bs-Latn-BA" w:eastAsia="bs-Latn-BA"/>
        </w:rPr>
      </w:pPr>
      <w:r w:rsidRPr="00834139">
        <w:t>Grafikon</w:t>
      </w:r>
      <w:r w:rsidRPr="00834139">
        <w:rPr>
          <w:noProof/>
          <w:lang w:val="bs-Latn-BA" w:eastAsia="bs-Latn-BA"/>
        </w:rPr>
        <w:t xml:space="preserve"> 59 : Vodeća oboljenja žena starosti 15 i više godina u Federaciji BiH, za </w:t>
      </w:r>
      <w:r w:rsidR="00F70FD4">
        <w:rPr>
          <w:noProof/>
          <w:lang w:val="bs-Latn-BA" w:eastAsia="bs-Latn-BA"/>
        </w:rPr>
        <w:t>period</w:t>
      </w:r>
      <w:r w:rsidRPr="00834139">
        <w:rPr>
          <w:noProof/>
          <w:lang w:val="bs-Latn-BA" w:eastAsia="bs-Latn-BA"/>
        </w:rPr>
        <w:t xml:space="preserve"> 2010.-2015. godina, stopa na 10.000</w:t>
      </w:r>
      <w:bookmarkEnd w:id="297"/>
      <w:r w:rsidRPr="00834139">
        <w:rPr>
          <w:noProof/>
          <w:lang w:val="bs-Latn-BA" w:eastAsia="bs-Latn-BA"/>
        </w:rPr>
        <w:t xml:space="preserve"> stanovnika</w:t>
      </w:r>
    </w:p>
    <w:p w:rsidR="00A131AD" w:rsidRPr="00E61F0C" w:rsidRDefault="00A131AD" w:rsidP="00E61F0C">
      <w:pPr>
        <w:spacing w:after="160" w:line="276" w:lineRule="auto"/>
        <w:jc w:val="left"/>
        <w:rPr>
          <w:rFonts w:ascii="Times New Roman" w:eastAsiaTheme="minorHAnsi" w:hAnsi="Times New Roman"/>
          <w:lang w:val="bs-Latn-BA"/>
        </w:rPr>
      </w:pPr>
      <w:r w:rsidRPr="00155F80">
        <w:rPr>
          <w:rFonts w:ascii="Times New Roman" w:eastAsiaTheme="minorHAnsi" w:hAnsi="Times New Roman"/>
          <w:noProof/>
          <w:lang w:eastAsia="en-GB"/>
        </w:rPr>
        <w:drawing>
          <wp:inline distT="0" distB="0" distL="0" distR="0" wp14:anchorId="4CD84581" wp14:editId="1FEF34B1">
            <wp:extent cx="5753100" cy="1971304"/>
            <wp:effectExtent l="0" t="0" r="0"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F70FD4">
        <w:rPr>
          <w:rFonts w:ascii="Times New Roman" w:hAnsi="Times New Roman"/>
          <w:noProof/>
          <w:lang w:val="bs-Latn-BA"/>
        </w:rPr>
        <w:t>periodu</w:t>
      </w:r>
      <w:r w:rsidRPr="00155F80">
        <w:rPr>
          <w:rFonts w:ascii="Times New Roman" w:hAnsi="Times New Roman"/>
          <w:noProof/>
          <w:lang w:val="bs-Latn-BA"/>
        </w:rPr>
        <w:t xml:space="preserve"> od 2010.</w:t>
      </w:r>
      <w:r w:rsidR="00DC7D46" w:rsidRPr="00155F80">
        <w:rPr>
          <w:rFonts w:ascii="Times New Roman" w:hAnsi="Times New Roman"/>
          <w:noProof/>
          <w:lang w:val="bs-Latn-BA"/>
        </w:rPr>
        <w:t>-</w:t>
      </w:r>
      <w:r w:rsidRPr="00155F80">
        <w:rPr>
          <w:rFonts w:ascii="Times New Roman" w:hAnsi="Times New Roman"/>
          <w:noProof/>
          <w:lang w:val="bs-Latn-BA"/>
        </w:rPr>
        <w:t>2015. godine, u starosnoj grupi od 15 do 49 godina, vodeća oboljenja žena, bez poremećaja menstruacije, su upale vagine i vulve koje bilježe značajan porast stope obolijevanja, kandidijaza, upala grlića materice, te menopauza i drugi menopauzalni poremećaji. Anemija zbog nedostatka u 2015. godini nije među pet vodećih oboljenja žena ove starosti.</w:t>
      </w:r>
    </w:p>
    <w:p w:rsidR="00A131AD" w:rsidRPr="00155F80" w:rsidRDefault="00A131AD" w:rsidP="000C0138">
      <w:pPr>
        <w:pStyle w:val="NoSpacing"/>
        <w:spacing w:line="276" w:lineRule="auto"/>
        <w:rPr>
          <w:noProof/>
          <w:sz w:val="22"/>
          <w:szCs w:val="22"/>
          <w:lang w:val="bs-Latn-BA" w:eastAsia="bs-Latn-BA"/>
        </w:rPr>
      </w:pPr>
      <w:bookmarkStart w:id="298" w:name="_Toc390770683"/>
    </w:p>
    <w:p w:rsidR="00A131AD" w:rsidRPr="00155F80" w:rsidRDefault="00A131AD" w:rsidP="00B37E7E">
      <w:pPr>
        <w:pStyle w:val="refererere"/>
        <w:jc w:val="left"/>
        <w:rPr>
          <w:iCs/>
          <w:noProof/>
          <w:lang w:val="bs-Latn-BA" w:eastAsia="bs-Latn-BA"/>
        </w:rPr>
      </w:pPr>
      <w:r w:rsidRPr="00155F80">
        <w:rPr>
          <w:noProof/>
          <w:lang w:val="bs-Latn-BA" w:eastAsia="bs-Latn-BA"/>
        </w:rPr>
        <w:t xml:space="preserve">Grafikon 60:Vodeća oboljenja žena starosti 15-49 god. u Federaciji BiH, za </w:t>
      </w:r>
      <w:r w:rsidR="00F70FD4">
        <w:rPr>
          <w:noProof/>
          <w:lang w:val="bs-Latn-BA" w:eastAsia="bs-Latn-BA"/>
        </w:rPr>
        <w:t>period</w:t>
      </w:r>
      <w:r w:rsidRPr="00155F80">
        <w:rPr>
          <w:noProof/>
          <w:lang w:val="bs-Latn-BA" w:eastAsia="bs-Latn-BA"/>
        </w:rPr>
        <w:t xml:space="preserve"> 2010.-2015. godina, stopa na 10.000</w:t>
      </w:r>
      <w:bookmarkEnd w:id="298"/>
      <w:r w:rsidRPr="00155F80">
        <w:rPr>
          <w:noProof/>
          <w:lang w:val="bs-Latn-BA" w:eastAsia="bs-Latn-BA"/>
        </w:rPr>
        <w:t xml:space="preserve"> stanovnika</w:t>
      </w:r>
      <w:r w:rsidRPr="00155F80">
        <w:rPr>
          <w:noProof/>
          <w:lang w:eastAsia="en-GB"/>
        </w:rPr>
        <w:drawing>
          <wp:inline distT="0" distB="0" distL="0" distR="0" wp14:anchorId="36C52113" wp14:editId="4392A746">
            <wp:extent cx="5772150" cy="1911927"/>
            <wp:effectExtent l="0" t="0" r="0" b="1270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131AD" w:rsidRPr="00155F80" w:rsidRDefault="00A131AD" w:rsidP="000C0138">
      <w:pPr>
        <w:spacing w:after="160" w:line="276" w:lineRule="auto"/>
        <w:jc w:val="center"/>
        <w:rPr>
          <w:rFonts w:ascii="Times New Roman" w:eastAsiaTheme="minorHAnsi" w:hAnsi="Times New Roman"/>
          <w:lang w:val="bs-Latn-BA"/>
        </w:rPr>
      </w:pPr>
    </w:p>
    <w:p w:rsidR="00B560D0" w:rsidRDefault="00A131AD" w:rsidP="00B560D0">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Među ženama starijim od 50 godina, vodeća oboljenja i stanja žena su menopauza i drugi menopauzalni poremećaji, upale vagine i vulve i upala grlića materice koji bilježe porast stope obolijevanja, dok kandidijaza ima lagani trend opadanja.</w:t>
      </w:r>
      <w:bookmarkStart w:id="299" w:name="_Toc390770684"/>
    </w:p>
    <w:p w:rsidR="00A131AD" w:rsidRPr="00155F80" w:rsidRDefault="00A131AD" w:rsidP="00B560D0">
      <w:pPr>
        <w:tabs>
          <w:tab w:val="left" w:pos="550"/>
        </w:tabs>
        <w:spacing w:before="120" w:line="276" w:lineRule="auto"/>
        <w:jc w:val="left"/>
        <w:rPr>
          <w:noProof/>
          <w:lang w:val="bs-Latn-BA" w:eastAsia="bs-Latn-BA"/>
        </w:rPr>
      </w:pPr>
      <w:r w:rsidRPr="00155F80">
        <w:rPr>
          <w:noProof/>
          <w:lang w:val="bs-Latn-BA" w:eastAsia="bs-Latn-BA"/>
        </w:rPr>
        <w:t xml:space="preserve">Grafikon 61: Vodeća oboljenja žena starosti 50 i više god. u Federaciji BiH, za </w:t>
      </w:r>
      <w:r w:rsidR="00F70FD4">
        <w:rPr>
          <w:noProof/>
          <w:lang w:val="bs-Latn-BA" w:eastAsia="bs-Latn-BA"/>
        </w:rPr>
        <w:t>period</w:t>
      </w:r>
      <w:r w:rsidRPr="00155F80">
        <w:rPr>
          <w:noProof/>
          <w:lang w:val="bs-Latn-BA" w:eastAsia="bs-Latn-BA"/>
        </w:rPr>
        <w:t xml:space="preserve"> 2010.-2015. godina, stopa na 10.000</w:t>
      </w:r>
      <w:bookmarkEnd w:id="299"/>
      <w:r w:rsidRPr="00155F80">
        <w:rPr>
          <w:noProof/>
          <w:lang w:val="bs-Latn-BA" w:eastAsia="bs-Latn-BA"/>
        </w:rPr>
        <w:t xml:space="preserve"> stanovnika</w:t>
      </w:r>
      <w:r w:rsidRPr="00155F80">
        <w:rPr>
          <w:noProof/>
          <w:lang w:eastAsia="en-GB"/>
        </w:rPr>
        <w:drawing>
          <wp:inline distT="0" distB="0" distL="0" distR="0" wp14:anchorId="6C280C4F" wp14:editId="576D1168">
            <wp:extent cx="5676900" cy="1876301"/>
            <wp:effectExtent l="0" t="0" r="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službama za zdravstvenu zaštitu žena u Federaciji BiH u 2015. godini je </w:t>
      </w:r>
      <w:r w:rsidR="00A80006">
        <w:rPr>
          <w:rFonts w:ascii="Times New Roman" w:hAnsi="Times New Roman"/>
          <w:noProof/>
          <w:lang w:val="bs-Latn-BA"/>
        </w:rPr>
        <w:t>registrovano</w:t>
      </w:r>
      <w:r w:rsidRPr="00155F80">
        <w:rPr>
          <w:rFonts w:ascii="Times New Roman" w:hAnsi="Times New Roman"/>
          <w:noProof/>
          <w:lang w:val="bs-Latn-BA"/>
        </w:rPr>
        <w:t xml:space="preserve"> 460 </w:t>
      </w:r>
      <w:r w:rsidR="00C651BA">
        <w:rPr>
          <w:rFonts w:ascii="Times New Roman" w:hAnsi="Times New Roman"/>
          <w:noProof/>
          <w:lang w:val="bs-Latn-BA"/>
        </w:rPr>
        <w:t>pobačaja</w:t>
      </w:r>
      <w:r w:rsidRPr="00155F80">
        <w:rPr>
          <w:rFonts w:ascii="Times New Roman" w:hAnsi="Times New Roman"/>
          <w:noProof/>
          <w:lang w:val="bs-Latn-BA"/>
        </w:rPr>
        <w:t xml:space="preserve">  što se smatra podcijenjenim podatkom. Upor</w:t>
      </w:r>
      <w:r w:rsidR="00927FC7">
        <w:rPr>
          <w:rFonts w:ascii="Times New Roman" w:hAnsi="Times New Roman"/>
          <w:noProof/>
          <w:lang w:val="bs-Latn-BA"/>
        </w:rPr>
        <w:t>a</w:t>
      </w:r>
      <w:r w:rsidRPr="00155F80">
        <w:rPr>
          <w:rFonts w:ascii="Times New Roman" w:hAnsi="Times New Roman"/>
          <w:noProof/>
          <w:lang w:val="bs-Latn-BA"/>
        </w:rPr>
        <w:t xml:space="preserve">bljivi </w:t>
      </w:r>
      <w:r w:rsidR="002B489B">
        <w:rPr>
          <w:rFonts w:ascii="Times New Roman" w:hAnsi="Times New Roman"/>
          <w:noProof/>
          <w:lang w:val="bs-Latn-BA"/>
        </w:rPr>
        <w:t>podaci</w:t>
      </w:r>
      <w:r w:rsidRPr="00155F80">
        <w:rPr>
          <w:rFonts w:ascii="Times New Roman" w:hAnsi="Times New Roman"/>
          <w:noProof/>
          <w:lang w:val="bs-Latn-BA"/>
        </w:rPr>
        <w:t xml:space="preserve"> o </w:t>
      </w:r>
      <w:r w:rsidR="00927FC7">
        <w:rPr>
          <w:rFonts w:ascii="Times New Roman" w:hAnsi="Times New Roman"/>
          <w:noProof/>
          <w:lang w:val="bs-Latn-BA"/>
        </w:rPr>
        <w:t>pobačajima</w:t>
      </w:r>
      <w:r w:rsidRPr="00155F80">
        <w:rPr>
          <w:rFonts w:ascii="Times New Roman" w:hAnsi="Times New Roman"/>
          <w:noProof/>
          <w:lang w:val="bs-Latn-BA"/>
        </w:rPr>
        <w:t xml:space="preserve"> nisu dobiveni niti kroz posljednje MICS4 istraživanje. </w:t>
      </w:r>
    </w:p>
    <w:p w:rsidR="0059581E" w:rsidRPr="00155F80" w:rsidRDefault="0059581E" w:rsidP="000C0138">
      <w:pPr>
        <w:tabs>
          <w:tab w:val="left" w:pos="550"/>
        </w:tabs>
        <w:spacing w:before="120" w:line="276" w:lineRule="auto"/>
        <w:rPr>
          <w:rFonts w:ascii="Times New Roman" w:hAnsi="Times New Roman"/>
          <w:noProof/>
          <w:lang w:val="bs-Latn-BA"/>
        </w:rPr>
      </w:pPr>
    </w:p>
    <w:p w:rsidR="00A131AD" w:rsidRPr="00155F80" w:rsidRDefault="00A06016" w:rsidP="00A06016">
      <w:pPr>
        <w:pStyle w:val="Poglavlje3"/>
        <w:rPr>
          <w:lang w:val="bs-Latn-BA"/>
        </w:rPr>
      </w:pPr>
      <w:bookmarkStart w:id="300" w:name="_Toc424298833"/>
      <w:bookmarkStart w:id="301" w:name="_Toc460929203"/>
      <w:r>
        <w:rPr>
          <w:lang w:val="bs-Latn-BA"/>
        </w:rPr>
        <w:t>3.2.6</w:t>
      </w:r>
      <w:r w:rsidR="000E1376" w:rsidRPr="00155F80">
        <w:rPr>
          <w:lang w:val="bs-Latn-BA"/>
        </w:rPr>
        <w:t xml:space="preserve"> </w:t>
      </w:r>
      <w:r w:rsidR="00A131AD" w:rsidRPr="00155F80">
        <w:rPr>
          <w:lang w:val="bs-Latn-BA"/>
        </w:rPr>
        <w:t xml:space="preserve"> Zdravlje usta i zuba</w:t>
      </w:r>
      <w:bookmarkEnd w:id="300"/>
      <w:bookmarkEnd w:id="301"/>
    </w:p>
    <w:p w:rsidR="00A131AD" w:rsidRPr="00155F80" w:rsidRDefault="002B489B" w:rsidP="000C0138">
      <w:pPr>
        <w:pStyle w:val="Tekst0"/>
        <w:spacing w:line="276" w:lineRule="auto"/>
        <w:rPr>
          <w:sz w:val="22"/>
          <w:szCs w:val="22"/>
        </w:rPr>
      </w:pPr>
      <w:r>
        <w:rPr>
          <w:sz w:val="22"/>
          <w:szCs w:val="22"/>
        </w:rPr>
        <w:t>Podaci</w:t>
      </w:r>
      <w:r w:rsidR="00A131AD" w:rsidRPr="00155F80">
        <w:rPr>
          <w:sz w:val="22"/>
          <w:szCs w:val="22"/>
        </w:rPr>
        <w:t xml:space="preserve"> </w:t>
      </w:r>
      <w:r>
        <w:rPr>
          <w:sz w:val="22"/>
          <w:szCs w:val="22"/>
        </w:rPr>
        <w:t>redovne</w:t>
      </w:r>
      <w:r w:rsidR="00A131AD" w:rsidRPr="00155F80">
        <w:rPr>
          <w:sz w:val="22"/>
          <w:szCs w:val="22"/>
        </w:rPr>
        <w:t xml:space="preserve"> zdravstvene statistike i istraživanja već dugi niz godina ukazuju na loše stanje oralnog zdravlja. Stoga je Federalno m</w:t>
      </w:r>
      <w:r w:rsidR="00E61F0C">
        <w:rPr>
          <w:sz w:val="22"/>
          <w:szCs w:val="22"/>
        </w:rPr>
        <w:t xml:space="preserve">inistarstvo zdravstva u </w:t>
      </w:r>
      <w:r>
        <w:rPr>
          <w:sz w:val="22"/>
          <w:szCs w:val="22"/>
        </w:rPr>
        <w:t>saradnji</w:t>
      </w:r>
      <w:r w:rsidR="00A131AD" w:rsidRPr="00155F80">
        <w:rPr>
          <w:sz w:val="22"/>
          <w:szCs w:val="22"/>
        </w:rPr>
        <w:t xml:space="preserve"> sa Zavodom za javno zdravstvo Federacije BiH i Zavodom zdravstvenog osiguranja i reosiguranja Federacije BiH  2005. godine pokrenulo program “Edukacija djece prvih razreda osnovne škole o higijeni zuba i usta u Federaciji BiH“. Ovaj program je do 2011. godine bio uvršten u vertikalne prioritetne programe od interesa za Federaciju BiH, do kada je na području svih kantona Federacije BiH implementirano pet ciklusa edukacije u okviru kojih je educirano preko 90% djece </w:t>
      </w:r>
      <w:r w:rsidR="00E61F0C">
        <w:rPr>
          <w:sz w:val="22"/>
          <w:szCs w:val="22"/>
        </w:rPr>
        <w:t>u prvim razredima</w:t>
      </w:r>
      <w:r w:rsidR="00A131AD" w:rsidRPr="00155F80">
        <w:rPr>
          <w:sz w:val="22"/>
          <w:szCs w:val="22"/>
        </w:rPr>
        <w:t xml:space="preserve"> osnovne škole.  </w:t>
      </w:r>
    </w:p>
    <w:p w:rsidR="009A5B2B" w:rsidRPr="00155F80" w:rsidRDefault="00A131AD" w:rsidP="007A7E4A">
      <w:pPr>
        <w:pStyle w:val="Tekst0"/>
        <w:spacing w:line="276" w:lineRule="auto"/>
        <w:rPr>
          <w:b/>
          <w:lang w:val="bs-Latn-BA"/>
        </w:rPr>
      </w:pPr>
      <w:r w:rsidRPr="00155F80">
        <w:rPr>
          <w:sz w:val="22"/>
          <w:szCs w:val="22"/>
        </w:rPr>
        <w:t>Uspješno os</w:t>
      </w:r>
      <w:r w:rsidR="00D21A46">
        <w:rPr>
          <w:sz w:val="22"/>
          <w:szCs w:val="22"/>
        </w:rPr>
        <w:t>materija</w:t>
      </w:r>
      <w:r w:rsidRPr="00155F80">
        <w:rPr>
          <w:sz w:val="22"/>
          <w:szCs w:val="22"/>
        </w:rPr>
        <w:t>eni ciljevi ovog programa koordiniranog s federaln</w:t>
      </w:r>
      <w:r w:rsidR="00E73346">
        <w:rPr>
          <w:sz w:val="22"/>
          <w:szCs w:val="22"/>
        </w:rPr>
        <w:t>e</w:t>
      </w:r>
      <w:r w:rsidRPr="00155F80">
        <w:rPr>
          <w:sz w:val="22"/>
          <w:szCs w:val="22"/>
        </w:rPr>
        <w:t xml:space="preserve"> </w:t>
      </w:r>
      <w:r w:rsidR="00E73346">
        <w:rPr>
          <w:sz w:val="22"/>
          <w:szCs w:val="22"/>
        </w:rPr>
        <w:t xml:space="preserve">razine </w:t>
      </w:r>
      <w:r w:rsidRPr="00155F80">
        <w:rPr>
          <w:sz w:val="22"/>
          <w:szCs w:val="22"/>
        </w:rPr>
        <w:t xml:space="preserve">su omogućili njegovu daljnju koordinaciju i realizaciju na </w:t>
      </w:r>
      <w:r w:rsidR="002B489B">
        <w:rPr>
          <w:sz w:val="22"/>
          <w:szCs w:val="22"/>
        </w:rPr>
        <w:t>nivou</w:t>
      </w:r>
      <w:r w:rsidRPr="00155F80">
        <w:rPr>
          <w:sz w:val="22"/>
          <w:szCs w:val="22"/>
        </w:rPr>
        <w:t xml:space="preserve"> kantona uz izdvajanje minimalnih finan</w:t>
      </w:r>
      <w:r w:rsidR="00E73346">
        <w:rPr>
          <w:sz w:val="22"/>
          <w:szCs w:val="22"/>
        </w:rPr>
        <w:t>c</w:t>
      </w:r>
      <w:r w:rsidRPr="00155F80">
        <w:rPr>
          <w:sz w:val="22"/>
          <w:szCs w:val="22"/>
        </w:rPr>
        <w:t xml:space="preserve">ijskih sredstava iz </w:t>
      </w:r>
      <w:r w:rsidR="00E73346">
        <w:rPr>
          <w:sz w:val="22"/>
          <w:szCs w:val="22"/>
        </w:rPr>
        <w:t>proračuna</w:t>
      </w:r>
      <w:r w:rsidRPr="00155F80">
        <w:rPr>
          <w:sz w:val="22"/>
          <w:szCs w:val="22"/>
        </w:rPr>
        <w:t xml:space="preserve"> kantona.</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Morbiditet (ukupno stanovništvo) </w:t>
      </w:r>
    </w:p>
    <w:p w:rsidR="003361B4" w:rsidRDefault="00A131AD" w:rsidP="00B560D0">
      <w:pPr>
        <w:pStyle w:val="Tekst0"/>
        <w:spacing w:line="276" w:lineRule="auto"/>
      </w:pPr>
      <w:r w:rsidRPr="00155F80">
        <w:rPr>
          <w:sz w:val="22"/>
          <w:szCs w:val="22"/>
        </w:rPr>
        <w:t xml:space="preserve">Prema </w:t>
      </w:r>
      <w:r w:rsidR="002B489B">
        <w:rPr>
          <w:sz w:val="22"/>
          <w:szCs w:val="22"/>
        </w:rPr>
        <w:t>podaci</w:t>
      </w:r>
      <w:r w:rsidRPr="00155F80">
        <w:rPr>
          <w:sz w:val="22"/>
          <w:szCs w:val="22"/>
        </w:rPr>
        <w:t xml:space="preserve">ma </w:t>
      </w:r>
      <w:r w:rsidR="002B489B">
        <w:rPr>
          <w:sz w:val="22"/>
          <w:szCs w:val="22"/>
        </w:rPr>
        <w:t>redovne</w:t>
      </w:r>
      <w:r w:rsidRPr="00155F80">
        <w:rPr>
          <w:sz w:val="22"/>
          <w:szCs w:val="22"/>
        </w:rPr>
        <w:t xml:space="preserve"> zdravstvene statistik</w:t>
      </w:r>
      <w:r w:rsidR="00E73346">
        <w:rPr>
          <w:sz w:val="22"/>
          <w:szCs w:val="22"/>
        </w:rPr>
        <w:t>e</w:t>
      </w:r>
      <w:r w:rsidRPr="00155F80">
        <w:rPr>
          <w:sz w:val="22"/>
          <w:szCs w:val="22"/>
        </w:rPr>
        <w:t xml:space="preserve">, koji se odnose na javni sektor stomatološke zaštite, stopa ukupnog morbiditeta u 2015. godini u Federaciji BiH  je iznosila 3.194/10.000 stanovnika. </w:t>
      </w:r>
      <w:bookmarkStart w:id="302" w:name="_Toc390770685"/>
    </w:p>
    <w:p w:rsidR="003361B4" w:rsidRPr="00155F80" w:rsidRDefault="003361B4" w:rsidP="000C0138">
      <w:pPr>
        <w:pStyle w:val="Tekst0"/>
        <w:spacing w:line="276" w:lineRule="auto"/>
        <w:rPr>
          <w:sz w:val="22"/>
          <w:szCs w:val="22"/>
        </w:rPr>
      </w:pPr>
    </w:p>
    <w:p w:rsidR="00271AC7" w:rsidRDefault="00A131AD" w:rsidP="00B37E7E">
      <w:pPr>
        <w:pStyle w:val="refererere"/>
      </w:pPr>
      <w:r w:rsidRPr="00155F80">
        <w:t xml:space="preserve">Grafikon 62: Ukupni  morbiditet u stomatološkoj zaštiti u Federaciji BiH, za </w:t>
      </w:r>
      <w:r w:rsidR="00F70FD4">
        <w:t>period</w:t>
      </w:r>
      <w:r w:rsidRPr="00155F80">
        <w:t xml:space="preserve"> 2010.-2015. godina, stopa na 10.000</w:t>
      </w:r>
      <w:bookmarkEnd w:id="302"/>
      <w:r w:rsidRPr="00155F80">
        <w:t xml:space="preserve"> stanovnika</w:t>
      </w:r>
    </w:p>
    <w:p w:rsidR="00A131AD" w:rsidRPr="00155F80" w:rsidRDefault="00A131AD" w:rsidP="000C0138">
      <w:pPr>
        <w:spacing w:line="276" w:lineRule="auto"/>
        <w:jc w:val="center"/>
        <w:rPr>
          <w:rFonts w:ascii="Times New Roman" w:hAnsi="Times New Roman"/>
          <w:iCs/>
          <w:lang w:val="bs-Latn-BA" w:eastAsia="bs-Latn-BA"/>
        </w:rPr>
      </w:pPr>
      <w:r w:rsidRPr="00155F80">
        <w:rPr>
          <w:rFonts w:ascii="Times New Roman" w:hAnsi="Times New Roman"/>
          <w:iCs/>
          <w:noProof/>
          <w:lang w:eastAsia="en-GB"/>
        </w:rPr>
        <w:drawing>
          <wp:inline distT="0" distB="0" distL="0" distR="0" wp14:anchorId="0E41B367" wp14:editId="098C2A1F">
            <wp:extent cx="5773420" cy="1852550"/>
            <wp:effectExtent l="0" t="0" r="17780" b="1460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131AD" w:rsidRPr="00155F80" w:rsidRDefault="00A131AD" w:rsidP="000C0138">
      <w:pPr>
        <w:pStyle w:val="Tekst0"/>
        <w:spacing w:line="276" w:lineRule="auto"/>
        <w:rPr>
          <w:sz w:val="22"/>
          <w:szCs w:val="22"/>
        </w:rPr>
      </w:pPr>
    </w:p>
    <w:p w:rsidR="00A131AD" w:rsidRPr="00155F80" w:rsidRDefault="00A131AD" w:rsidP="000C0138">
      <w:pPr>
        <w:pStyle w:val="Tekst0"/>
        <w:spacing w:line="276" w:lineRule="auto"/>
        <w:rPr>
          <w:sz w:val="22"/>
          <w:szCs w:val="22"/>
        </w:rPr>
      </w:pPr>
      <w:r w:rsidRPr="00155F80">
        <w:rPr>
          <w:sz w:val="22"/>
          <w:szCs w:val="22"/>
        </w:rPr>
        <w:t>Kao i pre</w:t>
      </w:r>
      <w:r w:rsidR="00E73346">
        <w:rPr>
          <w:sz w:val="22"/>
          <w:szCs w:val="22"/>
        </w:rPr>
        <w:t>t</w:t>
      </w:r>
      <w:r w:rsidRPr="00155F80">
        <w:rPr>
          <w:sz w:val="22"/>
          <w:szCs w:val="22"/>
        </w:rPr>
        <w:t>hodnih godina, vodeća oboljenja za ukupno stanovništvo u Federaciji BiH su bili zubni karijes i oboljenja zubne pulpe i periapikalnog tkiva, koja su zajedno činila preko dvije trećine morbiditeta u stomatološkoj zaštiti (</w:t>
      </w:r>
      <w:r w:rsidRPr="00155F80">
        <w:rPr>
          <w:sz w:val="22"/>
          <w:szCs w:val="22"/>
          <w:lang w:eastAsia="bs-Latn-BA"/>
        </w:rPr>
        <w:t>70,4</w:t>
      </w:r>
      <w:r w:rsidRPr="00155F80">
        <w:rPr>
          <w:sz w:val="22"/>
          <w:szCs w:val="22"/>
        </w:rPr>
        <w:t xml:space="preserve">%). </w:t>
      </w:r>
    </w:p>
    <w:p w:rsidR="00A131AD" w:rsidRDefault="00A131AD" w:rsidP="000C0138">
      <w:pPr>
        <w:pStyle w:val="Tekst0"/>
        <w:spacing w:line="276" w:lineRule="auto"/>
        <w:rPr>
          <w:sz w:val="22"/>
          <w:szCs w:val="22"/>
        </w:rPr>
      </w:pPr>
      <w:r w:rsidRPr="00155F80">
        <w:rPr>
          <w:sz w:val="22"/>
          <w:szCs w:val="22"/>
        </w:rPr>
        <w:t>Na trećem mjestu vodećih oboljenja su bili gingivitisi i periodontalna oboljenja (8,1%) iza kojih su slijedile dentofacijalne anomalije uključujući malokluzije (6,5) i druga oboljenja čvrstog tkiva zuba (4,4%).</w:t>
      </w:r>
    </w:p>
    <w:p w:rsidR="00B560D0" w:rsidRDefault="00B560D0" w:rsidP="000C0138">
      <w:pPr>
        <w:pStyle w:val="Tekst0"/>
        <w:spacing w:line="276" w:lineRule="auto"/>
        <w:rPr>
          <w:sz w:val="22"/>
          <w:szCs w:val="22"/>
        </w:rPr>
      </w:pPr>
    </w:p>
    <w:p w:rsidR="00B560D0" w:rsidRDefault="00B560D0" w:rsidP="000C0138">
      <w:pPr>
        <w:pStyle w:val="Tekst0"/>
        <w:spacing w:line="276" w:lineRule="auto"/>
        <w:rPr>
          <w:sz w:val="22"/>
          <w:szCs w:val="22"/>
        </w:rPr>
      </w:pPr>
    </w:p>
    <w:p w:rsidR="00B560D0" w:rsidRDefault="00B560D0" w:rsidP="000C0138">
      <w:pPr>
        <w:pStyle w:val="Tekst0"/>
        <w:spacing w:line="276" w:lineRule="auto"/>
        <w:rPr>
          <w:sz w:val="22"/>
          <w:szCs w:val="22"/>
        </w:rPr>
      </w:pPr>
    </w:p>
    <w:p w:rsidR="007A7E4A" w:rsidRDefault="007A7E4A" w:rsidP="000C0138">
      <w:pPr>
        <w:pStyle w:val="Tekst0"/>
        <w:spacing w:line="276" w:lineRule="auto"/>
        <w:rPr>
          <w:sz w:val="22"/>
          <w:szCs w:val="22"/>
        </w:rPr>
      </w:pPr>
    </w:p>
    <w:p w:rsidR="00A131AD" w:rsidRPr="00155F80" w:rsidRDefault="00A131AD" w:rsidP="00B37E7E">
      <w:pPr>
        <w:pStyle w:val="refererere"/>
      </w:pPr>
      <w:bookmarkStart w:id="303" w:name="_Toc390770686"/>
      <w:r w:rsidRPr="00155F80">
        <w:t xml:space="preserve">Grafikon 63: Vodeća oboljenja u stomatološkoj zaštiti u Federaciji BiH, za </w:t>
      </w:r>
      <w:r w:rsidR="00F70FD4">
        <w:t>period</w:t>
      </w:r>
      <w:r w:rsidR="00E73346">
        <w:t xml:space="preserve"> </w:t>
      </w:r>
      <w:r w:rsidRPr="00155F80">
        <w:t>2010.-2015. godina, indeks strukture</w:t>
      </w:r>
      <w:bookmarkEnd w:id="303"/>
    </w:p>
    <w:p w:rsidR="00A131AD" w:rsidRPr="00155F80" w:rsidRDefault="00A131AD" w:rsidP="000C0138">
      <w:pPr>
        <w:spacing w:after="200" w:line="276" w:lineRule="auto"/>
        <w:jc w:val="center"/>
        <w:rPr>
          <w:rFonts w:ascii="Times New Roman" w:hAnsi="Times New Roman"/>
          <w:iCs/>
          <w:lang w:val="bs-Latn-BA" w:eastAsia="bs-Latn-BA"/>
        </w:rPr>
      </w:pPr>
      <w:r w:rsidRPr="00155F80">
        <w:rPr>
          <w:rFonts w:ascii="Times New Roman" w:hAnsi="Times New Roman"/>
          <w:iCs/>
          <w:noProof/>
          <w:lang w:eastAsia="en-GB"/>
        </w:rPr>
        <w:drawing>
          <wp:inline distT="0" distB="0" distL="0" distR="0" wp14:anchorId="6138A779" wp14:editId="557DC058">
            <wp:extent cx="5854065" cy="2422566"/>
            <wp:effectExtent l="0" t="0" r="13335" b="15875"/>
            <wp:docPr id="4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3230A0" w:rsidRPr="00155F80" w:rsidRDefault="003230A0"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Morbiditet po </w:t>
      </w:r>
      <w:r w:rsidR="00526FD0">
        <w:rPr>
          <w:rFonts w:ascii="Times New Roman" w:hAnsi="Times New Roman"/>
          <w:b/>
          <w:lang w:val="bs-Latn-BA"/>
        </w:rPr>
        <w:t>starosnim</w:t>
      </w:r>
      <w:r w:rsidRPr="00155F80">
        <w:rPr>
          <w:rFonts w:ascii="Times New Roman" w:hAnsi="Times New Roman"/>
          <w:b/>
          <w:lang w:val="bs-Latn-BA"/>
        </w:rPr>
        <w:t xml:space="preserve"> </w:t>
      </w:r>
      <w:r w:rsidR="003230A0" w:rsidRPr="00155F80">
        <w:rPr>
          <w:rFonts w:ascii="Times New Roman" w:hAnsi="Times New Roman"/>
          <w:b/>
          <w:lang w:val="bs-Latn-BA"/>
        </w:rPr>
        <w:t>grupama</w:t>
      </w:r>
    </w:p>
    <w:p w:rsidR="003361B4" w:rsidRDefault="00A131AD" w:rsidP="00B560D0">
      <w:pPr>
        <w:pStyle w:val="Tekst0"/>
        <w:spacing w:line="276" w:lineRule="auto"/>
        <w:rPr>
          <w:lang w:val="bs-Latn-BA"/>
        </w:rPr>
      </w:pPr>
      <w:r w:rsidRPr="00155F80">
        <w:rPr>
          <w:sz w:val="22"/>
          <w:szCs w:val="22"/>
        </w:rPr>
        <w:t>U</w:t>
      </w:r>
      <w:r w:rsidR="00E73346">
        <w:rPr>
          <w:sz w:val="22"/>
          <w:szCs w:val="22"/>
        </w:rPr>
        <w:t>dio</w:t>
      </w:r>
      <w:r w:rsidRPr="00155F80">
        <w:rPr>
          <w:sz w:val="22"/>
          <w:szCs w:val="22"/>
        </w:rPr>
        <w:t xml:space="preserve"> vodećih oboljenja zuba i usta u morbiditetu i njihov rang se nešto razlikuje p</w:t>
      </w:r>
      <w:r w:rsidR="00E73346">
        <w:rPr>
          <w:sz w:val="22"/>
          <w:szCs w:val="22"/>
        </w:rPr>
        <w:t>r</w:t>
      </w:r>
      <w:r w:rsidRPr="00155F80">
        <w:rPr>
          <w:sz w:val="22"/>
          <w:szCs w:val="22"/>
        </w:rPr>
        <w:t xml:space="preserve">omatrano po </w:t>
      </w:r>
      <w:r w:rsidR="00526FD0">
        <w:rPr>
          <w:sz w:val="22"/>
          <w:szCs w:val="22"/>
        </w:rPr>
        <w:t>starosnim</w:t>
      </w:r>
      <w:r w:rsidRPr="00155F80">
        <w:rPr>
          <w:sz w:val="22"/>
          <w:szCs w:val="22"/>
        </w:rPr>
        <w:t xml:space="preserve"> </w:t>
      </w:r>
      <w:r w:rsidR="00D21A46">
        <w:rPr>
          <w:sz w:val="22"/>
          <w:szCs w:val="22"/>
        </w:rPr>
        <w:t>grupa</w:t>
      </w:r>
      <w:r w:rsidRPr="00155F80">
        <w:rPr>
          <w:sz w:val="22"/>
          <w:szCs w:val="22"/>
        </w:rPr>
        <w:t>ma.</w:t>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Djeca (0-6 godina) </w:t>
      </w:r>
    </w:p>
    <w:p w:rsidR="00A131AD" w:rsidRPr="00155F80" w:rsidRDefault="00A131AD" w:rsidP="000C0138">
      <w:pPr>
        <w:pStyle w:val="Tekst0"/>
        <w:spacing w:line="276" w:lineRule="auto"/>
        <w:rPr>
          <w:sz w:val="22"/>
          <w:szCs w:val="22"/>
        </w:rPr>
      </w:pPr>
      <w:r w:rsidRPr="00155F80">
        <w:rPr>
          <w:sz w:val="22"/>
          <w:szCs w:val="22"/>
        </w:rPr>
        <w:t>Oboljenja zuba i usta djece uzrasta 0-6 godina su u ukupnom stomatološkom morbiditetu u 2015. godini imala u</w:t>
      </w:r>
      <w:r w:rsidR="00E73346">
        <w:rPr>
          <w:sz w:val="22"/>
          <w:szCs w:val="22"/>
        </w:rPr>
        <w:t>dio</w:t>
      </w:r>
      <w:r w:rsidRPr="00155F80">
        <w:rPr>
          <w:sz w:val="22"/>
          <w:szCs w:val="22"/>
        </w:rPr>
        <w:t xml:space="preserve"> od 4,8% . </w:t>
      </w:r>
    </w:p>
    <w:p w:rsidR="00A131AD" w:rsidRPr="00155F80" w:rsidRDefault="00A131AD" w:rsidP="000C0138">
      <w:pPr>
        <w:pStyle w:val="Tekst0"/>
        <w:spacing w:line="276" w:lineRule="auto"/>
        <w:rPr>
          <w:sz w:val="22"/>
          <w:szCs w:val="22"/>
        </w:rPr>
      </w:pPr>
      <w:r w:rsidRPr="00155F80">
        <w:rPr>
          <w:sz w:val="22"/>
          <w:szCs w:val="22"/>
        </w:rPr>
        <w:t>Kao i prethodnih godina, vodeća oboljenja su bili zubni karijes (50,5%) i oboljenja zubne pulpe i periapikalnog tkiva  (26,5%), iza kojih su slijedili d</w:t>
      </w:r>
      <w:r w:rsidRPr="00155F80">
        <w:rPr>
          <w:snapToGrid w:val="0"/>
          <w:sz w:val="22"/>
          <w:szCs w:val="22"/>
          <w:lang w:eastAsia="bs-Latn-BA"/>
        </w:rPr>
        <w:t>ruga oboljenja čvrstog tkiva zuba, gingivitisi i periodontalna  oboljenja,</w:t>
      </w:r>
      <w:r w:rsidRPr="00155F80">
        <w:rPr>
          <w:sz w:val="22"/>
          <w:szCs w:val="22"/>
        </w:rPr>
        <w:t xml:space="preserve"> te </w:t>
      </w:r>
      <w:r w:rsidRPr="00155F80">
        <w:rPr>
          <w:snapToGrid w:val="0"/>
          <w:sz w:val="22"/>
          <w:szCs w:val="22"/>
          <w:lang w:eastAsia="bs-Latn-BA"/>
        </w:rPr>
        <w:t>poremećaji razvoja i rasta zuba.</w:t>
      </w:r>
      <w:r w:rsidRPr="00155F80">
        <w:rPr>
          <w:sz w:val="22"/>
          <w:szCs w:val="22"/>
        </w:rPr>
        <w:t xml:space="preserve"> </w:t>
      </w:r>
    </w:p>
    <w:p w:rsidR="00A131AD" w:rsidRPr="00155F80" w:rsidRDefault="00A131AD" w:rsidP="003066C2">
      <w:pPr>
        <w:pStyle w:val="grafikon"/>
      </w:pPr>
      <w:bookmarkStart w:id="304" w:name="_Toc390770687"/>
      <w:r w:rsidRPr="00155F80">
        <w:t>U odnosu na 2010. godinu, u p</w:t>
      </w:r>
      <w:r w:rsidR="006136C2">
        <w:t>r</w:t>
      </w:r>
      <w:r w:rsidRPr="00155F80">
        <w:t xml:space="preserve">omatranom </w:t>
      </w:r>
      <w:r w:rsidR="00F70FD4">
        <w:t>periodu</w:t>
      </w:r>
      <w:r w:rsidRPr="00155F80">
        <w:t xml:space="preserve"> je evidentiran lagani porast u</w:t>
      </w:r>
      <w:r w:rsidR="006136C2">
        <w:t>djela</w:t>
      </w:r>
      <w:r w:rsidRPr="00155F80">
        <w:t xml:space="preserve"> svih vodećih oboljenja u ukupnom morbiditetu djece ov</w:t>
      </w:r>
      <w:r w:rsidR="006136C2">
        <w:t>e</w:t>
      </w:r>
      <w:r w:rsidRPr="00155F80">
        <w:t xml:space="preserve"> </w:t>
      </w:r>
      <w:r w:rsidR="006136C2">
        <w:t>dobi</w:t>
      </w:r>
      <w:r w:rsidRPr="00155F80">
        <w:t xml:space="preserve">. </w:t>
      </w:r>
    </w:p>
    <w:p w:rsidR="00A131AD" w:rsidRPr="00155F80" w:rsidRDefault="00A131AD" w:rsidP="000C0138">
      <w:pPr>
        <w:pStyle w:val="NoSpacing"/>
        <w:spacing w:line="276" w:lineRule="auto"/>
        <w:rPr>
          <w:sz w:val="22"/>
          <w:szCs w:val="22"/>
        </w:rPr>
      </w:pPr>
    </w:p>
    <w:p w:rsidR="00A131AD" w:rsidRPr="00155F80" w:rsidRDefault="00A131AD" w:rsidP="00C63C62">
      <w:pPr>
        <w:pStyle w:val="refererere"/>
        <w:jc w:val="left"/>
      </w:pPr>
      <w:r w:rsidRPr="00155F80">
        <w:t xml:space="preserve">Grafikon 64: Vodeća oboljenja u stomatološkoj zaštiti </w:t>
      </w:r>
      <w:r w:rsidR="00A4460F">
        <w:t xml:space="preserve">kod </w:t>
      </w:r>
      <w:r w:rsidRPr="00155F80">
        <w:t xml:space="preserve">djece (0-6) u Federaciji BiH, za </w:t>
      </w:r>
      <w:r w:rsidR="00F70FD4">
        <w:t>period</w:t>
      </w:r>
      <w:r w:rsidRPr="00155F80">
        <w:t xml:space="preserve"> 2010.-2015. godina, indeks strukture</w:t>
      </w:r>
      <w:bookmarkEnd w:id="304"/>
      <w:r w:rsidRPr="00155F80">
        <w:rPr>
          <w:noProof/>
          <w:lang w:eastAsia="en-GB"/>
        </w:rPr>
        <w:drawing>
          <wp:inline distT="0" distB="0" distL="0" distR="0" wp14:anchorId="5448E5AE" wp14:editId="0BA02BC4">
            <wp:extent cx="5782945" cy="2171700"/>
            <wp:effectExtent l="0" t="0" r="8255" b="0"/>
            <wp:docPr id="4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B37E7E" w:rsidRDefault="00B37E7E" w:rsidP="000C0138">
      <w:pPr>
        <w:spacing w:line="276" w:lineRule="auto"/>
        <w:rPr>
          <w:rFonts w:ascii="Times New Roman" w:hAnsi="Times New Roman"/>
          <w:b/>
          <w:lang w:val="bs-Latn-BA"/>
        </w:rPr>
      </w:pPr>
    </w:p>
    <w:p w:rsidR="00B560D0" w:rsidRDefault="00B560D0"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Djeca i mladi (7 do 18 godina)</w:t>
      </w:r>
    </w:p>
    <w:p w:rsidR="00A131AD" w:rsidRPr="00155F80" w:rsidRDefault="002B489B" w:rsidP="000C0138">
      <w:pPr>
        <w:pStyle w:val="Tekst0"/>
        <w:spacing w:line="276" w:lineRule="auto"/>
        <w:rPr>
          <w:color w:val="000000"/>
          <w:sz w:val="22"/>
          <w:szCs w:val="22"/>
          <w:lang w:eastAsia="bs-Latn-BA"/>
        </w:rPr>
      </w:pPr>
      <w:r>
        <w:rPr>
          <w:sz w:val="22"/>
          <w:szCs w:val="22"/>
        </w:rPr>
        <w:t>Podaci</w:t>
      </w:r>
      <w:r w:rsidR="00A131AD" w:rsidRPr="00155F80">
        <w:rPr>
          <w:sz w:val="22"/>
          <w:szCs w:val="22"/>
        </w:rPr>
        <w:t xml:space="preserve"> pokazuju da su oboljenja djece i mladih u 2015. godini činila dvije petine (</w:t>
      </w:r>
      <w:r w:rsidR="00A131AD" w:rsidRPr="00155F80">
        <w:rPr>
          <w:color w:val="000000"/>
          <w:sz w:val="22"/>
          <w:szCs w:val="22"/>
          <w:lang w:eastAsia="bs-Latn-BA"/>
        </w:rPr>
        <w:t xml:space="preserve">38,9%) </w:t>
      </w:r>
      <w:r w:rsidR="00A131AD" w:rsidRPr="00155F80">
        <w:rPr>
          <w:sz w:val="22"/>
          <w:szCs w:val="22"/>
        </w:rPr>
        <w:t xml:space="preserve">ukupnog stomatološkog morbiditeta. </w:t>
      </w:r>
    </w:p>
    <w:p w:rsidR="003361B4" w:rsidRPr="003361B4" w:rsidRDefault="00A131AD" w:rsidP="00C63C62">
      <w:pPr>
        <w:pStyle w:val="Tekst0"/>
        <w:spacing w:after="240" w:line="276" w:lineRule="auto"/>
        <w:rPr>
          <w:sz w:val="22"/>
          <w:szCs w:val="22"/>
        </w:rPr>
      </w:pPr>
      <w:r w:rsidRPr="00155F80">
        <w:rPr>
          <w:sz w:val="22"/>
          <w:szCs w:val="22"/>
        </w:rPr>
        <w:t xml:space="preserve">Vodeća oboljenja ove </w:t>
      </w:r>
      <w:r w:rsidR="00A80006">
        <w:rPr>
          <w:sz w:val="22"/>
          <w:szCs w:val="22"/>
        </w:rPr>
        <w:t>starosne</w:t>
      </w:r>
      <w:r w:rsidRPr="00155F80">
        <w:rPr>
          <w:sz w:val="22"/>
          <w:szCs w:val="22"/>
        </w:rPr>
        <w:t xml:space="preserve"> </w:t>
      </w:r>
      <w:r w:rsidR="00D21A46">
        <w:rPr>
          <w:sz w:val="22"/>
          <w:szCs w:val="22"/>
        </w:rPr>
        <w:t>grupe</w:t>
      </w:r>
      <w:r w:rsidRPr="00155F80">
        <w:rPr>
          <w:sz w:val="22"/>
          <w:szCs w:val="22"/>
        </w:rPr>
        <w:t xml:space="preserve"> su bili zubni karijes (43,2%), oboljenja zubne pulpe i periapikalnog tkiva (21,3%) i dentofacijalne anomalije (16,3%), iza kojih su slijedili  gingivitisi i periodontalna oboljenja, te druga oboljenja čvrstog tkiva zuba.</w:t>
      </w:r>
      <w:bookmarkStart w:id="305" w:name="_Toc390770688"/>
    </w:p>
    <w:p w:rsidR="00A131AD" w:rsidRPr="00155F80" w:rsidRDefault="00A131AD" w:rsidP="00B37E7E">
      <w:pPr>
        <w:pStyle w:val="refererere"/>
      </w:pPr>
      <w:r w:rsidRPr="00155F80">
        <w:t>Grafikon 65: Vodeća oboljenja u stomatološkoj zaštiti</w:t>
      </w:r>
      <w:r w:rsidR="00A4460F">
        <w:t xml:space="preserve"> kod</w:t>
      </w:r>
      <w:r w:rsidRPr="00155F80">
        <w:t xml:space="preserve"> djece i mladih (7-18) u Federaciji BiH, za period 2010. -2015. godina, indeks strukture</w:t>
      </w:r>
      <w:bookmarkEnd w:id="305"/>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eastAsia="en-GB"/>
        </w:rPr>
        <w:drawing>
          <wp:inline distT="0" distB="0" distL="0" distR="0" wp14:anchorId="1ABBB2BB" wp14:editId="2DC47013">
            <wp:extent cx="5818505" cy="1971304"/>
            <wp:effectExtent l="0" t="0" r="10795" b="10160"/>
            <wp:docPr id="4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A131AD" w:rsidRPr="00155F80" w:rsidRDefault="00A131AD" w:rsidP="000C0138">
      <w:pPr>
        <w:pStyle w:val="Tekst0"/>
        <w:spacing w:line="276" w:lineRule="auto"/>
        <w:rPr>
          <w:sz w:val="22"/>
          <w:szCs w:val="22"/>
        </w:rPr>
      </w:pPr>
      <w:r w:rsidRPr="00155F80">
        <w:rPr>
          <w:sz w:val="22"/>
          <w:szCs w:val="22"/>
        </w:rPr>
        <w:t xml:space="preserve">Najbolji </w:t>
      </w:r>
      <w:r w:rsidR="00D21A46">
        <w:rPr>
          <w:sz w:val="22"/>
          <w:szCs w:val="22"/>
        </w:rPr>
        <w:t>znak</w:t>
      </w:r>
      <w:r w:rsidRPr="00155F80">
        <w:rPr>
          <w:sz w:val="22"/>
          <w:szCs w:val="22"/>
        </w:rPr>
        <w:t xml:space="preserve"> oralnog zdravlja je KEP indeks</w:t>
      </w:r>
      <w:r w:rsidR="00E61F0C">
        <w:rPr>
          <w:sz w:val="22"/>
          <w:szCs w:val="22"/>
        </w:rPr>
        <w:t xml:space="preserve"> </w:t>
      </w:r>
      <w:r w:rsidR="00E61F0C" w:rsidRPr="00155F80">
        <w:rPr>
          <w:sz w:val="22"/>
          <w:szCs w:val="22"/>
        </w:rPr>
        <w:t xml:space="preserve">(broj karioznih, izvađenih i plombiranih zuba)  </w:t>
      </w:r>
      <w:r w:rsidRPr="00155F80">
        <w:rPr>
          <w:sz w:val="22"/>
          <w:szCs w:val="22"/>
        </w:rPr>
        <w:t xml:space="preserve">12-godišnjaka, koji prema  SZO ne bi trebao biti veći od 1,5. </w:t>
      </w:r>
    </w:p>
    <w:p w:rsidR="00A131AD" w:rsidRDefault="00A131AD" w:rsidP="00C63C62">
      <w:pPr>
        <w:pStyle w:val="Tekst0"/>
        <w:spacing w:before="0" w:line="276" w:lineRule="auto"/>
        <w:rPr>
          <w:sz w:val="22"/>
          <w:szCs w:val="22"/>
        </w:rPr>
      </w:pPr>
      <w:r w:rsidRPr="00155F80">
        <w:rPr>
          <w:sz w:val="22"/>
          <w:szCs w:val="22"/>
        </w:rPr>
        <w:t xml:space="preserve">Rezultati posljednjeg istraživanja oralnog zdravlja djece u FBiH, rađenog 2001. godine, su ukazali na visoki KEP indeks kod djece starosti 12 godina (5,36), te je 45% ove djece imalo neku ortodontsku anomaliju. </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Odrasli (19 i više godina) </w:t>
      </w:r>
    </w:p>
    <w:p w:rsidR="00A131AD" w:rsidRPr="00155F80" w:rsidRDefault="00A131AD" w:rsidP="000C0138">
      <w:pPr>
        <w:pStyle w:val="Tekst0"/>
        <w:spacing w:line="276" w:lineRule="auto"/>
        <w:rPr>
          <w:sz w:val="22"/>
          <w:szCs w:val="22"/>
        </w:rPr>
      </w:pPr>
      <w:r w:rsidRPr="00155F80">
        <w:rPr>
          <w:sz w:val="22"/>
          <w:szCs w:val="22"/>
        </w:rPr>
        <w:t>Oboljenja zuba i usta odraslog stanovništva su u 2015. godini činila preko polovine ukupnog stomatološkog morbiditeta (</w:t>
      </w:r>
      <w:r w:rsidRPr="00155F80">
        <w:rPr>
          <w:color w:val="000000"/>
          <w:sz w:val="22"/>
          <w:szCs w:val="22"/>
          <w:lang w:eastAsia="bs-Latn-BA"/>
        </w:rPr>
        <w:t>56,3%).</w:t>
      </w:r>
      <w:r w:rsidRPr="00155F80">
        <w:rPr>
          <w:sz w:val="22"/>
          <w:szCs w:val="22"/>
        </w:rPr>
        <w:t xml:space="preserve">Na prvom mjestu vodećih oboljenja ove </w:t>
      </w:r>
      <w:r w:rsidR="00A80006">
        <w:rPr>
          <w:sz w:val="22"/>
          <w:szCs w:val="22"/>
        </w:rPr>
        <w:t>starosne</w:t>
      </w:r>
      <w:r w:rsidRPr="00155F80">
        <w:rPr>
          <w:sz w:val="22"/>
          <w:szCs w:val="22"/>
        </w:rPr>
        <w:t xml:space="preserve"> </w:t>
      </w:r>
      <w:r w:rsidR="00D21A46">
        <w:rPr>
          <w:sz w:val="22"/>
          <w:szCs w:val="22"/>
        </w:rPr>
        <w:t>grupe</w:t>
      </w:r>
      <w:r w:rsidRPr="00155F80">
        <w:rPr>
          <w:sz w:val="22"/>
          <w:szCs w:val="22"/>
        </w:rPr>
        <w:t xml:space="preserve"> je od 2011. godine ponovno zubni karijes, koji je u 2015. godini u morbiditetu odraslih imao udio od 40,2%, iza čega su slijedila oboljenja zubne pulpe i periapikalnog tkiva (33,9%). </w:t>
      </w:r>
    </w:p>
    <w:p w:rsidR="003819E7" w:rsidRDefault="00A131AD" w:rsidP="00C63C62">
      <w:pPr>
        <w:pStyle w:val="Tekst0"/>
        <w:spacing w:after="240" w:line="276" w:lineRule="auto"/>
        <w:rPr>
          <w:sz w:val="22"/>
          <w:szCs w:val="22"/>
        </w:rPr>
      </w:pPr>
      <w:r w:rsidRPr="00155F80">
        <w:rPr>
          <w:sz w:val="22"/>
          <w:szCs w:val="22"/>
        </w:rPr>
        <w:t>Na trećem mjestu vodećih oboljenja su bili gingivitisi i periodontalna oboljenja, zatim drugi poremećaji zuba i potpornih struktura i druga</w:t>
      </w:r>
      <w:bookmarkStart w:id="306" w:name="_Toc390770689"/>
      <w:r w:rsidR="003361B4">
        <w:rPr>
          <w:sz w:val="22"/>
          <w:szCs w:val="22"/>
        </w:rPr>
        <w:t xml:space="preserve"> oboljenja čvrstog tkiva zuba. </w:t>
      </w:r>
    </w:p>
    <w:p w:rsidR="00A131AD" w:rsidRPr="00155F80" w:rsidRDefault="00A131AD" w:rsidP="00B37E7E">
      <w:pPr>
        <w:pStyle w:val="refererere"/>
      </w:pPr>
      <w:r w:rsidRPr="00155F80">
        <w:t xml:space="preserve">Grafikon 66: Vodeća oboljenja u stomatološkoj zaštiti </w:t>
      </w:r>
      <w:r w:rsidR="00A4460F">
        <w:t>kod odraslih</w:t>
      </w:r>
      <w:r w:rsidRPr="00155F80">
        <w:t xml:space="preserve"> (19 i više godina) u Federaciji BiH, </w:t>
      </w:r>
      <w:bookmarkEnd w:id="306"/>
      <w:r w:rsidR="006136C2">
        <w:t xml:space="preserve">u </w:t>
      </w:r>
      <w:r w:rsidR="00F70FD4">
        <w:t>periodu</w:t>
      </w:r>
      <w:r w:rsidRPr="00155F80">
        <w:t xml:space="preserve"> 2010.-2015. godina, indeks strukture</w:t>
      </w:r>
    </w:p>
    <w:p w:rsidR="00A131AD" w:rsidRPr="00155F80" w:rsidRDefault="00A131AD" w:rsidP="000C0138">
      <w:pPr>
        <w:spacing w:line="276" w:lineRule="auto"/>
        <w:rPr>
          <w:rFonts w:ascii="Times New Roman" w:hAnsi="Times New Roman"/>
          <w:lang w:val="bs-Latn-BA"/>
        </w:rPr>
      </w:pPr>
      <w:r w:rsidRPr="00155F80">
        <w:rPr>
          <w:rFonts w:ascii="Times New Roman" w:hAnsi="Times New Roman"/>
          <w:noProof/>
          <w:lang w:eastAsia="en-GB"/>
        </w:rPr>
        <w:drawing>
          <wp:inline distT="0" distB="0" distL="0" distR="0" wp14:anchorId="640C4EF5" wp14:editId="473E06D6">
            <wp:extent cx="5687695" cy="1900052"/>
            <wp:effectExtent l="0" t="0" r="8255" b="5080"/>
            <wp:docPr id="5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3230A0" w:rsidRPr="00155F80" w:rsidRDefault="00D21A46" w:rsidP="000C0138">
      <w:pPr>
        <w:pStyle w:val="Poglavlje1"/>
        <w:spacing w:line="276" w:lineRule="auto"/>
      </w:pPr>
      <w:bookmarkStart w:id="307" w:name="_Toc460929204"/>
      <w:r>
        <w:t>FAKTORI</w:t>
      </w:r>
      <w:r w:rsidR="00A131AD" w:rsidRPr="00155F80">
        <w:t xml:space="preserve"> RIZIKA PO ZDRAVLJE</w:t>
      </w:r>
      <w:bookmarkEnd w:id="307"/>
    </w:p>
    <w:p w:rsidR="00301140" w:rsidRPr="00B37E7E" w:rsidRDefault="000E1376" w:rsidP="000C0138">
      <w:pPr>
        <w:pStyle w:val="Poglavlje2"/>
        <w:spacing w:line="276" w:lineRule="auto"/>
        <w:rPr>
          <w:rFonts w:eastAsiaTheme="minorHAnsi"/>
        </w:rPr>
      </w:pPr>
      <w:bookmarkStart w:id="308" w:name="_Toc460929205"/>
      <w:r w:rsidRPr="00B37E7E">
        <w:rPr>
          <w:rFonts w:eastAsiaTheme="minorHAnsi"/>
        </w:rPr>
        <w:t xml:space="preserve">4.1 </w:t>
      </w:r>
      <w:r w:rsidR="00993848" w:rsidRPr="00B37E7E">
        <w:rPr>
          <w:rFonts w:eastAsiaTheme="minorHAnsi"/>
        </w:rPr>
        <w:t>Ž</w:t>
      </w:r>
      <w:r w:rsidR="00301140" w:rsidRPr="00B37E7E">
        <w:rPr>
          <w:rFonts w:eastAsiaTheme="minorHAnsi"/>
        </w:rPr>
        <w:t>IVOTNI STIL I NAVIKE</w:t>
      </w:r>
      <w:bookmarkEnd w:id="308"/>
    </w:p>
    <w:p w:rsidR="00A131AD" w:rsidRPr="00155F80" w:rsidRDefault="00301140" w:rsidP="0050445F">
      <w:pPr>
        <w:pStyle w:val="Poglavlje3"/>
        <w:rPr>
          <w:rFonts w:eastAsiaTheme="minorHAnsi"/>
        </w:rPr>
      </w:pPr>
      <w:bookmarkStart w:id="309" w:name="_Toc460929206"/>
      <w:r>
        <w:rPr>
          <w:rFonts w:eastAsiaTheme="minorHAnsi"/>
        </w:rPr>
        <w:t xml:space="preserve">4.1.1 </w:t>
      </w:r>
      <w:r w:rsidR="00D21A46">
        <w:rPr>
          <w:rFonts w:eastAsiaTheme="minorHAnsi"/>
        </w:rPr>
        <w:t>Ishrana</w:t>
      </w:r>
      <w:r w:rsidR="00A131AD" w:rsidRPr="00155F80">
        <w:rPr>
          <w:rFonts w:eastAsiaTheme="minorHAnsi"/>
        </w:rPr>
        <w:t xml:space="preserve"> i </w:t>
      </w:r>
      <w:r w:rsidR="00751A8F">
        <w:rPr>
          <w:rFonts w:eastAsiaTheme="minorHAnsi"/>
        </w:rPr>
        <w:t>tjelesna</w:t>
      </w:r>
      <w:r w:rsidR="00A131AD" w:rsidRPr="00155F80">
        <w:rPr>
          <w:rFonts w:eastAsiaTheme="minorHAnsi"/>
        </w:rPr>
        <w:t xml:space="preserve"> aktivnost</w:t>
      </w:r>
      <w:bookmarkEnd w:id="309"/>
    </w:p>
    <w:p w:rsidR="00A131AD" w:rsidRPr="00155F80" w:rsidRDefault="00A131AD" w:rsidP="000C0138">
      <w:pPr>
        <w:autoSpaceDE w:val="0"/>
        <w:autoSpaceDN w:val="0"/>
        <w:adjustRightInd w:val="0"/>
        <w:spacing w:line="276" w:lineRule="auto"/>
        <w:rPr>
          <w:rFonts w:ascii="Times New Roman" w:eastAsiaTheme="minorHAnsi" w:hAnsi="Times New Roman"/>
        </w:rPr>
      </w:pPr>
    </w:p>
    <w:p w:rsidR="00A131AD" w:rsidRPr="00155F80" w:rsidRDefault="00A131AD" w:rsidP="000C0138">
      <w:pPr>
        <w:autoSpaceDE w:val="0"/>
        <w:autoSpaceDN w:val="0"/>
        <w:adjustRightInd w:val="0"/>
        <w:spacing w:line="276" w:lineRule="auto"/>
        <w:rPr>
          <w:rFonts w:ascii="Times New Roman" w:eastAsiaTheme="minorHAnsi" w:hAnsi="Times New Roman"/>
        </w:rPr>
      </w:pPr>
      <w:r w:rsidRPr="00155F80">
        <w:rPr>
          <w:rFonts w:ascii="Times New Roman" w:eastAsiaTheme="minorHAnsi" w:hAnsi="Times New Roman"/>
        </w:rPr>
        <w:t>Osim još uv</w:t>
      </w:r>
      <w:r w:rsidR="008F2DCD" w:rsidRPr="00155F80">
        <w:rPr>
          <w:rFonts w:ascii="Times New Roman" w:eastAsiaTheme="minorHAnsi" w:hAnsi="Times New Roman"/>
        </w:rPr>
        <w:t>i</w:t>
      </w:r>
      <w:r w:rsidRPr="00155F80">
        <w:rPr>
          <w:rFonts w:ascii="Times New Roman" w:eastAsiaTheme="minorHAnsi" w:hAnsi="Times New Roman"/>
        </w:rPr>
        <w:t xml:space="preserve">jek prisutnog problema nedostatne </w:t>
      </w:r>
      <w:r w:rsidR="00D21A46">
        <w:rPr>
          <w:rFonts w:ascii="Times New Roman" w:eastAsiaTheme="minorHAnsi" w:hAnsi="Times New Roman"/>
        </w:rPr>
        <w:t>ishrane</w:t>
      </w:r>
      <w:r w:rsidRPr="00155F80">
        <w:rPr>
          <w:rFonts w:ascii="Times New Roman" w:eastAsiaTheme="minorHAnsi" w:hAnsi="Times New Roman"/>
        </w:rPr>
        <w:t xml:space="preserve">, zbog porasta </w:t>
      </w:r>
      <w:r w:rsidR="006136C2">
        <w:rPr>
          <w:rFonts w:ascii="Times New Roman" w:eastAsiaTheme="minorHAnsi" w:hAnsi="Times New Roman"/>
        </w:rPr>
        <w:t>pretilosti</w:t>
      </w:r>
      <w:r w:rsidRPr="00155F80">
        <w:rPr>
          <w:rFonts w:ascii="Times New Roman" w:eastAsiaTheme="minorHAnsi" w:hAnsi="Times New Roman"/>
        </w:rPr>
        <w:t xml:space="preserve"> širom svijeta, </w:t>
      </w:r>
      <w:r w:rsidR="00950A64">
        <w:rPr>
          <w:rFonts w:ascii="Times New Roman" w:eastAsiaTheme="minorHAnsi" w:hAnsi="Times New Roman"/>
        </w:rPr>
        <w:t>ishrani</w:t>
      </w:r>
      <w:r w:rsidRPr="00155F80">
        <w:rPr>
          <w:rFonts w:ascii="Times New Roman" w:eastAsiaTheme="minorHAnsi" w:hAnsi="Times New Roman"/>
        </w:rPr>
        <w:t xml:space="preserve"> i </w:t>
      </w:r>
      <w:r w:rsidR="006136C2">
        <w:rPr>
          <w:rFonts w:ascii="Times New Roman" w:eastAsiaTheme="minorHAnsi" w:hAnsi="Times New Roman"/>
        </w:rPr>
        <w:t>tjelesnoj</w:t>
      </w:r>
      <w:r w:rsidRPr="00155F80">
        <w:rPr>
          <w:rFonts w:ascii="Times New Roman" w:eastAsiaTheme="minorHAnsi" w:hAnsi="Times New Roman"/>
        </w:rPr>
        <w:t xml:space="preserve"> aktivnosti se poklanja posebna pažnja. </w:t>
      </w:r>
    </w:p>
    <w:p w:rsidR="00A131AD" w:rsidRPr="00155F80" w:rsidRDefault="00A131AD" w:rsidP="000C0138">
      <w:pPr>
        <w:autoSpaceDE w:val="0"/>
        <w:autoSpaceDN w:val="0"/>
        <w:adjustRightInd w:val="0"/>
        <w:spacing w:line="276" w:lineRule="auto"/>
        <w:rPr>
          <w:rFonts w:ascii="Times New Roman" w:eastAsiaTheme="minorHAnsi" w:hAnsi="Times New Roman"/>
        </w:rPr>
      </w:pPr>
    </w:p>
    <w:p w:rsidR="00A131AD" w:rsidRPr="00155F80" w:rsidRDefault="00A131AD" w:rsidP="000C0138">
      <w:pPr>
        <w:autoSpaceDE w:val="0"/>
        <w:autoSpaceDN w:val="0"/>
        <w:adjustRightInd w:val="0"/>
        <w:spacing w:line="276" w:lineRule="auto"/>
        <w:rPr>
          <w:rFonts w:ascii="Times New Roman" w:eastAsiaTheme="minorHAnsi" w:hAnsi="Times New Roman"/>
        </w:rPr>
      </w:pPr>
      <w:r w:rsidRPr="00155F80">
        <w:rPr>
          <w:rFonts w:ascii="Times New Roman" w:eastAsiaTheme="minorHAnsi" w:hAnsi="Times New Roman"/>
        </w:rPr>
        <w:t xml:space="preserve">Među vodeće </w:t>
      </w:r>
      <w:r w:rsidR="00D21A46">
        <w:rPr>
          <w:rFonts w:ascii="Times New Roman" w:eastAsiaTheme="minorHAnsi" w:hAnsi="Times New Roman"/>
        </w:rPr>
        <w:t>faktor</w:t>
      </w:r>
      <w:r w:rsidR="006136C2">
        <w:rPr>
          <w:rFonts w:ascii="Times New Roman" w:eastAsiaTheme="minorHAnsi" w:hAnsi="Times New Roman"/>
        </w:rPr>
        <w:t>e</w:t>
      </w:r>
      <w:r w:rsidRPr="00155F80">
        <w:rPr>
          <w:rFonts w:ascii="Times New Roman" w:eastAsiaTheme="minorHAnsi" w:hAnsi="Times New Roman"/>
        </w:rPr>
        <w:t xml:space="preserve"> rizika koji doprinose godinama života sa invaliditetom,  koji se prate kroz svjetsku Studiju o globalnom teretu bolesti, u 2013 godini je uključeno čak sedamnaest </w:t>
      </w:r>
      <w:r w:rsidR="00D21A46">
        <w:rPr>
          <w:rFonts w:ascii="Times New Roman" w:eastAsiaTheme="minorHAnsi" w:hAnsi="Times New Roman"/>
        </w:rPr>
        <w:t>faktor</w:t>
      </w:r>
      <w:r w:rsidR="006136C2">
        <w:rPr>
          <w:rFonts w:ascii="Times New Roman" w:eastAsiaTheme="minorHAnsi" w:hAnsi="Times New Roman"/>
        </w:rPr>
        <w:t>a</w:t>
      </w:r>
      <w:r w:rsidRPr="00155F80">
        <w:rPr>
          <w:rFonts w:ascii="Times New Roman" w:eastAsiaTheme="minorHAnsi" w:hAnsi="Times New Roman"/>
        </w:rPr>
        <w:t xml:space="preserve"> direktno vezanih za </w:t>
      </w:r>
      <w:r w:rsidR="006136C2">
        <w:rPr>
          <w:rFonts w:ascii="Times New Roman" w:eastAsiaTheme="minorHAnsi" w:hAnsi="Times New Roman"/>
        </w:rPr>
        <w:t>pre</w:t>
      </w:r>
      <w:r w:rsidRPr="00155F80">
        <w:rPr>
          <w:rFonts w:ascii="Times New Roman" w:eastAsiaTheme="minorHAnsi" w:hAnsi="Times New Roman"/>
        </w:rPr>
        <w:t>hranu: indeks tjelesne mase, visok unos natrija, nizak unos voća, nizak unos povrća, nizak unos žitarica, nizak unos vlakana, nizak unos koštunjavog voća  i sjemenki, nizak unos omega 3 masnih kiselina, visok unos crvenog mesa, visok unos mesnih prerađevina, visok unos trans masti,  nizak unos polinezasićenih masnih kiselina, nizak unos mlijeka, visok unos zašećerenih pića, nedostatak željeza, nedostatak vitamina A, nedostatak cinka, suboptimalno dojenje.</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t xml:space="preserve">Kada je u pitanju Bosna  i Hercegovina, iz donjeg grafikona je vidljivo da je visok indeks tjelesne mase na prvom mjestu među </w:t>
      </w:r>
      <w:r w:rsidR="006136C2">
        <w:rPr>
          <w:sz w:val="22"/>
          <w:szCs w:val="22"/>
          <w:lang w:val="bs-Latn-BA"/>
        </w:rPr>
        <w:t xml:space="preserve">rizičnim </w:t>
      </w:r>
      <w:r w:rsidR="00D21A46">
        <w:rPr>
          <w:sz w:val="22"/>
          <w:szCs w:val="22"/>
          <w:lang w:val="bs-Latn-BA"/>
        </w:rPr>
        <w:t>faktori</w:t>
      </w:r>
      <w:r w:rsidR="006136C2">
        <w:rPr>
          <w:sz w:val="22"/>
          <w:szCs w:val="22"/>
          <w:lang w:val="bs-Latn-BA"/>
        </w:rPr>
        <w:t>ma</w:t>
      </w:r>
      <w:r w:rsidRPr="00155F80">
        <w:rPr>
          <w:sz w:val="22"/>
          <w:szCs w:val="22"/>
          <w:lang w:val="bs-Latn-BA"/>
        </w:rPr>
        <w:t xml:space="preserve"> koji doprinose ukupnom teretu oboljenja  za kardiovaskularne bolesti, a slijede ga visok unos natrija, te nizak unos voća. Također je vidljivo i da visok indeks tjelesne mase odnosno prekomjerna težina i </w:t>
      </w:r>
      <w:r w:rsidR="006136C2">
        <w:rPr>
          <w:sz w:val="22"/>
          <w:szCs w:val="22"/>
          <w:lang w:val="bs-Latn-BA"/>
        </w:rPr>
        <w:t>pretilost</w:t>
      </w:r>
      <w:r w:rsidRPr="00155F80">
        <w:rPr>
          <w:sz w:val="22"/>
          <w:szCs w:val="22"/>
          <w:lang w:val="bs-Latn-BA"/>
        </w:rPr>
        <w:t xml:space="preserve">, pored kardiovaskularnih bolesti, značajno doprinosi teretu obolijevanja od diabetesa i ostalih nezaraznih oboljenja. </w:t>
      </w:r>
    </w:p>
    <w:p w:rsidR="00A131AD" w:rsidRPr="00155F80" w:rsidRDefault="00A131AD" w:rsidP="000C0138">
      <w:pPr>
        <w:pStyle w:val="EndnoteText"/>
        <w:spacing w:line="276" w:lineRule="auto"/>
        <w:jc w:val="both"/>
        <w:rPr>
          <w:b/>
          <w:bCs/>
          <w:sz w:val="22"/>
          <w:szCs w:val="22"/>
          <w:lang w:val="hr-HR"/>
        </w:rPr>
      </w:pPr>
    </w:p>
    <w:p w:rsidR="00A131AD" w:rsidRPr="00155F80" w:rsidRDefault="00A131AD" w:rsidP="00B37E7E">
      <w:pPr>
        <w:pStyle w:val="refererere"/>
        <w:rPr>
          <w:lang w:val="hr-HR"/>
        </w:rPr>
      </w:pPr>
      <w:r w:rsidRPr="00155F80">
        <w:rPr>
          <w:lang w:val="hr-HR"/>
        </w:rPr>
        <w:t xml:space="preserve">Grafikon 67: Vodeći </w:t>
      </w:r>
      <w:r w:rsidR="000C6E15">
        <w:rPr>
          <w:lang w:val="hr-HR"/>
        </w:rPr>
        <w:t xml:space="preserve">rizični </w:t>
      </w:r>
      <w:r w:rsidR="00D21A46">
        <w:rPr>
          <w:lang w:val="hr-HR"/>
        </w:rPr>
        <w:t>faktori</w:t>
      </w:r>
      <w:r w:rsidRPr="00155F80">
        <w:rPr>
          <w:lang w:val="hr-HR"/>
        </w:rPr>
        <w:t xml:space="preserve"> i njihov doprinos godinama života sa invaliditetom (DALYs), Bosna i Hercegovina 2013</w:t>
      </w:r>
      <w:r w:rsidR="000C6E15">
        <w:rPr>
          <w:lang w:val="hr-HR"/>
        </w:rPr>
        <w:t>.</w:t>
      </w:r>
      <w:r w:rsidRPr="00155F80">
        <w:rPr>
          <w:lang w:val="hr-HR"/>
        </w:rPr>
        <w:t xml:space="preserve"> god. </w:t>
      </w:r>
    </w:p>
    <w:p w:rsidR="00A131AD" w:rsidRPr="00155F80" w:rsidRDefault="00A131AD" w:rsidP="000C0138">
      <w:pPr>
        <w:spacing w:line="276" w:lineRule="auto"/>
        <w:rPr>
          <w:rFonts w:ascii="Times New Roman" w:hAnsi="Times New Roman"/>
          <w:b/>
          <w:bCs/>
          <w:lang w:val="hr-HR"/>
        </w:rPr>
      </w:pPr>
      <w:r w:rsidRPr="00155F80">
        <w:rPr>
          <w:rFonts w:ascii="Times New Roman" w:hAnsi="Times New Roman"/>
          <w:b/>
          <w:bCs/>
          <w:noProof/>
          <w:lang w:eastAsia="en-GB"/>
        </w:rPr>
        <w:drawing>
          <wp:inline distT="0" distB="0" distL="0" distR="0" wp14:anchorId="319926EB" wp14:editId="5B76E3C8">
            <wp:extent cx="6219825" cy="3981450"/>
            <wp:effectExtent l="19050" t="0" r="9525" b="0"/>
            <wp:docPr id="96" name="Picture 1" descr="E:\Zdravst\2015\dalyys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dravst\2015\dalyys2016.jpg"/>
                    <pic:cNvPicPr>
                      <a:picLocks noChangeAspect="1" noChangeArrowheads="1"/>
                    </pic:cNvPicPr>
                  </pic:nvPicPr>
                  <pic:blipFill>
                    <a:blip r:embed="rId78" cstate="print"/>
                    <a:srcRect/>
                    <a:stretch>
                      <a:fillRect/>
                    </a:stretch>
                  </pic:blipFill>
                  <pic:spPr bwMode="auto">
                    <a:xfrm>
                      <a:off x="0" y="0"/>
                      <a:ext cx="6219825" cy="3981450"/>
                    </a:xfrm>
                    <a:prstGeom prst="rect">
                      <a:avLst/>
                    </a:prstGeom>
                    <a:noFill/>
                    <a:ln w="9525">
                      <a:noFill/>
                      <a:miter lim="800000"/>
                      <a:headEnd/>
                      <a:tailEnd/>
                    </a:ln>
                  </pic:spPr>
                </pic:pic>
              </a:graphicData>
            </a:graphic>
          </wp:inline>
        </w:drawing>
      </w:r>
    </w:p>
    <w:p w:rsidR="00A131AD" w:rsidRPr="00155F80" w:rsidRDefault="00A131AD" w:rsidP="000C0138">
      <w:pPr>
        <w:spacing w:line="276" w:lineRule="auto"/>
        <w:rPr>
          <w:rFonts w:ascii="Times New Roman" w:hAnsi="Times New Roman"/>
          <w:bCs/>
          <w:lang w:val="hr-HR"/>
        </w:rPr>
      </w:pPr>
      <w:r w:rsidRPr="00155F80">
        <w:rPr>
          <w:rFonts w:ascii="Times New Roman" w:hAnsi="Times New Roman"/>
          <w:bCs/>
          <w:lang w:val="hr-HR"/>
        </w:rPr>
        <w:t xml:space="preserve">Izvor Institute for Health Metrics and Evaluation: Global Burden of Disease Study 2013, </w:t>
      </w:r>
      <w:hyperlink r:id="rId79" w:history="1">
        <w:r w:rsidRPr="00155F80">
          <w:rPr>
            <w:rStyle w:val="Hyperlink"/>
            <w:rFonts w:ascii="Times New Roman" w:eastAsiaTheme="majorEastAsia" w:hAnsi="Times New Roman"/>
            <w:bCs/>
            <w:lang w:val="hr-HR"/>
          </w:rPr>
          <w:t>http://ihmeuw.org./3s0j</w:t>
        </w:r>
      </w:hyperlink>
      <w:r w:rsidRPr="00155F80">
        <w:rPr>
          <w:rFonts w:ascii="Times New Roman" w:hAnsi="Times New Roman"/>
          <w:bCs/>
          <w:lang w:val="hr-HR"/>
        </w:rPr>
        <w:t xml:space="preserve">      </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t xml:space="preserve">Međutim, dosadašnje intervencije nisu </w:t>
      </w:r>
      <w:r w:rsidR="00EE5188">
        <w:rPr>
          <w:sz w:val="22"/>
          <w:szCs w:val="22"/>
          <w:lang w:val="bs-Latn-BA"/>
        </w:rPr>
        <w:t>prouzro</w:t>
      </w:r>
      <w:r w:rsidR="001F3EA2">
        <w:rPr>
          <w:sz w:val="22"/>
          <w:szCs w:val="22"/>
          <w:lang w:val="bs-Latn-BA"/>
        </w:rPr>
        <w:t>čile</w:t>
      </w:r>
      <w:r w:rsidRPr="00155F80">
        <w:rPr>
          <w:sz w:val="22"/>
          <w:szCs w:val="22"/>
          <w:lang w:val="bs-Latn-BA"/>
        </w:rPr>
        <w:t xml:space="preserve"> </w:t>
      </w:r>
      <w:r w:rsidR="000C6E15">
        <w:rPr>
          <w:sz w:val="22"/>
          <w:szCs w:val="22"/>
          <w:lang w:val="bs-Latn-BA"/>
        </w:rPr>
        <w:t>važn</w:t>
      </w:r>
      <w:r w:rsidR="00EE5188">
        <w:rPr>
          <w:sz w:val="22"/>
          <w:szCs w:val="22"/>
          <w:lang w:val="bs-Latn-BA"/>
        </w:rPr>
        <w:t>e</w:t>
      </w:r>
      <w:r w:rsidRPr="00155F80">
        <w:rPr>
          <w:sz w:val="22"/>
          <w:szCs w:val="22"/>
          <w:lang w:val="bs-Latn-BA"/>
        </w:rPr>
        <w:t xml:space="preserve"> promjen</w:t>
      </w:r>
      <w:r w:rsidR="00EE5188">
        <w:rPr>
          <w:sz w:val="22"/>
          <w:szCs w:val="22"/>
          <w:lang w:val="bs-Latn-BA"/>
        </w:rPr>
        <w:t>e</w:t>
      </w:r>
      <w:r w:rsidRPr="00155F80">
        <w:rPr>
          <w:sz w:val="22"/>
          <w:szCs w:val="22"/>
          <w:lang w:val="bs-Latn-BA"/>
        </w:rPr>
        <w:t xml:space="preserve"> u s</w:t>
      </w:r>
      <w:r w:rsidR="00EE5188">
        <w:rPr>
          <w:sz w:val="22"/>
          <w:szCs w:val="22"/>
          <w:lang w:val="bs-Latn-BA"/>
        </w:rPr>
        <w:t>tanju uhranjenosti populacije F</w:t>
      </w:r>
      <w:r w:rsidRPr="00155F80">
        <w:rPr>
          <w:sz w:val="22"/>
          <w:szCs w:val="22"/>
          <w:lang w:val="bs-Latn-BA"/>
        </w:rPr>
        <w:t xml:space="preserve">BiH – prekomjerna težina i </w:t>
      </w:r>
      <w:r w:rsidR="000C6E15">
        <w:rPr>
          <w:sz w:val="22"/>
          <w:szCs w:val="22"/>
          <w:lang w:val="bs-Latn-BA"/>
        </w:rPr>
        <w:t>pretilost</w:t>
      </w:r>
      <w:r w:rsidRPr="00155F80">
        <w:rPr>
          <w:sz w:val="22"/>
          <w:szCs w:val="22"/>
          <w:lang w:val="bs-Latn-BA"/>
        </w:rPr>
        <w:t xml:space="preserve"> su prisutne u sličnim procentima kao prije deset godina, kada su rađena prva populaci</w:t>
      </w:r>
      <w:r w:rsidR="000C6E15">
        <w:rPr>
          <w:sz w:val="22"/>
          <w:szCs w:val="22"/>
          <w:lang w:val="bs-Latn-BA"/>
        </w:rPr>
        <w:t>jska</w:t>
      </w:r>
      <w:r w:rsidRPr="00155F80">
        <w:rPr>
          <w:sz w:val="22"/>
          <w:szCs w:val="22"/>
          <w:lang w:val="bs-Latn-BA"/>
        </w:rPr>
        <w:t xml:space="preserve"> mjerenja. Za razliku od 2002</w:t>
      </w:r>
      <w:r w:rsidR="00CB1772">
        <w:rPr>
          <w:sz w:val="22"/>
          <w:szCs w:val="22"/>
          <w:lang w:val="bs-Latn-BA"/>
        </w:rPr>
        <w:t>.</w:t>
      </w:r>
      <w:r w:rsidRPr="00155F80">
        <w:rPr>
          <w:sz w:val="22"/>
          <w:szCs w:val="22"/>
          <w:lang w:val="bs-Latn-BA"/>
        </w:rPr>
        <w:t xml:space="preserve"> godine kada je prekomjerno uhranjeno bilo 41,0% populacije, u 2012</w:t>
      </w:r>
      <w:r w:rsidR="00CB1772">
        <w:rPr>
          <w:sz w:val="22"/>
          <w:szCs w:val="22"/>
          <w:lang w:val="bs-Latn-BA"/>
        </w:rPr>
        <w:t>. godini</w:t>
      </w:r>
      <w:r w:rsidRPr="00155F80">
        <w:rPr>
          <w:sz w:val="22"/>
          <w:szCs w:val="22"/>
          <w:lang w:val="bs-Latn-BA"/>
        </w:rPr>
        <w:t xml:space="preserve"> je nađeno nešto manje prekomjerno uhranjenih - 37,5%, ali se procenat </w:t>
      </w:r>
      <w:r w:rsidR="000C6E15">
        <w:rPr>
          <w:sz w:val="22"/>
          <w:szCs w:val="22"/>
          <w:lang w:val="bs-Latn-BA"/>
        </w:rPr>
        <w:t>pretilih</w:t>
      </w:r>
      <w:r w:rsidRPr="00155F80">
        <w:rPr>
          <w:sz w:val="22"/>
          <w:szCs w:val="22"/>
          <w:lang w:val="bs-Latn-BA"/>
        </w:rPr>
        <w:t xml:space="preserve"> (ITM&gt;30) u odnosu na 2002</w:t>
      </w:r>
      <w:r w:rsidR="00CB1772">
        <w:rPr>
          <w:sz w:val="22"/>
          <w:szCs w:val="22"/>
          <w:lang w:val="bs-Latn-BA"/>
        </w:rPr>
        <w:t>.</w:t>
      </w:r>
      <w:r w:rsidRPr="00155F80">
        <w:rPr>
          <w:sz w:val="22"/>
          <w:szCs w:val="22"/>
          <w:lang w:val="bs-Latn-BA"/>
        </w:rPr>
        <w:t xml:space="preserve"> godinu kada je iznosio 21,5% u 2012</w:t>
      </w:r>
      <w:r w:rsidR="00CB1772">
        <w:rPr>
          <w:sz w:val="22"/>
          <w:szCs w:val="22"/>
          <w:lang w:val="bs-Latn-BA"/>
        </w:rPr>
        <w:t>.</w:t>
      </w:r>
      <w:r w:rsidRPr="00155F80">
        <w:rPr>
          <w:sz w:val="22"/>
          <w:szCs w:val="22"/>
          <w:lang w:val="bs-Latn-BA"/>
        </w:rPr>
        <w:t xml:space="preserve"> godini povećao na 22,5%.  </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B37E7E">
      <w:pPr>
        <w:pStyle w:val="refererere"/>
        <w:rPr>
          <w:lang w:val="bs-Latn-BA"/>
        </w:rPr>
      </w:pPr>
      <w:r w:rsidRPr="00155F80">
        <w:rPr>
          <w:lang w:val="es-ES"/>
        </w:rPr>
        <w:t>Grafikon</w:t>
      </w:r>
      <w:r w:rsidRPr="00155F80">
        <w:rPr>
          <w:lang w:val="hr-HR"/>
        </w:rPr>
        <w:t xml:space="preserve"> 68: </w:t>
      </w:r>
      <w:r w:rsidRPr="00155F80">
        <w:rPr>
          <w:noProof/>
          <w:lang w:val="hr-HR" w:eastAsia="de-DE"/>
        </w:rPr>
        <w:t>Prikaz stanja uhranjenosti  populacije odraslih na području Federacije BiH, 2002. i  2012. godina</w:t>
      </w:r>
      <w:r w:rsidRPr="00155F80">
        <w:rPr>
          <w:noProof/>
          <w:lang w:eastAsia="en-GB"/>
        </w:rPr>
        <w:drawing>
          <wp:inline distT="0" distB="0" distL="0" distR="0" wp14:anchorId="7B0D4466" wp14:editId="4705E79A">
            <wp:extent cx="5943600" cy="2256312"/>
            <wp:effectExtent l="0" t="0" r="0" b="10795"/>
            <wp:docPr id="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A131AD" w:rsidRPr="00155F80" w:rsidRDefault="00A131AD" w:rsidP="000C0138">
      <w:pPr>
        <w:autoSpaceDE w:val="0"/>
        <w:autoSpaceDN w:val="0"/>
        <w:adjustRightInd w:val="0"/>
        <w:spacing w:line="276" w:lineRule="auto"/>
        <w:rPr>
          <w:rFonts w:ascii="Times New Roman" w:hAnsi="Times New Roman"/>
          <w:lang w:val="bs-Latn-BA"/>
        </w:rPr>
      </w:pPr>
    </w:p>
    <w:p w:rsidR="00834139" w:rsidRDefault="00A131AD" w:rsidP="00834139">
      <w:pPr>
        <w:autoSpaceDE w:val="0"/>
        <w:autoSpaceDN w:val="0"/>
        <w:adjustRightInd w:val="0"/>
        <w:spacing w:line="276" w:lineRule="auto"/>
        <w:rPr>
          <w:rFonts w:ascii="Times New Roman" w:eastAsiaTheme="minorHAnsi" w:hAnsi="Times New Roman"/>
        </w:rPr>
      </w:pPr>
      <w:r w:rsidRPr="00155F80">
        <w:rPr>
          <w:rFonts w:ascii="Times New Roman" w:hAnsi="Times New Roman"/>
          <w:lang w:val="bs-Latn-BA"/>
        </w:rPr>
        <w:t>Ovo se može povezat</w:t>
      </w:r>
      <w:r w:rsidR="00E61F0C">
        <w:rPr>
          <w:rFonts w:ascii="Times New Roman" w:hAnsi="Times New Roman"/>
          <w:lang w:val="bs-Latn-BA"/>
        </w:rPr>
        <w:t>i sa nalazima Studije</w:t>
      </w:r>
      <w:r w:rsidRPr="00155F80">
        <w:rPr>
          <w:rFonts w:ascii="Times New Roman" w:hAnsi="Times New Roman"/>
          <w:lang w:val="bs-Latn-BA"/>
        </w:rPr>
        <w:t xml:space="preserve"> o stanju zdravlja odraslog stanovništva vezanim za rizično ponašanje. Studija je pokazala da tek svaki sedmi ispitanik izjavljuje da zbog svog ponašanja i navika može da </w:t>
      </w:r>
      <w:r w:rsidRPr="00155F80">
        <w:rPr>
          <w:rFonts w:ascii="Times New Roman" w:eastAsiaTheme="minorHAnsi" w:hAnsi="Times New Roman"/>
        </w:rPr>
        <w:t xml:space="preserve">oboli od bolesti srca i krvnih sudova </w:t>
      </w:r>
      <w:r w:rsidRPr="00155F80">
        <w:rPr>
          <w:rFonts w:ascii="Times New Roman" w:hAnsi="Times New Roman"/>
          <w:lang w:val="bs-Latn-BA"/>
        </w:rPr>
        <w:t>(14,8%)</w:t>
      </w:r>
      <w:r w:rsidRPr="00155F80">
        <w:rPr>
          <w:rFonts w:ascii="Times New Roman" w:eastAsiaTheme="minorHAnsi" w:hAnsi="Times New Roman"/>
        </w:rPr>
        <w:t xml:space="preserve">, a potom od povišenog krvnog </w:t>
      </w:r>
      <w:r w:rsidR="000C6E15">
        <w:rPr>
          <w:rFonts w:ascii="Times New Roman" w:eastAsiaTheme="minorHAnsi" w:hAnsi="Times New Roman"/>
        </w:rPr>
        <w:t>tlaka</w:t>
      </w:r>
      <w:r w:rsidRPr="00155F80">
        <w:rPr>
          <w:rFonts w:ascii="Times New Roman" w:eastAsiaTheme="minorHAnsi" w:hAnsi="Times New Roman"/>
        </w:rPr>
        <w:t xml:space="preserve"> (13,4%) i </w:t>
      </w:r>
      <w:r w:rsidR="000C6E15">
        <w:rPr>
          <w:rFonts w:ascii="Times New Roman" w:eastAsiaTheme="minorHAnsi" w:hAnsi="Times New Roman"/>
        </w:rPr>
        <w:t>pretilosti</w:t>
      </w:r>
      <w:r w:rsidRPr="00155F80">
        <w:rPr>
          <w:rFonts w:ascii="Times New Roman" w:eastAsiaTheme="minorHAnsi" w:hAnsi="Times New Roman"/>
        </w:rPr>
        <w:t xml:space="preserve"> (13,2%).  Pri tome, žene smatraju da svojim ponašanjem najviše rizikuju da obole od bolesti srca i krvnih sudova, </w:t>
      </w:r>
      <w:r w:rsidR="000C6E15">
        <w:rPr>
          <w:rFonts w:ascii="Times New Roman" w:eastAsiaTheme="minorHAnsi" w:hAnsi="Times New Roman"/>
        </w:rPr>
        <w:t>pretilosti</w:t>
      </w:r>
      <w:r w:rsidRPr="00155F80">
        <w:rPr>
          <w:rFonts w:ascii="Times New Roman" w:eastAsiaTheme="minorHAnsi" w:hAnsi="Times New Roman"/>
        </w:rPr>
        <w:t xml:space="preserve"> i povišenog pritiska, a muškarci smatraju da svojim ponašanjem najviše rizikuju  da obole od bolesti srca i krvnih sudova, povišenog krvnog </w:t>
      </w:r>
      <w:r w:rsidR="000C6E15">
        <w:rPr>
          <w:rFonts w:ascii="Times New Roman" w:eastAsiaTheme="minorHAnsi" w:hAnsi="Times New Roman"/>
        </w:rPr>
        <w:t>tlaka</w:t>
      </w:r>
      <w:r w:rsidRPr="00155F80">
        <w:rPr>
          <w:rFonts w:ascii="Times New Roman" w:eastAsiaTheme="minorHAnsi" w:hAnsi="Times New Roman"/>
        </w:rPr>
        <w:t>,</w:t>
      </w:r>
      <w:r w:rsidR="00E61F0C">
        <w:rPr>
          <w:rFonts w:ascii="Times New Roman" w:eastAsiaTheme="minorHAnsi" w:hAnsi="Times New Roman"/>
        </w:rPr>
        <w:t xml:space="preserve"> </w:t>
      </w:r>
      <w:r w:rsidRPr="00155F80">
        <w:rPr>
          <w:rFonts w:ascii="Times New Roman" w:eastAsiaTheme="minorHAnsi" w:hAnsi="Times New Roman"/>
        </w:rPr>
        <w:t xml:space="preserve">a potom od </w:t>
      </w:r>
      <w:r w:rsidR="000C6E15">
        <w:rPr>
          <w:rFonts w:ascii="Times New Roman" w:eastAsiaTheme="minorHAnsi" w:hAnsi="Times New Roman"/>
        </w:rPr>
        <w:t>pretilosti</w:t>
      </w:r>
      <w:r w:rsidRPr="00155F80">
        <w:rPr>
          <w:rFonts w:ascii="Times New Roman" w:eastAsiaTheme="minorHAnsi" w:hAnsi="Times New Roman"/>
        </w:rPr>
        <w:t xml:space="preserve">. </w:t>
      </w:r>
      <w:bookmarkStart w:id="310" w:name="_Toc384042058"/>
    </w:p>
    <w:p w:rsidR="00834139" w:rsidRDefault="00834139" w:rsidP="00834139">
      <w:pPr>
        <w:rPr>
          <w:rFonts w:ascii="Times New Roman" w:eastAsiaTheme="minorHAnsi" w:hAnsi="Times New Roman"/>
        </w:rPr>
      </w:pPr>
    </w:p>
    <w:p w:rsidR="00834139" w:rsidRDefault="00834139" w:rsidP="00B37E7E">
      <w:pPr>
        <w:pStyle w:val="refererere"/>
        <w:rPr>
          <w:rFonts w:eastAsiaTheme="minorHAnsi"/>
        </w:rPr>
      </w:pPr>
      <w:r w:rsidRPr="00155F80">
        <w:t>Grafikon 69: Svijest o riziku od obol</w:t>
      </w:r>
      <w:r w:rsidR="000C6E15">
        <w:t>i</w:t>
      </w:r>
      <w:r w:rsidRPr="00155F80">
        <w:t>jevanja od određenih bolesti usl</w:t>
      </w:r>
      <w:r w:rsidR="000C6E15">
        <w:t>i</w:t>
      </w:r>
      <w:r w:rsidRPr="00155F80">
        <w:t>jed svog ponašanja i navika u Federaciji BiH, populacija odraslih, distribucija po spolu</w:t>
      </w:r>
    </w:p>
    <w:p w:rsidR="00834139" w:rsidRPr="00834139" w:rsidRDefault="00834139" w:rsidP="00834139">
      <w:pPr>
        <w:rPr>
          <w:rFonts w:ascii="Times New Roman" w:eastAsiaTheme="minorHAnsi" w:hAnsi="Times New Roman"/>
        </w:rPr>
      </w:pPr>
      <w:r w:rsidRPr="00155F80">
        <w:rPr>
          <w:rFonts w:ascii="Times New Roman" w:hAnsi="Times New Roman"/>
          <w:noProof/>
          <w:lang w:eastAsia="en-GB"/>
        </w:rPr>
        <w:drawing>
          <wp:inline distT="0" distB="0" distL="0" distR="0" wp14:anchorId="4892E406" wp14:editId="4642954B">
            <wp:extent cx="5925787" cy="2256155"/>
            <wp:effectExtent l="0" t="0" r="18415" b="10795"/>
            <wp:docPr id="8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bookmarkEnd w:id="310"/>
    <w:p w:rsidR="00E61F0C" w:rsidRDefault="00E61F0C"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U isto vrijeme, prehrambene navike u populaciji odraslih u Federaciji Bosne i Hercegovine pokazuju nezadovoljavajuć</w:t>
      </w:r>
      <w:r w:rsidR="00E61F0C">
        <w:rPr>
          <w:rFonts w:ascii="Times New Roman" w:hAnsi="Times New Roman"/>
          <w:lang w:val="hr-HR"/>
        </w:rPr>
        <w:t>e obrasce i nose sa sobom rizik-</w:t>
      </w:r>
      <w:r w:rsidRPr="00155F80">
        <w:rPr>
          <w:rFonts w:ascii="Times New Roman" w:hAnsi="Times New Roman"/>
          <w:lang w:val="hr-HR"/>
        </w:rPr>
        <w:t xml:space="preserve">samo 27,9% odraslih u Federaciji BiH svakodnevno konzumira povrće, i to više muškarci (26,4%) nego žene (23,3%), dok voće svakodnevno konzumira nešto više od trećine odraslih odnosno 35,5%, više žene (38%) nego muškarci (33,1%).  </w:t>
      </w:r>
    </w:p>
    <w:p w:rsidR="00A131AD" w:rsidRPr="00155F80" w:rsidRDefault="00A131AD" w:rsidP="000C0138">
      <w:pPr>
        <w:spacing w:line="276" w:lineRule="auto"/>
        <w:rPr>
          <w:rFonts w:ascii="Times New Roman" w:hAnsi="Times New Roman"/>
          <w:lang w:val="hr-HR"/>
        </w:rPr>
      </w:pPr>
      <w:r w:rsidRPr="00155F80">
        <w:rPr>
          <w:rFonts w:ascii="Times New Roman" w:eastAsiaTheme="minorHAnsi" w:hAnsi="Times New Roman"/>
        </w:rPr>
        <w:t xml:space="preserve">Visok unos soli je jedan od glavnih kontributora u razvoju bolesti srca i krvnih sudova, te drugih </w:t>
      </w:r>
      <w:r w:rsidR="00512E30">
        <w:rPr>
          <w:rFonts w:ascii="Times New Roman" w:eastAsiaTheme="minorHAnsi" w:hAnsi="Times New Roman"/>
        </w:rPr>
        <w:t>hronični</w:t>
      </w:r>
      <w:r w:rsidRPr="00155F80">
        <w:rPr>
          <w:rFonts w:ascii="Times New Roman" w:eastAsiaTheme="minorHAnsi" w:hAnsi="Times New Roman"/>
        </w:rPr>
        <w:t xml:space="preserve">h nezaraznih oboljenja, a zbog njihove </w:t>
      </w:r>
      <w:r w:rsidR="000C6E15">
        <w:rPr>
          <w:rFonts w:ascii="Times New Roman" w:eastAsiaTheme="minorHAnsi" w:hAnsi="Times New Roman"/>
        </w:rPr>
        <w:t>učinkovitosti</w:t>
      </w:r>
      <w:r w:rsidRPr="00155F80">
        <w:rPr>
          <w:rFonts w:ascii="Times New Roman" w:eastAsiaTheme="minorHAnsi" w:hAnsi="Times New Roman"/>
        </w:rPr>
        <w:t>, populaci</w:t>
      </w:r>
      <w:r w:rsidR="000C6E15">
        <w:rPr>
          <w:rFonts w:ascii="Times New Roman" w:eastAsiaTheme="minorHAnsi" w:hAnsi="Times New Roman"/>
        </w:rPr>
        <w:t>jskim</w:t>
      </w:r>
      <w:r w:rsidRPr="00155F80">
        <w:rPr>
          <w:rFonts w:ascii="Times New Roman" w:eastAsiaTheme="minorHAnsi" w:hAnsi="Times New Roman"/>
        </w:rPr>
        <w:t xml:space="preserve"> intervencijama za smanjenje unosa soli se poklanja sve veća pažnja. </w:t>
      </w:r>
      <w:r w:rsidR="002B489B">
        <w:rPr>
          <w:rFonts w:ascii="Times New Roman" w:eastAsiaTheme="minorHAnsi" w:hAnsi="Times New Roman"/>
        </w:rPr>
        <w:t>Podaci</w:t>
      </w:r>
      <w:r w:rsidRPr="00155F80">
        <w:rPr>
          <w:rFonts w:ascii="Times New Roman" w:eastAsiaTheme="minorHAnsi" w:hAnsi="Times New Roman"/>
        </w:rPr>
        <w:t xml:space="preserve"> o sadržaju soli u glavnim namirnicama, te o prosječnom dnevnom unosu soli nisu na raspolaganju</w:t>
      </w:r>
      <w:r w:rsidRPr="0004685B">
        <w:rPr>
          <w:rFonts w:ascii="Times New Roman" w:eastAsiaTheme="minorHAnsi" w:hAnsi="Times New Roman"/>
        </w:rPr>
        <w:t xml:space="preserve">. Međutim, raspoloživi </w:t>
      </w:r>
      <w:r w:rsidR="002B489B">
        <w:rPr>
          <w:rFonts w:ascii="Times New Roman" w:eastAsiaTheme="minorHAnsi" w:hAnsi="Times New Roman"/>
        </w:rPr>
        <w:t>podaci</w:t>
      </w:r>
      <w:r w:rsidRPr="0004685B">
        <w:rPr>
          <w:rFonts w:ascii="Times New Roman" w:eastAsiaTheme="minorHAnsi" w:hAnsi="Times New Roman"/>
        </w:rPr>
        <w:t xml:space="preserve"> o prehramebnim </w:t>
      </w:r>
      <w:r w:rsidR="0004685B" w:rsidRPr="0004685B">
        <w:rPr>
          <w:rFonts w:ascii="Times New Roman" w:eastAsiaTheme="minorHAnsi" w:hAnsi="Times New Roman"/>
        </w:rPr>
        <w:t>navikama su pokazali da čak 59,5</w:t>
      </w:r>
      <w:r w:rsidRPr="0004685B">
        <w:rPr>
          <w:rFonts w:ascii="Times New Roman" w:eastAsiaTheme="minorHAnsi" w:hAnsi="Times New Roman"/>
        </w:rPr>
        <w:t>% odraslih dosoljava hranu, a njih 7,2%  uvijek dosoljava hranu  prije probanja, posebno u starosnoj grupi 18-24 godine.</w:t>
      </w:r>
      <w:r w:rsidRPr="00155F80">
        <w:rPr>
          <w:rFonts w:ascii="Times New Roman" w:eastAsiaTheme="minorHAnsi" w:hAnsi="Times New Roman"/>
        </w:rPr>
        <w:t xml:space="preserve"> </w:t>
      </w:r>
    </w:p>
    <w:p w:rsidR="00A131AD" w:rsidRPr="00155F80" w:rsidRDefault="00A131AD" w:rsidP="000C0138">
      <w:pPr>
        <w:spacing w:line="276" w:lineRule="auto"/>
        <w:rPr>
          <w:rFonts w:ascii="Times New Roman" w:hAnsi="Times New Roman"/>
          <w:lang w:val="hr-HR"/>
        </w:rPr>
      </w:pPr>
    </w:p>
    <w:p w:rsidR="00A131AD" w:rsidRPr="00155F80" w:rsidRDefault="00A131AD" w:rsidP="00B37E7E">
      <w:pPr>
        <w:pStyle w:val="refererere"/>
      </w:pPr>
      <w:r w:rsidRPr="00155F80">
        <w:t xml:space="preserve">Grafikon 70: Navika dosoljavanja hrane u populaciji odraslih u Federaciji BiH </w:t>
      </w:r>
    </w:p>
    <w:p w:rsidR="00A131AD" w:rsidRDefault="0004685B" w:rsidP="000C0138">
      <w:pPr>
        <w:spacing w:line="276" w:lineRule="auto"/>
        <w:rPr>
          <w:rFonts w:ascii="Times New Roman" w:hAnsi="Times New Roman"/>
          <w:lang w:val="hr-HR"/>
        </w:rPr>
      </w:pPr>
      <w:r>
        <w:rPr>
          <w:noProof/>
          <w:lang w:eastAsia="en-GB"/>
        </w:rPr>
        <w:drawing>
          <wp:inline distT="0" distB="0" distL="0" distR="0" wp14:anchorId="0366334B" wp14:editId="02CA7DF2">
            <wp:extent cx="5760720" cy="1981200"/>
            <wp:effectExtent l="0" t="0" r="1143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04685B" w:rsidRPr="00155F80" w:rsidRDefault="0004685B" w:rsidP="000C0138">
      <w:pPr>
        <w:spacing w:line="276" w:lineRule="auto"/>
        <w:rPr>
          <w:rFonts w:ascii="Times New Roman" w:hAnsi="Times New Roman"/>
          <w:lang w:val="hr-HR"/>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t xml:space="preserve">S obzirom na prikazane podatke vezane za </w:t>
      </w:r>
      <w:r w:rsidR="000C6E15">
        <w:rPr>
          <w:sz w:val="22"/>
          <w:szCs w:val="22"/>
          <w:lang w:val="bs-Latn-BA"/>
        </w:rPr>
        <w:t>pretilost</w:t>
      </w:r>
      <w:r w:rsidRPr="00155F80">
        <w:rPr>
          <w:sz w:val="22"/>
          <w:szCs w:val="22"/>
          <w:lang w:val="bs-Latn-BA"/>
        </w:rPr>
        <w:t xml:space="preserve">, te prisutne prehrambene obrasce i ponašanje, kao i činjenicu da u populaciji odraslih podhranjenost ne predstavlja problem, imajući u vidu da oboljenja srca i krvnih sudova čine  glavne uzroke obolijevanja i smrtnosti u nas, neophodno je provoditi sveobuhvatne intersektorske intervencije i programe za integrirano upravljanje vodećim ponašajnim rizicima. </w:t>
      </w:r>
    </w:p>
    <w:p w:rsidR="00A131AD" w:rsidRPr="00155F80" w:rsidRDefault="00A131AD" w:rsidP="000C0138">
      <w:pPr>
        <w:spacing w:line="276" w:lineRule="auto"/>
        <w:rPr>
          <w:rFonts w:ascii="Times New Roman" w:hAnsi="Times New Roman"/>
          <w:lang w:val="hr-HR"/>
        </w:rPr>
      </w:pPr>
    </w:p>
    <w:p w:rsidR="00A131AD" w:rsidRDefault="00751A8F" w:rsidP="000C0138">
      <w:pPr>
        <w:autoSpaceDE w:val="0"/>
        <w:autoSpaceDN w:val="0"/>
        <w:adjustRightInd w:val="0"/>
        <w:spacing w:line="276" w:lineRule="auto"/>
        <w:rPr>
          <w:rFonts w:ascii="Times New Roman" w:hAnsi="Times New Roman"/>
          <w:noProof/>
          <w:lang w:val="hr-HR" w:eastAsia="de-DE"/>
        </w:rPr>
      </w:pPr>
      <w:r>
        <w:rPr>
          <w:rFonts w:ascii="Times New Roman" w:hAnsi="Times New Roman"/>
          <w:lang w:val="hr-HR"/>
        </w:rPr>
        <w:t>Tjelesna</w:t>
      </w:r>
      <w:r w:rsidR="00A131AD" w:rsidRPr="00155F80">
        <w:rPr>
          <w:rFonts w:ascii="Times New Roman" w:hAnsi="Times New Roman"/>
          <w:lang w:val="hr-HR"/>
        </w:rPr>
        <w:t xml:space="preserve"> neaktivnost također predstavlja prominentan rizi</w:t>
      </w:r>
      <w:r w:rsidR="000C6E15">
        <w:rPr>
          <w:rFonts w:ascii="Times New Roman" w:hAnsi="Times New Roman"/>
          <w:lang w:val="hr-HR"/>
        </w:rPr>
        <w:t xml:space="preserve">čni </w:t>
      </w:r>
      <w:r w:rsidR="00D21A46">
        <w:rPr>
          <w:rFonts w:ascii="Times New Roman" w:hAnsi="Times New Roman"/>
          <w:lang w:val="hr-HR"/>
        </w:rPr>
        <w:t>faktor</w:t>
      </w:r>
      <w:r w:rsidR="00A131AD" w:rsidRPr="00155F80">
        <w:rPr>
          <w:rFonts w:ascii="Times New Roman" w:hAnsi="Times New Roman"/>
          <w:lang w:val="hr-HR"/>
        </w:rPr>
        <w:t xml:space="preserve"> u populaciji odraslih. Da se ona zanemaruje, govore </w:t>
      </w:r>
      <w:r w:rsidR="002B489B">
        <w:rPr>
          <w:rFonts w:ascii="Times New Roman" w:hAnsi="Times New Roman"/>
          <w:lang w:val="hr-HR"/>
        </w:rPr>
        <w:t>podaci</w:t>
      </w:r>
      <w:r w:rsidR="00A131AD" w:rsidRPr="00155F80">
        <w:rPr>
          <w:rFonts w:ascii="Times New Roman" w:hAnsi="Times New Roman"/>
          <w:lang w:val="hr-HR"/>
        </w:rPr>
        <w:t xml:space="preserve"> pomenute Studije o stanju zdravlja odraslog stanovništva u Federaciji Bosne i Hercegovine - samo 24,6% </w:t>
      </w:r>
      <w:r w:rsidR="000C6E15">
        <w:rPr>
          <w:rFonts w:ascii="Times New Roman" w:hAnsi="Times New Roman"/>
          <w:lang w:val="hr-HR"/>
        </w:rPr>
        <w:t>tjelesno</w:t>
      </w:r>
      <w:r w:rsidR="00A131AD" w:rsidRPr="00155F80">
        <w:rPr>
          <w:rFonts w:ascii="Times New Roman" w:hAnsi="Times New Roman"/>
          <w:lang w:val="hr-HR"/>
        </w:rPr>
        <w:t xml:space="preserve"> aktivno (</w:t>
      </w:r>
      <w:r w:rsidR="000C6E15">
        <w:rPr>
          <w:rFonts w:ascii="Times New Roman" w:hAnsi="Times New Roman"/>
          <w:lang w:val="hr-HR"/>
        </w:rPr>
        <w:t>tjelesna</w:t>
      </w:r>
      <w:r w:rsidR="00A131AD" w:rsidRPr="00155F80">
        <w:rPr>
          <w:rFonts w:ascii="Times New Roman" w:hAnsi="Times New Roman"/>
          <w:lang w:val="hr-HR"/>
        </w:rPr>
        <w:t xml:space="preserve"> vježba u trajanju od 30 minuta koja dovodi do znojenja ili zadihanosti više od 2-3 puta </w:t>
      </w:r>
      <w:r w:rsidR="00F0369C">
        <w:rPr>
          <w:rFonts w:ascii="Times New Roman" w:hAnsi="Times New Roman"/>
          <w:lang w:val="hr-HR"/>
        </w:rPr>
        <w:t>sedmično</w:t>
      </w:r>
      <w:r w:rsidR="00A131AD" w:rsidRPr="00155F80">
        <w:rPr>
          <w:rFonts w:ascii="Times New Roman" w:hAnsi="Times New Roman"/>
          <w:lang w:val="hr-HR"/>
        </w:rPr>
        <w:t>), pri čemu je</w:t>
      </w:r>
      <w:r w:rsidR="00E61F0C">
        <w:rPr>
          <w:rFonts w:ascii="Times New Roman" w:hAnsi="Times New Roman"/>
          <w:noProof/>
          <w:lang w:val="hr-HR" w:eastAsia="de-DE"/>
        </w:rPr>
        <w:t xml:space="preserve"> najviše </w:t>
      </w:r>
      <w:r w:rsidR="000C6E15">
        <w:rPr>
          <w:rFonts w:ascii="Times New Roman" w:hAnsi="Times New Roman"/>
          <w:noProof/>
          <w:lang w:val="hr-HR" w:eastAsia="de-DE"/>
        </w:rPr>
        <w:t>tjelesno</w:t>
      </w:r>
      <w:r w:rsidR="00E61F0C">
        <w:rPr>
          <w:rFonts w:ascii="Times New Roman" w:hAnsi="Times New Roman"/>
          <w:noProof/>
          <w:lang w:val="hr-HR" w:eastAsia="de-DE"/>
        </w:rPr>
        <w:t xml:space="preserve"> aktivnih</w:t>
      </w:r>
      <w:r w:rsidR="00A131AD" w:rsidRPr="00155F80">
        <w:rPr>
          <w:rFonts w:ascii="Times New Roman" w:hAnsi="Times New Roman"/>
          <w:noProof/>
          <w:lang w:val="hr-HR" w:eastAsia="de-DE"/>
        </w:rPr>
        <w:t xml:space="preserve"> u starosnoj grupi 18-24 godine (34,4%). </w:t>
      </w:r>
      <w:r w:rsidR="00A131AD" w:rsidRPr="00155F80">
        <w:rPr>
          <w:rFonts w:ascii="Times New Roman" w:eastAsiaTheme="minorHAnsi" w:hAnsi="Times New Roman"/>
        </w:rPr>
        <w:t xml:space="preserve">Procenat </w:t>
      </w:r>
      <w:r w:rsidR="000C6E15">
        <w:rPr>
          <w:rFonts w:ascii="Times New Roman" w:eastAsiaTheme="minorHAnsi" w:hAnsi="Times New Roman"/>
        </w:rPr>
        <w:t>tjelesno</w:t>
      </w:r>
      <w:r w:rsidR="00A131AD" w:rsidRPr="00155F80">
        <w:rPr>
          <w:rFonts w:ascii="Times New Roman" w:eastAsiaTheme="minorHAnsi" w:hAnsi="Times New Roman"/>
        </w:rPr>
        <w:t xml:space="preserve"> aktivnih u populaciji odraslih značajno opada  sa starošću i najmanji je u starosnoj grupi  65 i više godina (8,3%). </w:t>
      </w:r>
      <w:r w:rsidR="00A131AD" w:rsidRPr="00155F80">
        <w:rPr>
          <w:rFonts w:ascii="Times New Roman" w:hAnsi="Times New Roman"/>
          <w:noProof/>
          <w:lang w:val="hr-HR" w:eastAsia="de-DE"/>
        </w:rPr>
        <w:t xml:space="preserve">Više je </w:t>
      </w:r>
      <w:r w:rsidR="000C6E15">
        <w:rPr>
          <w:rFonts w:ascii="Times New Roman" w:hAnsi="Times New Roman"/>
          <w:noProof/>
          <w:lang w:val="hr-HR" w:eastAsia="de-DE"/>
        </w:rPr>
        <w:t>tjelesno</w:t>
      </w:r>
      <w:r w:rsidR="00A131AD" w:rsidRPr="00155F80">
        <w:rPr>
          <w:rFonts w:ascii="Times New Roman" w:hAnsi="Times New Roman"/>
          <w:noProof/>
          <w:lang w:val="hr-HR" w:eastAsia="de-DE"/>
        </w:rPr>
        <w:t xml:space="preserve"> aktivnih muškaraca (28,7%) nego žena (20,3%).</w:t>
      </w:r>
    </w:p>
    <w:p w:rsidR="000E1376" w:rsidRPr="00155F80" w:rsidRDefault="000E1376" w:rsidP="000C0138">
      <w:pPr>
        <w:autoSpaceDE w:val="0"/>
        <w:autoSpaceDN w:val="0"/>
        <w:adjustRightInd w:val="0"/>
        <w:spacing w:line="276" w:lineRule="auto"/>
        <w:rPr>
          <w:rFonts w:ascii="Times New Roman" w:hAnsi="Times New Roman"/>
          <w:b/>
        </w:rPr>
      </w:pPr>
    </w:p>
    <w:p w:rsidR="00A131AD" w:rsidRPr="00155F80" w:rsidRDefault="00A131AD" w:rsidP="00B37E7E">
      <w:pPr>
        <w:pStyle w:val="refererere"/>
      </w:pPr>
      <w:r w:rsidRPr="00155F80">
        <w:t xml:space="preserve">Grafikon 71: </w:t>
      </w:r>
      <w:r w:rsidR="000C6E15">
        <w:t>Tjelesno</w:t>
      </w:r>
      <w:r w:rsidRPr="00155F80">
        <w:t xml:space="preserve"> aktivna, populacija odraslih u Federaciji BiH, distribucija po dobi, 2012. godina</w:t>
      </w:r>
    </w:p>
    <w:p w:rsidR="00A131AD" w:rsidRPr="00155F80" w:rsidRDefault="00A131AD" w:rsidP="000C0138">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b/>
        </w:rPr>
      </w:pPr>
      <w:r w:rsidRPr="00155F80">
        <w:rPr>
          <w:rFonts w:ascii="Times New Roman" w:hAnsi="Times New Roman"/>
          <w:b/>
          <w:noProof/>
          <w:lang w:eastAsia="en-GB"/>
        </w:rPr>
        <w:drawing>
          <wp:inline distT="0" distB="0" distL="0" distR="0" wp14:anchorId="2D4E5B25" wp14:editId="320B770E">
            <wp:extent cx="5260340" cy="1514475"/>
            <wp:effectExtent l="0" t="0" r="0" b="0"/>
            <wp:docPr id="10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lang w:val="hr-HR"/>
        </w:rPr>
        <w:t xml:space="preserve">Ovome treba dodati da čak </w:t>
      </w:r>
      <w:r w:rsidRPr="00155F80">
        <w:rPr>
          <w:rFonts w:ascii="Times New Roman" w:hAnsi="Times New Roman"/>
          <w:noProof/>
          <w:lang w:val="hr-HR" w:eastAsia="de-DE"/>
        </w:rPr>
        <w:t>38,3% odraslih u Federaciji BiH nije uop</w:t>
      </w:r>
      <w:r w:rsidR="000C6E15">
        <w:rPr>
          <w:rFonts w:ascii="Times New Roman" w:hAnsi="Times New Roman"/>
          <w:noProof/>
          <w:lang w:val="hr-HR" w:eastAsia="de-DE"/>
        </w:rPr>
        <w:t>ć</w:t>
      </w:r>
      <w:r w:rsidRPr="00155F80">
        <w:rPr>
          <w:rFonts w:ascii="Times New Roman" w:hAnsi="Times New Roman"/>
          <w:noProof/>
          <w:lang w:val="hr-HR" w:eastAsia="de-DE"/>
        </w:rPr>
        <w:t xml:space="preserve">e </w:t>
      </w:r>
      <w:r w:rsidR="000C6E15">
        <w:rPr>
          <w:rFonts w:ascii="Times New Roman" w:hAnsi="Times New Roman"/>
          <w:noProof/>
          <w:lang w:val="hr-HR" w:eastAsia="de-DE"/>
        </w:rPr>
        <w:t>tjelesno</w:t>
      </w:r>
      <w:r w:rsidRPr="00155F80">
        <w:rPr>
          <w:rFonts w:ascii="Times New Roman" w:hAnsi="Times New Roman"/>
          <w:noProof/>
          <w:lang w:val="hr-HR" w:eastAsia="de-DE"/>
        </w:rPr>
        <w:t xml:space="preserve"> aktivno, uz 4,3% </w:t>
      </w:r>
      <w:r w:rsidR="000C6E15">
        <w:rPr>
          <w:rFonts w:ascii="Times New Roman" w:hAnsi="Times New Roman"/>
          <w:noProof/>
          <w:lang w:val="hr-HR" w:eastAsia="de-DE"/>
        </w:rPr>
        <w:t>tjelesno</w:t>
      </w:r>
      <w:r w:rsidRPr="00155F80">
        <w:rPr>
          <w:rFonts w:ascii="Times New Roman" w:hAnsi="Times New Roman"/>
          <w:noProof/>
          <w:lang w:val="hr-HR" w:eastAsia="de-DE"/>
        </w:rPr>
        <w:t xml:space="preserve"> neaktivnih zbog bolesti/invalidnosti.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Ovo veoma nezadovoljavajuće stanje ukazuje na potrebu iniciranja intersektorskih aktivnosti i primjenu mjera kojima bi se unaprijedila </w:t>
      </w:r>
      <w:r w:rsidR="000C6E15">
        <w:rPr>
          <w:rFonts w:ascii="Times New Roman" w:hAnsi="Times New Roman"/>
          <w:lang w:val="hr-HR"/>
        </w:rPr>
        <w:t>tjelesna</w:t>
      </w:r>
      <w:r w:rsidRPr="00155F80">
        <w:rPr>
          <w:rFonts w:ascii="Times New Roman" w:hAnsi="Times New Roman"/>
          <w:lang w:val="hr-HR"/>
        </w:rPr>
        <w:t xml:space="preserve"> aktivnost u populaciji odraslih.  </w:t>
      </w: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b/>
        </w:rPr>
      </w:pPr>
      <w:r w:rsidRPr="00155F80">
        <w:rPr>
          <w:rFonts w:ascii="Times New Roman" w:hAnsi="Times New Roman"/>
          <w:b/>
        </w:rPr>
        <w:t xml:space="preserve">Djeca </w:t>
      </w:r>
    </w:p>
    <w:p w:rsidR="00A131AD" w:rsidRPr="00155F80" w:rsidRDefault="00A131AD" w:rsidP="000C0138">
      <w:pPr>
        <w:spacing w:line="276" w:lineRule="auto"/>
        <w:rPr>
          <w:rFonts w:ascii="Times New Roman" w:hAnsi="Times New Roman"/>
        </w:rPr>
      </w:pPr>
    </w:p>
    <w:p w:rsidR="00A131AD" w:rsidRDefault="00D21A46" w:rsidP="00C63C62">
      <w:pPr>
        <w:pStyle w:val="BodyText"/>
        <w:spacing w:after="0" w:line="276" w:lineRule="auto"/>
        <w:rPr>
          <w:rFonts w:ascii="Times New Roman" w:hAnsi="Times New Roman"/>
        </w:rPr>
      </w:pPr>
      <w:r>
        <w:rPr>
          <w:rFonts w:ascii="Times New Roman" w:hAnsi="Times New Roman"/>
        </w:rPr>
        <w:t>Ishrana</w:t>
      </w:r>
      <w:r w:rsidR="00A131AD" w:rsidRPr="00155F80">
        <w:rPr>
          <w:rFonts w:ascii="Times New Roman" w:hAnsi="Times New Roman"/>
        </w:rPr>
        <w:t xml:space="preserve"> kao jedna od glavnih determinanti zdravlja ima posebnu važnost u najranijoj dobi, kako za rast i razvoj te  zdravlje u dječjoj dobi, tako i za zdravs</w:t>
      </w:r>
      <w:r w:rsidR="001935FA" w:rsidRPr="00155F80">
        <w:rPr>
          <w:rFonts w:ascii="Times New Roman" w:hAnsi="Times New Roman"/>
        </w:rPr>
        <w:t xml:space="preserve">tvene ishode u odrasloj dobi. </w:t>
      </w:r>
      <w:r w:rsidR="00A131AD" w:rsidRPr="00155F80">
        <w:rPr>
          <w:rFonts w:ascii="Times New Roman" w:hAnsi="Times New Roman"/>
        </w:rPr>
        <w:t>Smanjenje svih formi malnutricije među djecom uzrasta 0-5</w:t>
      </w:r>
      <w:r w:rsidR="00E61F0C">
        <w:rPr>
          <w:rFonts w:ascii="Times New Roman" w:hAnsi="Times New Roman"/>
        </w:rPr>
        <w:t xml:space="preserve"> </w:t>
      </w:r>
      <w:r w:rsidR="00A131AD" w:rsidRPr="00155F80">
        <w:rPr>
          <w:rFonts w:ascii="Times New Roman" w:hAnsi="Times New Roman"/>
        </w:rPr>
        <w:t>godina do 2030</w:t>
      </w:r>
      <w:r w:rsidR="00CB1772">
        <w:rPr>
          <w:rFonts w:ascii="Times New Roman" w:hAnsi="Times New Roman"/>
        </w:rPr>
        <w:t>.</w:t>
      </w:r>
      <w:r w:rsidR="00A131AD" w:rsidRPr="00155F80">
        <w:rPr>
          <w:rFonts w:ascii="Times New Roman" w:hAnsi="Times New Roman"/>
        </w:rPr>
        <w:t xml:space="preserve"> godine jedan od Milenijumskih ciljeva održivog razvoja. </w:t>
      </w:r>
    </w:p>
    <w:p w:rsidR="00C63C62" w:rsidRPr="00155F80" w:rsidRDefault="00C63C62" w:rsidP="00C63C62">
      <w:pPr>
        <w:pStyle w:val="BodyText"/>
        <w:spacing w:after="0"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Iako je na području Federacije Bosne i Hercegovine pothranjenost bila vodeća forma malnutricije dugi niz godina, u pos</w:t>
      </w:r>
      <w:r w:rsidR="001935FA" w:rsidRPr="00155F80">
        <w:rPr>
          <w:rFonts w:ascii="Times New Roman" w:hAnsi="Times New Roman"/>
        </w:rPr>
        <w:t>ljednjih dvadest godina, u popu</w:t>
      </w:r>
      <w:r w:rsidRPr="00155F80">
        <w:rPr>
          <w:rFonts w:ascii="Times New Roman" w:hAnsi="Times New Roman"/>
        </w:rPr>
        <w:t>l</w:t>
      </w:r>
      <w:r w:rsidR="001935FA" w:rsidRPr="00155F80">
        <w:rPr>
          <w:rFonts w:ascii="Times New Roman" w:hAnsi="Times New Roman"/>
        </w:rPr>
        <w:t>a</w:t>
      </w:r>
      <w:r w:rsidRPr="00155F80">
        <w:rPr>
          <w:rFonts w:ascii="Times New Roman" w:hAnsi="Times New Roman"/>
        </w:rPr>
        <w:t xml:space="preserve">ciji  dojenčadi i male djece, sve forme pothranjenosti se bilježe se u veoma malim procentima.  </w:t>
      </w:r>
    </w:p>
    <w:p w:rsidR="00A131AD" w:rsidRPr="00155F80" w:rsidRDefault="002B489B" w:rsidP="000C0138">
      <w:pPr>
        <w:spacing w:line="276" w:lineRule="auto"/>
        <w:rPr>
          <w:rFonts w:ascii="Times New Roman" w:hAnsi="Times New Roman"/>
        </w:rPr>
      </w:pPr>
      <w:r>
        <w:rPr>
          <w:rFonts w:ascii="Times New Roman" w:hAnsi="Times New Roman"/>
        </w:rPr>
        <w:t>Podaci</w:t>
      </w:r>
      <w:r w:rsidR="00A131AD" w:rsidRPr="00155F80">
        <w:rPr>
          <w:rFonts w:ascii="Times New Roman" w:hAnsi="Times New Roman"/>
        </w:rPr>
        <w:t xml:space="preserve"> dobiveni MICS istraživanjem iz 2012</w:t>
      </w:r>
      <w:r w:rsidR="00CB1772">
        <w:rPr>
          <w:rFonts w:ascii="Times New Roman" w:hAnsi="Times New Roman"/>
        </w:rPr>
        <w:t>.</w:t>
      </w:r>
      <w:r w:rsidR="00A131AD" w:rsidRPr="00155F80">
        <w:rPr>
          <w:rFonts w:ascii="Times New Roman" w:hAnsi="Times New Roman"/>
        </w:rPr>
        <w:t xml:space="preserve"> godine pokazali su da je pothranj</w:t>
      </w:r>
      <w:r w:rsidR="00E61F0C">
        <w:rPr>
          <w:rFonts w:ascii="Times New Roman" w:hAnsi="Times New Roman"/>
        </w:rPr>
        <w:t>eno bilo 2% djece, od čega je 1,</w:t>
      </w:r>
      <w:r w:rsidR="00A131AD" w:rsidRPr="00155F80">
        <w:rPr>
          <w:rFonts w:ascii="Times New Roman" w:hAnsi="Times New Roman"/>
        </w:rPr>
        <w:t xml:space="preserve">2%  ozbiljno pothranjeno (težina/dob &gt;3SD). Posebno </w:t>
      </w:r>
      <w:r w:rsidR="000C6E15">
        <w:rPr>
          <w:rFonts w:ascii="Times New Roman" w:hAnsi="Times New Roman"/>
        </w:rPr>
        <w:t>vulnerabilnom</w:t>
      </w:r>
      <w:r w:rsidR="00A131AD" w:rsidRPr="00155F80">
        <w:rPr>
          <w:rFonts w:ascii="Times New Roman" w:hAnsi="Times New Roman"/>
        </w:rPr>
        <w:t xml:space="preserve"> se pokazala populacija Romske djece, pothranjenih je bilo 8,8%, od čega je 2,4% bilo ozbiljno pothranjeno.</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r w:rsidRPr="00155F80">
        <w:rPr>
          <w:rFonts w:ascii="Times New Roman" w:hAnsi="Times New Roman"/>
        </w:rPr>
        <w:t>Nadal</w:t>
      </w:r>
      <w:r w:rsidR="00E61F0C">
        <w:rPr>
          <w:rFonts w:ascii="Times New Roman" w:hAnsi="Times New Roman"/>
        </w:rPr>
        <w:t>je se pokazalo da je 9,</w:t>
      </w:r>
      <w:r w:rsidR="001935FA" w:rsidRPr="00155F80">
        <w:rPr>
          <w:rFonts w:ascii="Times New Roman" w:hAnsi="Times New Roman"/>
        </w:rPr>
        <w:t>9% djece</w:t>
      </w:r>
      <w:r w:rsidR="00E61F0C">
        <w:rPr>
          <w:rFonts w:ascii="Times New Roman" w:hAnsi="Times New Roman"/>
        </w:rPr>
        <w:t xml:space="preserve"> zaostalo u rastu, od čega je 4,</w:t>
      </w:r>
      <w:r w:rsidRPr="00155F80">
        <w:rPr>
          <w:rFonts w:ascii="Times New Roman" w:hAnsi="Times New Roman"/>
        </w:rPr>
        <w:t>6% ozb</w:t>
      </w:r>
      <w:r w:rsidR="001935FA" w:rsidRPr="00155F80">
        <w:rPr>
          <w:rFonts w:ascii="Times New Roman" w:hAnsi="Times New Roman"/>
        </w:rPr>
        <w:t>i</w:t>
      </w:r>
      <w:r w:rsidRPr="00155F80">
        <w:rPr>
          <w:rFonts w:ascii="Times New Roman" w:hAnsi="Times New Roman"/>
        </w:rPr>
        <w:t xml:space="preserve">ljno zaostalo u rastu (visina/dob &gt;3SD), Među Romskom djecom njih 21,1% je zaostalo u rastu, od čega 8% ozbljno.  </w:t>
      </w:r>
    </w:p>
    <w:p w:rsidR="00A131AD" w:rsidRPr="00155F80" w:rsidRDefault="00E61F0C" w:rsidP="000C0138">
      <w:pPr>
        <w:pStyle w:val="BodyText"/>
        <w:spacing w:line="276" w:lineRule="auto"/>
        <w:rPr>
          <w:rFonts w:ascii="Times New Roman" w:hAnsi="Times New Roman"/>
          <w:lang w:val="hr-HR"/>
        </w:rPr>
      </w:pPr>
      <w:r>
        <w:rPr>
          <w:rFonts w:ascii="Times New Roman" w:hAnsi="Times New Roman"/>
        </w:rPr>
        <w:t>Ukupno 2,</w:t>
      </w:r>
      <w:r w:rsidR="00A131AD" w:rsidRPr="00155F80">
        <w:rPr>
          <w:rFonts w:ascii="Times New Roman" w:hAnsi="Times New Roman"/>
        </w:rPr>
        <w:t>6% dje</w:t>
      </w:r>
      <w:r>
        <w:rPr>
          <w:rFonts w:ascii="Times New Roman" w:hAnsi="Times New Roman"/>
        </w:rPr>
        <w:t>ce je bilo mršavo, od čega je 2,</w:t>
      </w:r>
      <w:r w:rsidR="00A131AD" w:rsidRPr="00155F80">
        <w:rPr>
          <w:rFonts w:ascii="Times New Roman" w:hAnsi="Times New Roman"/>
        </w:rPr>
        <w:t>0% ozbiljno mršavo (težina/visina &gt;3SD).  Više</w:t>
      </w:r>
      <w:r w:rsidR="001935FA" w:rsidRPr="00155F80">
        <w:rPr>
          <w:rFonts w:ascii="Times New Roman" w:hAnsi="Times New Roman"/>
        </w:rPr>
        <w:t xml:space="preserve"> je mršavih nađeno među Romskom</w:t>
      </w:r>
      <w:r w:rsidR="00A131AD" w:rsidRPr="00155F80">
        <w:rPr>
          <w:rFonts w:ascii="Times New Roman" w:hAnsi="Times New Roman"/>
        </w:rPr>
        <w:t xml:space="preserve"> djecom</w:t>
      </w:r>
      <w:r w:rsidR="00CB1772">
        <w:rPr>
          <w:rFonts w:ascii="Times New Roman" w:hAnsi="Times New Roman"/>
        </w:rPr>
        <w:t xml:space="preserve">: </w:t>
      </w:r>
      <w:r>
        <w:rPr>
          <w:rFonts w:ascii="Times New Roman" w:hAnsi="Times New Roman"/>
        </w:rPr>
        <w:t>8,</w:t>
      </w:r>
      <w:r w:rsidR="00A131AD" w:rsidRPr="00155F80">
        <w:rPr>
          <w:rFonts w:ascii="Times New Roman" w:hAnsi="Times New Roman"/>
        </w:rPr>
        <w:t>3%, od čega je ozbiljno mršavo bilo 3,5% djece (težina/visina &gt;3SD).</w:t>
      </w:r>
    </w:p>
    <w:p w:rsidR="00A131AD" w:rsidRPr="00155F80" w:rsidRDefault="00A131AD" w:rsidP="000C0138">
      <w:pPr>
        <w:spacing w:line="276" w:lineRule="auto"/>
        <w:rPr>
          <w:rFonts w:ascii="Times New Roman" w:hAnsi="Times New Roman"/>
          <w:b/>
        </w:rPr>
      </w:pPr>
      <w:r w:rsidRPr="00155F80">
        <w:rPr>
          <w:rFonts w:ascii="Times New Roman" w:hAnsi="Times New Roman"/>
        </w:rPr>
        <w:t xml:space="preserve">Stanje uhranjenosti u odnosu na ova tri </w:t>
      </w:r>
      <w:r w:rsidR="00CB080B">
        <w:rPr>
          <w:rFonts w:ascii="Times New Roman" w:hAnsi="Times New Roman"/>
        </w:rPr>
        <w:t>pokazatelja</w:t>
      </w:r>
      <w:r w:rsidRPr="00155F80">
        <w:rPr>
          <w:rFonts w:ascii="Times New Roman" w:hAnsi="Times New Roman"/>
        </w:rPr>
        <w:t xml:space="preserve"> najlošije je u </w:t>
      </w:r>
      <w:r w:rsidR="00A80006">
        <w:rPr>
          <w:rFonts w:ascii="Times New Roman" w:hAnsi="Times New Roman"/>
        </w:rPr>
        <w:t>starosnoj</w:t>
      </w:r>
      <w:r w:rsidRPr="00155F80">
        <w:rPr>
          <w:rFonts w:ascii="Times New Roman" w:hAnsi="Times New Roman"/>
        </w:rPr>
        <w:t xml:space="preserve"> podgrupi 0 do 11 mjeseci  što se može povezati sa nezadovljavajućom praksom do</w:t>
      </w:r>
      <w:r w:rsidR="00CB1772">
        <w:rPr>
          <w:rFonts w:ascii="Times New Roman" w:hAnsi="Times New Roman"/>
        </w:rPr>
        <w:t>jenja i neadekvatnom nadohranom. (6)</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Iz donjeg grafikona je vidljivo da u </w:t>
      </w:r>
      <w:r w:rsidR="00F70FD4">
        <w:rPr>
          <w:rFonts w:ascii="Times New Roman" w:hAnsi="Times New Roman"/>
        </w:rPr>
        <w:t>periodu</w:t>
      </w:r>
      <w:r w:rsidRPr="00155F80">
        <w:rPr>
          <w:rFonts w:ascii="Times New Roman" w:hAnsi="Times New Roman"/>
        </w:rPr>
        <w:t xml:space="preserve">  2000</w:t>
      </w:r>
      <w:r w:rsidR="00CB1772">
        <w:rPr>
          <w:rFonts w:ascii="Times New Roman" w:hAnsi="Times New Roman"/>
        </w:rPr>
        <w:t>.-</w:t>
      </w:r>
      <w:r w:rsidRPr="00155F80">
        <w:rPr>
          <w:rFonts w:ascii="Times New Roman" w:hAnsi="Times New Roman"/>
        </w:rPr>
        <w:t xml:space="preserve"> 2012</w:t>
      </w:r>
      <w:r w:rsidR="00CB1772">
        <w:rPr>
          <w:rFonts w:ascii="Times New Roman" w:hAnsi="Times New Roman"/>
        </w:rPr>
        <w:t>.</w:t>
      </w:r>
      <w:r w:rsidR="00EC077A">
        <w:rPr>
          <w:rFonts w:ascii="Times New Roman" w:hAnsi="Times New Roman"/>
        </w:rPr>
        <w:t xml:space="preserve"> godina</w:t>
      </w:r>
      <w:r w:rsidRPr="00155F80">
        <w:rPr>
          <w:rFonts w:ascii="Times New Roman" w:hAnsi="Times New Roman"/>
        </w:rPr>
        <w:t xml:space="preserve">, mršavost i pothranjenost bilježe trend pada, dok je zakržljalost koja je odraz </w:t>
      </w:r>
      <w:r w:rsidR="000C6E15">
        <w:rPr>
          <w:rFonts w:ascii="Times New Roman" w:hAnsi="Times New Roman"/>
        </w:rPr>
        <w:t>k</w:t>
      </w:r>
      <w:r w:rsidRPr="00155F80">
        <w:rPr>
          <w:rFonts w:ascii="Times New Roman" w:hAnsi="Times New Roman"/>
        </w:rPr>
        <w:t xml:space="preserve">ronično nedostatne </w:t>
      </w:r>
      <w:r w:rsidR="00D21A46">
        <w:rPr>
          <w:rFonts w:ascii="Times New Roman" w:hAnsi="Times New Roman"/>
        </w:rPr>
        <w:t>ishrane</w:t>
      </w:r>
      <w:r w:rsidRPr="00155F80">
        <w:rPr>
          <w:rFonts w:ascii="Times New Roman" w:hAnsi="Times New Roman"/>
        </w:rPr>
        <w:t xml:space="preserve">, u laganom porastu, a ovo se također može povezati sa </w:t>
      </w:r>
      <w:r w:rsidR="002B489B">
        <w:rPr>
          <w:rFonts w:ascii="Times New Roman" w:hAnsi="Times New Roman"/>
        </w:rPr>
        <w:t>podaci</w:t>
      </w:r>
      <w:r w:rsidRPr="00155F80">
        <w:rPr>
          <w:rFonts w:ascii="Times New Roman" w:hAnsi="Times New Roman"/>
        </w:rPr>
        <w:t xml:space="preserve">ma o nezadovoljavajućoj praksi dojenja i neadekvatnoj nadohrani,  te nezadovoljavajućim prehrambenim navikama. </w:t>
      </w:r>
    </w:p>
    <w:p w:rsidR="00E61F0C" w:rsidRPr="00155F80" w:rsidRDefault="00E61F0C" w:rsidP="000C0138">
      <w:pPr>
        <w:spacing w:line="276" w:lineRule="auto"/>
        <w:rPr>
          <w:rFonts w:ascii="Times New Roman" w:hAnsi="Times New Roman"/>
          <w:b/>
          <w:color w:val="FF0000"/>
        </w:rPr>
      </w:pPr>
    </w:p>
    <w:p w:rsidR="00A131AD" w:rsidRPr="00155F80" w:rsidRDefault="00A131AD" w:rsidP="00B37E7E">
      <w:pPr>
        <w:pStyle w:val="refererere"/>
      </w:pPr>
      <w:r w:rsidRPr="00155F80">
        <w:t>Grafikon  72:</w:t>
      </w:r>
      <w:r w:rsidRPr="00155F80">
        <w:rPr>
          <w:color w:val="FF0000"/>
        </w:rPr>
        <w:t xml:space="preserve"> </w:t>
      </w:r>
      <w:r w:rsidRPr="00155F80">
        <w:t>Stanje uhranjenosti - pothranjenost dojenčadi i male djece (0-5 godina) u Federaciji BiH, MICS 2000., 2006. i 2012. godina</w:t>
      </w:r>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eastAsia="en-GB"/>
        </w:rPr>
        <w:drawing>
          <wp:inline distT="0" distB="0" distL="0" distR="0" wp14:anchorId="7CE3320B" wp14:editId="3303C7A8">
            <wp:extent cx="5842000" cy="2137410"/>
            <wp:effectExtent l="0" t="0" r="6350" b="15240"/>
            <wp:docPr id="10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A131AD" w:rsidRPr="00155F80" w:rsidRDefault="00A131AD" w:rsidP="000C0138">
      <w:pPr>
        <w:spacing w:line="276" w:lineRule="auto"/>
        <w:rPr>
          <w:rFonts w:ascii="Times New Roman" w:hAnsi="Times New Roman"/>
          <w:lang w:val="hr-HR"/>
        </w:rPr>
      </w:pPr>
    </w:p>
    <w:p w:rsidR="00A131AD" w:rsidRDefault="00A131AD" w:rsidP="000C0138">
      <w:pPr>
        <w:spacing w:line="276" w:lineRule="auto"/>
        <w:rPr>
          <w:rFonts w:ascii="Times New Roman" w:hAnsi="Times New Roman"/>
        </w:rPr>
      </w:pPr>
      <w:r w:rsidRPr="00155F80">
        <w:rPr>
          <w:rFonts w:ascii="Times New Roman" w:hAnsi="Times New Roman"/>
          <w:lang w:val="hr-HR"/>
        </w:rPr>
        <w:t>Kada je u pitanju druga forma malnutricije problem je prominentan - 17</w:t>
      </w:r>
      <w:r w:rsidRPr="00155F80">
        <w:rPr>
          <w:rFonts w:ascii="Times New Roman" w:hAnsi="Times New Roman"/>
        </w:rPr>
        <w:t>,7</w:t>
      </w:r>
      <w:r w:rsidR="00E61F0C">
        <w:rPr>
          <w:rFonts w:ascii="Times New Roman" w:hAnsi="Times New Roman"/>
          <w:lang w:val="hr-HR"/>
        </w:rPr>
        <w:t>% djece starosti 0-5 godina u F</w:t>
      </w:r>
      <w:r w:rsidRPr="00155F80">
        <w:rPr>
          <w:rFonts w:ascii="Times New Roman" w:hAnsi="Times New Roman"/>
          <w:lang w:val="hr-HR"/>
        </w:rPr>
        <w:t>BiH je prekomjerno teško.</w:t>
      </w:r>
      <w:r w:rsidRPr="00155F80">
        <w:rPr>
          <w:rFonts w:ascii="Times New Roman" w:hAnsi="Times New Roman"/>
        </w:rPr>
        <w:t xml:space="preserve"> Najviši procenti prekomjerne uhranjenosti se bilježe među djecom u </w:t>
      </w:r>
      <w:r w:rsidR="00A80006">
        <w:rPr>
          <w:rFonts w:ascii="Times New Roman" w:hAnsi="Times New Roman"/>
        </w:rPr>
        <w:t>starosnoj</w:t>
      </w:r>
      <w:r w:rsidRPr="00155F80">
        <w:rPr>
          <w:rFonts w:ascii="Times New Roman" w:hAnsi="Times New Roman"/>
        </w:rPr>
        <w:t xml:space="preserve"> pogr</w:t>
      </w:r>
      <w:r w:rsidR="00E61F0C">
        <w:rPr>
          <w:rFonts w:ascii="Times New Roman" w:hAnsi="Times New Roman"/>
        </w:rPr>
        <w:t>upi od 12 do 23 mjeseca, čak 26,</w:t>
      </w:r>
      <w:r w:rsidRPr="00155F80">
        <w:rPr>
          <w:rFonts w:ascii="Times New Roman" w:hAnsi="Times New Roman"/>
        </w:rPr>
        <w:t xml:space="preserve">9%. </w:t>
      </w:r>
    </w:p>
    <w:p w:rsidR="00C63C62" w:rsidRPr="00155F80" w:rsidRDefault="00C63C62"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populaciji Romske djece prekomjerno uhranjenih je 7%, najviše u </w:t>
      </w:r>
      <w:r w:rsidR="00A80006">
        <w:rPr>
          <w:rFonts w:ascii="Times New Roman" w:hAnsi="Times New Roman"/>
        </w:rPr>
        <w:t>starosnoj</w:t>
      </w:r>
      <w:r w:rsidRPr="00155F80">
        <w:rPr>
          <w:rFonts w:ascii="Times New Roman" w:hAnsi="Times New Roman"/>
        </w:rPr>
        <w:t xml:space="preserve"> </w:t>
      </w:r>
      <w:r w:rsidR="00A80006">
        <w:rPr>
          <w:rFonts w:ascii="Times New Roman" w:hAnsi="Times New Roman"/>
        </w:rPr>
        <w:t>grupi</w:t>
      </w:r>
      <w:r w:rsidRPr="00155F80">
        <w:rPr>
          <w:rFonts w:ascii="Times New Roman" w:hAnsi="Times New Roman"/>
        </w:rPr>
        <w:t xml:space="preserve"> 48-59 mjeseci, 11,1%.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A kada su u pitanju prehrambene navike, indikatori prakse dojenja i nadohrane koreliraju sa nezadovoljavajućim stanjem uhranjenosti. </w:t>
      </w:r>
    </w:p>
    <w:p w:rsidR="00A131AD" w:rsidRPr="00155F80" w:rsidRDefault="00E61F0C" w:rsidP="000C0138">
      <w:pPr>
        <w:spacing w:line="276" w:lineRule="auto"/>
        <w:rPr>
          <w:rFonts w:ascii="Times New Roman" w:hAnsi="Times New Roman"/>
        </w:rPr>
      </w:pPr>
      <w:r>
        <w:rPr>
          <w:rFonts w:ascii="Times New Roman" w:hAnsi="Times New Roman"/>
        </w:rPr>
        <w:t>Samo 51,</w:t>
      </w:r>
      <w:r w:rsidR="00A131AD" w:rsidRPr="00155F80">
        <w:rPr>
          <w:rFonts w:ascii="Times New Roman" w:hAnsi="Times New Roman"/>
        </w:rPr>
        <w:t>5% novorođene djece je po prvi put dojeno u roku od jednog sata nakon rođenja, a dojenje započinje  u roku od jednog dana od rođenja  8</w:t>
      </w:r>
      <w:r>
        <w:rPr>
          <w:rFonts w:ascii="Times New Roman" w:hAnsi="Times New Roman"/>
        </w:rPr>
        <w:t>7,</w:t>
      </w:r>
      <w:r w:rsidR="00A131AD" w:rsidRPr="00155F80">
        <w:rPr>
          <w:rFonts w:ascii="Times New Roman" w:hAnsi="Times New Roman"/>
        </w:rPr>
        <w:t xml:space="preserve">3% novorođenčadi u Federaciji Bosne i Hercegovine. </w:t>
      </w:r>
    </w:p>
    <w:p w:rsidR="00A131AD" w:rsidRPr="00155F80" w:rsidRDefault="00E61F0C" w:rsidP="000C0138">
      <w:pPr>
        <w:spacing w:line="276" w:lineRule="auto"/>
        <w:rPr>
          <w:rFonts w:ascii="Times New Roman" w:hAnsi="Times New Roman"/>
        </w:rPr>
      </w:pPr>
      <w:r>
        <w:rPr>
          <w:rFonts w:ascii="Times New Roman" w:hAnsi="Times New Roman"/>
        </w:rPr>
        <w:t>Ukupno 95,</w:t>
      </w:r>
      <w:r w:rsidR="00A131AD" w:rsidRPr="00155F80">
        <w:rPr>
          <w:rFonts w:ascii="Times New Roman" w:hAnsi="Times New Roman"/>
        </w:rPr>
        <w:t xml:space="preserve">2% djece rođene u </w:t>
      </w:r>
      <w:r w:rsidR="00F70FD4">
        <w:rPr>
          <w:rFonts w:ascii="Times New Roman" w:hAnsi="Times New Roman"/>
        </w:rPr>
        <w:t>periodu</w:t>
      </w:r>
      <w:r w:rsidR="00A131AD" w:rsidRPr="00155F80">
        <w:rPr>
          <w:rFonts w:ascii="Times New Roman" w:hAnsi="Times New Roman"/>
        </w:rPr>
        <w:t xml:space="preserve"> od dvije godine prije istraživanja je barem jednom dojeno.</w:t>
      </w:r>
    </w:p>
    <w:p w:rsidR="00A131AD" w:rsidRPr="00155F80" w:rsidRDefault="00E61F0C" w:rsidP="000C0138">
      <w:pPr>
        <w:spacing w:line="276" w:lineRule="auto"/>
        <w:rPr>
          <w:rFonts w:ascii="Times New Roman" w:hAnsi="Times New Roman"/>
        </w:rPr>
      </w:pPr>
      <w:r>
        <w:rPr>
          <w:rFonts w:ascii="Times New Roman" w:hAnsi="Times New Roman"/>
        </w:rPr>
        <w:t>Isključivo doji 15,</w:t>
      </w:r>
      <w:r w:rsidR="00A131AD" w:rsidRPr="00155F80">
        <w:rPr>
          <w:rFonts w:ascii="Times New Roman" w:hAnsi="Times New Roman"/>
        </w:rPr>
        <w:t xml:space="preserve">1% djece ispod 6 mjeseci, više </w:t>
      </w:r>
      <w:r>
        <w:rPr>
          <w:rFonts w:ascii="Times New Roman" w:hAnsi="Times New Roman"/>
        </w:rPr>
        <w:t>djeca u ruralnim područjima (19,</w:t>
      </w:r>
      <w:r w:rsidR="00A131AD" w:rsidRPr="00155F80">
        <w:rPr>
          <w:rFonts w:ascii="Times New Roman" w:hAnsi="Times New Roman"/>
        </w:rPr>
        <w:t xml:space="preserve">1%). </w:t>
      </w:r>
    </w:p>
    <w:p w:rsidR="00A131AD" w:rsidRPr="00155F80" w:rsidRDefault="00A131AD" w:rsidP="000C0138">
      <w:pPr>
        <w:spacing w:line="276" w:lineRule="auto"/>
        <w:rPr>
          <w:rFonts w:ascii="Times New Roman" w:hAnsi="Times New Roman"/>
        </w:rPr>
      </w:pPr>
      <w:r w:rsidRPr="00155F80">
        <w:rPr>
          <w:rFonts w:ascii="Times New Roman" w:hAnsi="Times New Roman"/>
        </w:rPr>
        <w:t>Pretežno dojenje podrazumijeva da djeca uz majčino mlijeko, dobiva</w:t>
      </w:r>
      <w:r w:rsidR="00E61F0C">
        <w:rPr>
          <w:rFonts w:ascii="Times New Roman" w:hAnsi="Times New Roman"/>
        </w:rPr>
        <w:t>ju i druge tečnosti ili hranu:</w:t>
      </w:r>
      <w:r w:rsidRPr="00155F80">
        <w:rPr>
          <w:rFonts w:ascii="Times New Roman" w:hAnsi="Times New Roman"/>
        </w:rPr>
        <w:t xml:space="preserve"> 42% djece u dobi ispod 6 mjeseci je pretežno dojeno, a u dobi od od 12-15 mjeseci, još uvijek doji 13.2% djece.</w:t>
      </w:r>
    </w:p>
    <w:p w:rsidR="00A131AD" w:rsidRDefault="00A131AD" w:rsidP="000C0138">
      <w:pPr>
        <w:spacing w:line="276" w:lineRule="auto"/>
        <w:rPr>
          <w:rFonts w:ascii="Times New Roman" w:hAnsi="Times New Roman"/>
        </w:rPr>
      </w:pPr>
      <w:r w:rsidRPr="00155F80">
        <w:rPr>
          <w:rFonts w:ascii="Times New Roman" w:hAnsi="Times New Roman"/>
        </w:rPr>
        <w:t xml:space="preserve">Procenat djece u dobi 6-23 mjeseca koja su hranjena </w:t>
      </w:r>
      <w:r w:rsidR="00526FD0">
        <w:rPr>
          <w:rFonts w:ascii="Times New Roman" w:hAnsi="Times New Roman"/>
        </w:rPr>
        <w:t>u skladu sa</w:t>
      </w:r>
      <w:r w:rsidRPr="00155F80">
        <w:rPr>
          <w:rFonts w:ascii="Times New Roman" w:hAnsi="Times New Roman"/>
        </w:rPr>
        <w:t xml:space="preserve"> </w:t>
      </w:r>
      <w:r w:rsidR="0027028E">
        <w:rPr>
          <w:rFonts w:ascii="Times New Roman" w:hAnsi="Times New Roman"/>
        </w:rPr>
        <w:t>uzrastom</w:t>
      </w:r>
      <w:r w:rsidRPr="00155F80">
        <w:rPr>
          <w:rFonts w:ascii="Times New Roman" w:hAnsi="Times New Roman"/>
        </w:rPr>
        <w:t xml:space="preserve"> (pored dojenja, dijete dobiva čvrstu, polučvrstu ili meku/kašastu hranu) iznosi 21.6%. </w:t>
      </w:r>
    </w:p>
    <w:p w:rsidR="009A5B2B" w:rsidRPr="00155F80" w:rsidRDefault="009A5B2B" w:rsidP="000C0138">
      <w:pPr>
        <w:spacing w:line="276" w:lineRule="auto"/>
        <w:rPr>
          <w:rFonts w:ascii="Times New Roman" w:hAnsi="Times New Roman"/>
        </w:rPr>
      </w:pPr>
    </w:p>
    <w:p w:rsidR="00A131AD" w:rsidRPr="00155F80" w:rsidRDefault="00A131AD" w:rsidP="00B37E7E">
      <w:pPr>
        <w:pStyle w:val="refererere"/>
      </w:pPr>
      <w:r w:rsidRPr="00155F80">
        <w:t>Grafikon 73: Praksa dojenja i nadohrane u Federaciji Bosne i Hercegovine, MICS 2006. i 2012. godina</w:t>
      </w:r>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eastAsia="en-GB"/>
        </w:rPr>
        <w:drawing>
          <wp:inline distT="0" distB="0" distL="0" distR="0" wp14:anchorId="330F5505" wp14:editId="6E3D6440">
            <wp:extent cx="5711825" cy="2243470"/>
            <wp:effectExtent l="0" t="0" r="3175" b="4445"/>
            <wp:docPr id="10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A131AD" w:rsidRPr="00155F80" w:rsidRDefault="00A131AD" w:rsidP="000C0138">
      <w:pPr>
        <w:spacing w:line="276" w:lineRule="auto"/>
        <w:jc w:val="center"/>
        <w:rPr>
          <w:rFonts w:ascii="Times New Roman" w:hAnsi="Times New Roman"/>
        </w:rPr>
      </w:pP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MICS istraživanje je u 2012</w:t>
      </w:r>
      <w:r w:rsidR="00EC077A">
        <w:rPr>
          <w:rFonts w:ascii="Times New Roman" w:hAnsi="Times New Roman"/>
          <w:lang w:val="pl-PL"/>
        </w:rPr>
        <w:t>.</w:t>
      </w:r>
      <w:r w:rsidRPr="00155F80">
        <w:rPr>
          <w:rFonts w:ascii="Times New Roman" w:hAnsi="Times New Roman"/>
          <w:lang w:val="pl-PL"/>
        </w:rPr>
        <w:t xml:space="preserve"> godini posebno rađeno u Romskoj populaciji, a pokazalo se  da su i u Romskoj populaciji, dojenje i nadohrana zanemareni.</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Isključivo doji samo 21,3% djece, kontinuirano doji  u dobi od 12-15 mejseci 42,5% djece, dok u dobi do 20-23 mjeseca, kontinuirano doji 63,9% djece.  </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Jedna od mjera koje se provode u okviru intersektorskog programa usmjerenog </w:t>
      </w:r>
      <w:r w:rsidR="00E61F0C">
        <w:rPr>
          <w:rFonts w:ascii="Times New Roman" w:hAnsi="Times New Roman"/>
          <w:lang w:val="pl-PL"/>
        </w:rPr>
        <w:t xml:space="preserve">na </w:t>
      </w:r>
      <w:r w:rsidRPr="00155F80">
        <w:rPr>
          <w:rFonts w:ascii="Times New Roman" w:hAnsi="Times New Roman"/>
          <w:lang w:val="pl-PL"/>
        </w:rPr>
        <w:t>unaprijeđenje zdravlja i dobrobiti Romske populacije, kojeg provodi Federalno ministarstvo za ljudska prava i izbjeglice, Federalno ministarstva zdravst</w:t>
      </w:r>
      <w:r w:rsidR="00E61F0C">
        <w:rPr>
          <w:rFonts w:ascii="Times New Roman" w:hAnsi="Times New Roman"/>
          <w:lang w:val="pl-PL"/>
        </w:rPr>
        <w:t>va i Zavod za javno zdravstvo F</w:t>
      </w:r>
      <w:r w:rsidRPr="00155F80">
        <w:rPr>
          <w:rFonts w:ascii="Times New Roman" w:hAnsi="Times New Roman"/>
          <w:lang w:val="pl-PL"/>
        </w:rPr>
        <w:t xml:space="preserve">BiH, uključuje podizanje svijesti i edukaciju </w:t>
      </w:r>
      <w:r w:rsidR="00412C56">
        <w:rPr>
          <w:rFonts w:ascii="Times New Roman" w:hAnsi="Times New Roman"/>
          <w:lang w:val="pl-PL"/>
        </w:rPr>
        <w:t>u području</w:t>
      </w:r>
      <w:r w:rsidRPr="00155F80">
        <w:rPr>
          <w:rFonts w:ascii="Times New Roman" w:hAnsi="Times New Roman"/>
          <w:lang w:val="pl-PL"/>
        </w:rPr>
        <w:t xml:space="preserve"> </w:t>
      </w:r>
      <w:r w:rsidR="00D21A46">
        <w:rPr>
          <w:rFonts w:ascii="Times New Roman" w:hAnsi="Times New Roman"/>
          <w:lang w:val="pl-PL"/>
        </w:rPr>
        <w:t>ishrane</w:t>
      </w:r>
      <w:r w:rsidRPr="00155F80">
        <w:rPr>
          <w:rFonts w:ascii="Times New Roman" w:hAnsi="Times New Roman"/>
          <w:lang w:val="pl-PL"/>
        </w:rPr>
        <w:t xml:space="preserve"> i tjelesne aktivnosti, sigurnosti hrane, te higijene i sanitacije.</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Proces fokusirane akreditacije ginekološko </w:t>
      </w:r>
      <w:r w:rsidR="00412C56">
        <w:rPr>
          <w:rFonts w:ascii="Times New Roman" w:hAnsi="Times New Roman"/>
          <w:lang w:val="pl-PL"/>
        </w:rPr>
        <w:t xml:space="preserve">porodiljnih </w:t>
      </w:r>
      <w:r w:rsidRPr="00155F80">
        <w:rPr>
          <w:rFonts w:ascii="Times New Roman" w:hAnsi="Times New Roman"/>
          <w:lang w:val="pl-PL"/>
        </w:rPr>
        <w:t>službi i ustanova, koje uz pomoć Unicefa i podršku Federalnog ministarstva zdravstva provodi Agencija za akreditaciju i kvalitet</w:t>
      </w:r>
      <w:r w:rsidR="00412C56">
        <w:rPr>
          <w:rFonts w:ascii="Times New Roman" w:hAnsi="Times New Roman"/>
          <w:lang w:val="pl-PL"/>
        </w:rPr>
        <w:t>u</w:t>
      </w:r>
      <w:r w:rsidRPr="00155F80">
        <w:rPr>
          <w:rFonts w:ascii="Times New Roman" w:hAnsi="Times New Roman"/>
          <w:lang w:val="pl-PL"/>
        </w:rPr>
        <w:t xml:space="preserve"> u zdravstvu Federacije BiH,  je nastavljen.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pl-PL"/>
        </w:rPr>
        <w:t>Do kraja 2015</w:t>
      </w:r>
      <w:r w:rsidR="00EC077A">
        <w:rPr>
          <w:rFonts w:ascii="Times New Roman" w:hAnsi="Times New Roman"/>
          <w:lang w:val="pl-PL"/>
        </w:rPr>
        <w:t>.</w:t>
      </w:r>
      <w:r w:rsidRPr="00155F80">
        <w:rPr>
          <w:rFonts w:ascii="Times New Roman" w:hAnsi="Times New Roman"/>
          <w:lang w:val="pl-PL"/>
        </w:rPr>
        <w:t xml:space="preserve"> godine ukupno 11 bolnica je dobilo naziv „Prijatelji beba”. </w:t>
      </w: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sr-Latn-BA"/>
        </w:rPr>
        <w:t xml:space="preserve">Kroz </w:t>
      </w:r>
      <w:r w:rsidRPr="00155F80">
        <w:rPr>
          <w:rFonts w:ascii="Times New Roman" w:hAnsi="Times New Roman"/>
          <w:noProof/>
          <w:lang w:val="hr-HR" w:eastAsia="sr-Latn-BA"/>
        </w:rPr>
        <w:t xml:space="preserve">Istraživanje o anemiji među djecom i ženama u Federaciji BiH po prvi put su prikupljeni mjereni </w:t>
      </w:r>
      <w:r w:rsidR="002B489B">
        <w:rPr>
          <w:rFonts w:ascii="Times New Roman" w:hAnsi="Times New Roman"/>
          <w:noProof/>
          <w:lang w:val="hr-HR" w:eastAsia="sr-Latn-BA"/>
        </w:rPr>
        <w:t>podaci</w:t>
      </w:r>
      <w:r w:rsidRPr="00155F80">
        <w:rPr>
          <w:rFonts w:ascii="Times New Roman" w:hAnsi="Times New Roman"/>
          <w:noProof/>
          <w:lang w:val="hr-HR" w:eastAsia="sr-Latn-BA"/>
        </w:rPr>
        <w:t xml:space="preserve"> vezani za </w:t>
      </w:r>
      <w:r w:rsidRPr="00155F80">
        <w:rPr>
          <w:rFonts w:ascii="Times New Roman" w:hAnsi="Times New Roman"/>
          <w:lang w:val="sr-Latn-BA"/>
        </w:rPr>
        <w:t xml:space="preserve">stanje uhranjenosti školske djece. </w:t>
      </w:r>
      <w:r w:rsidR="00E61F0C">
        <w:rPr>
          <w:rFonts w:ascii="Times New Roman" w:hAnsi="Times New Roman"/>
          <w:lang w:val="sr-Latn-BA"/>
        </w:rPr>
        <w:t>(</w:t>
      </w:r>
      <w:r w:rsidR="00A87C61">
        <w:rPr>
          <w:rFonts w:ascii="Times New Roman" w:hAnsi="Times New Roman"/>
          <w:lang w:val="sr-Latn-BA"/>
        </w:rPr>
        <w:t>10)</w:t>
      </w:r>
    </w:p>
    <w:p w:rsidR="00C63C62" w:rsidRDefault="00C63C62" w:rsidP="000C0138">
      <w:pPr>
        <w:spacing w:line="276" w:lineRule="auto"/>
        <w:rPr>
          <w:rFonts w:ascii="Times New Roman" w:hAnsi="Times New Roman"/>
          <w:lang w:val="sr-Latn-BA"/>
        </w:rPr>
      </w:pP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sr-Latn-BA"/>
        </w:rPr>
        <w:t xml:space="preserve">I u ovoj </w:t>
      </w:r>
      <w:r w:rsidR="00A80006">
        <w:rPr>
          <w:rFonts w:ascii="Times New Roman" w:hAnsi="Times New Roman"/>
          <w:lang w:val="sr-Latn-BA"/>
        </w:rPr>
        <w:t>starosnoj</w:t>
      </w:r>
      <w:r w:rsidRPr="00155F80">
        <w:rPr>
          <w:rFonts w:ascii="Times New Roman" w:hAnsi="Times New Roman"/>
          <w:lang w:val="sr-Latn-BA"/>
        </w:rPr>
        <w:t xml:space="preserve"> </w:t>
      </w:r>
      <w:r w:rsidR="00A80006">
        <w:rPr>
          <w:rFonts w:ascii="Times New Roman" w:hAnsi="Times New Roman"/>
          <w:lang w:val="sr-Latn-BA"/>
        </w:rPr>
        <w:t>grupi</w:t>
      </w:r>
      <w:r w:rsidRPr="00155F80">
        <w:rPr>
          <w:rFonts w:ascii="Times New Roman" w:hAnsi="Times New Roman"/>
          <w:lang w:val="sr-Latn-BA"/>
        </w:rPr>
        <w:t xml:space="preserve"> se pokazalo da pothranjenost u svim formama ne predstavlja problem  - 3,2% djece uzrasta 5-10 godina i 3,5% djece uzrasta 10-15 godina je nisko za dob, 1,2%  </w:t>
      </w:r>
      <w:r w:rsidRPr="00155F80">
        <w:rPr>
          <w:rFonts w:ascii="Times New Roman" w:hAnsi="Times New Roman"/>
          <w:lang w:val="pl-PL"/>
        </w:rPr>
        <w:t>djece</w:t>
      </w:r>
      <w:r w:rsidRPr="00155F80">
        <w:rPr>
          <w:rFonts w:ascii="Times New Roman" w:hAnsi="Times New Roman"/>
          <w:lang w:val="sr-Latn-BA"/>
        </w:rPr>
        <w:t xml:space="preserve">  5-10 </w:t>
      </w:r>
      <w:r w:rsidRPr="00155F80">
        <w:rPr>
          <w:rFonts w:ascii="Times New Roman" w:hAnsi="Times New Roman"/>
          <w:lang w:val="pl-PL"/>
        </w:rPr>
        <w:t>godina je pothranjeno dok  nizak</w:t>
      </w:r>
      <w:r w:rsidRPr="00155F80">
        <w:rPr>
          <w:rFonts w:ascii="Times New Roman" w:hAnsi="Times New Roman"/>
          <w:lang w:val="sr-Latn-BA"/>
        </w:rPr>
        <w:t xml:space="preserve"> </w:t>
      </w:r>
      <w:r w:rsidRPr="00155F80">
        <w:rPr>
          <w:rFonts w:ascii="Times New Roman" w:hAnsi="Times New Roman"/>
          <w:lang w:val="pl-PL"/>
        </w:rPr>
        <w:t>indeks</w:t>
      </w:r>
      <w:r w:rsidRPr="00155F80">
        <w:rPr>
          <w:rFonts w:ascii="Times New Roman" w:hAnsi="Times New Roman"/>
          <w:lang w:val="sr-Latn-BA"/>
        </w:rPr>
        <w:t xml:space="preserve"> </w:t>
      </w:r>
      <w:r w:rsidRPr="00155F80">
        <w:rPr>
          <w:rFonts w:ascii="Times New Roman" w:hAnsi="Times New Roman"/>
          <w:lang w:val="pl-PL"/>
        </w:rPr>
        <w:t>tjelesne</w:t>
      </w:r>
      <w:r w:rsidRPr="00155F80">
        <w:rPr>
          <w:rFonts w:ascii="Times New Roman" w:hAnsi="Times New Roman"/>
          <w:lang w:val="sr-Latn-BA"/>
        </w:rPr>
        <w:t xml:space="preserve"> </w:t>
      </w:r>
      <w:r w:rsidRPr="00155F80">
        <w:rPr>
          <w:rFonts w:ascii="Times New Roman" w:hAnsi="Times New Roman"/>
          <w:lang w:val="pl-PL"/>
        </w:rPr>
        <w:t>mase</w:t>
      </w:r>
      <w:r w:rsidRPr="00155F80">
        <w:rPr>
          <w:rFonts w:ascii="Times New Roman" w:hAnsi="Times New Roman"/>
          <w:lang w:val="sr-Latn-BA"/>
        </w:rPr>
        <w:t xml:space="preserve"> (</w:t>
      </w:r>
      <w:r w:rsidRPr="00155F80">
        <w:rPr>
          <w:rFonts w:ascii="Times New Roman" w:hAnsi="Times New Roman"/>
          <w:lang w:val="pl-PL"/>
        </w:rPr>
        <w:t>ITM</w:t>
      </w:r>
      <w:r w:rsidRPr="00155F80">
        <w:rPr>
          <w:rFonts w:ascii="Times New Roman" w:hAnsi="Times New Roman"/>
          <w:lang w:val="sr-Latn-BA"/>
        </w:rPr>
        <w:t xml:space="preserve">) </w:t>
      </w:r>
      <w:r w:rsidRPr="00155F80">
        <w:rPr>
          <w:rFonts w:ascii="Times New Roman" w:hAnsi="Times New Roman"/>
          <w:lang w:val="pl-PL"/>
        </w:rPr>
        <w:t>za</w:t>
      </w:r>
      <w:r w:rsidRPr="00155F80">
        <w:rPr>
          <w:rFonts w:ascii="Times New Roman" w:hAnsi="Times New Roman"/>
          <w:lang w:val="sr-Latn-BA"/>
        </w:rPr>
        <w:t xml:space="preserve"> </w:t>
      </w:r>
      <w:r w:rsidRPr="00155F80">
        <w:rPr>
          <w:rFonts w:ascii="Times New Roman" w:hAnsi="Times New Roman"/>
          <w:lang w:val="pl-PL"/>
        </w:rPr>
        <w:t>dob</w:t>
      </w:r>
      <w:r w:rsidRPr="00155F80">
        <w:rPr>
          <w:rFonts w:ascii="Times New Roman" w:hAnsi="Times New Roman"/>
          <w:lang w:val="sr-Latn-BA"/>
        </w:rPr>
        <w:t xml:space="preserve"> </w:t>
      </w:r>
      <w:r w:rsidRPr="00155F80">
        <w:rPr>
          <w:rFonts w:ascii="Times New Roman" w:hAnsi="Times New Roman"/>
          <w:lang w:val="pl-PL"/>
        </w:rPr>
        <w:t>ima</w:t>
      </w:r>
      <w:r w:rsidRPr="00155F80">
        <w:rPr>
          <w:rFonts w:ascii="Times New Roman" w:hAnsi="Times New Roman"/>
          <w:lang w:val="sr-Latn-BA"/>
        </w:rPr>
        <w:t xml:space="preserve"> 3,9% </w:t>
      </w:r>
      <w:r w:rsidRPr="00155F80">
        <w:rPr>
          <w:rFonts w:ascii="Times New Roman" w:hAnsi="Times New Roman"/>
          <w:lang w:val="pl-PL"/>
        </w:rPr>
        <w:t>djece</w:t>
      </w:r>
      <w:r w:rsidRPr="00155F80">
        <w:rPr>
          <w:rFonts w:ascii="Times New Roman" w:hAnsi="Times New Roman"/>
          <w:lang w:val="sr-Latn-BA"/>
        </w:rPr>
        <w:t xml:space="preserve"> uzrasta 5-10 </w:t>
      </w:r>
      <w:r w:rsidRPr="00155F80">
        <w:rPr>
          <w:rFonts w:ascii="Times New Roman" w:hAnsi="Times New Roman"/>
          <w:lang w:val="pl-PL"/>
        </w:rPr>
        <w:t>godina</w:t>
      </w:r>
      <w:r w:rsidRPr="00155F80">
        <w:rPr>
          <w:rFonts w:ascii="Times New Roman" w:hAnsi="Times New Roman"/>
          <w:lang w:val="sr-Latn-BA"/>
        </w:rPr>
        <w:t xml:space="preserve"> </w:t>
      </w:r>
      <w:r w:rsidRPr="00155F80">
        <w:rPr>
          <w:rFonts w:ascii="Times New Roman" w:hAnsi="Times New Roman"/>
          <w:lang w:val="pl-PL"/>
        </w:rPr>
        <w:t>i</w:t>
      </w:r>
      <w:r w:rsidRPr="00155F80">
        <w:rPr>
          <w:rFonts w:ascii="Times New Roman" w:hAnsi="Times New Roman"/>
          <w:lang w:val="sr-Latn-BA"/>
        </w:rPr>
        <w:t xml:space="preserve"> 5,5% </w:t>
      </w:r>
      <w:r w:rsidRPr="00155F80">
        <w:rPr>
          <w:rFonts w:ascii="Times New Roman" w:hAnsi="Times New Roman"/>
          <w:lang w:val="pl-PL"/>
        </w:rPr>
        <w:t>djece</w:t>
      </w:r>
      <w:r w:rsidRPr="00155F80">
        <w:rPr>
          <w:rFonts w:ascii="Times New Roman" w:hAnsi="Times New Roman"/>
          <w:lang w:val="sr-Latn-BA"/>
        </w:rPr>
        <w:t xml:space="preserve"> uzrasta 10-15 </w:t>
      </w:r>
      <w:r w:rsidRPr="00155F80">
        <w:rPr>
          <w:rFonts w:ascii="Times New Roman" w:hAnsi="Times New Roman"/>
          <w:lang w:val="pl-PL"/>
        </w:rPr>
        <w:t>godina</w:t>
      </w:r>
      <w:r w:rsidRPr="00155F80">
        <w:rPr>
          <w:rFonts w:ascii="Times New Roman" w:hAnsi="Times New Roman"/>
          <w:lang w:val="sr-Latn-BA"/>
        </w:rPr>
        <w:t xml:space="preserve">. </w:t>
      </w: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pl-PL"/>
        </w:rPr>
        <w:t xml:space="preserve">Međutim, u </w:t>
      </w:r>
      <w:r w:rsidR="00A80006">
        <w:rPr>
          <w:rFonts w:ascii="Times New Roman" w:hAnsi="Times New Roman"/>
          <w:lang w:val="pl-PL"/>
        </w:rPr>
        <w:t>starosnoj</w:t>
      </w:r>
      <w:r w:rsidRPr="00155F80">
        <w:rPr>
          <w:rFonts w:ascii="Times New Roman" w:hAnsi="Times New Roman"/>
          <w:lang w:val="pl-PL"/>
        </w:rPr>
        <w:t xml:space="preserve"> </w:t>
      </w:r>
      <w:r w:rsidR="00A80006">
        <w:rPr>
          <w:rFonts w:ascii="Times New Roman" w:hAnsi="Times New Roman"/>
          <w:lang w:val="pl-PL"/>
        </w:rPr>
        <w:t>grupi</w:t>
      </w:r>
      <w:r w:rsidRPr="00155F80">
        <w:rPr>
          <w:rFonts w:ascii="Times New Roman" w:hAnsi="Times New Roman"/>
          <w:lang w:val="pl-PL"/>
        </w:rPr>
        <w:t xml:space="preserve"> školske djece prekomjerna težina je široko prisutna -  kod</w:t>
      </w:r>
      <w:r w:rsidRPr="00155F80">
        <w:rPr>
          <w:rFonts w:ascii="Times New Roman" w:hAnsi="Times New Roman"/>
          <w:lang w:val="sr-Latn-BA"/>
        </w:rPr>
        <w:t xml:space="preserve">  trećine odnosno 31,2% djece uzrasta 5-10 godina, od kojih </w:t>
      </w:r>
      <w:r w:rsidR="00412C56">
        <w:rPr>
          <w:rFonts w:ascii="Times New Roman" w:hAnsi="Times New Roman"/>
          <w:lang w:val="sr-Latn-BA"/>
        </w:rPr>
        <w:t>pretilost</w:t>
      </w:r>
      <w:r w:rsidRPr="00155F80">
        <w:rPr>
          <w:rFonts w:ascii="Times New Roman" w:hAnsi="Times New Roman"/>
          <w:lang w:val="sr-Latn-BA"/>
        </w:rPr>
        <w:t xml:space="preserve"> kod 13,3% djece. </w:t>
      </w:r>
    </w:p>
    <w:p w:rsidR="007A7E4A" w:rsidRPr="00155F80" w:rsidRDefault="00A131AD" w:rsidP="000C0138">
      <w:pPr>
        <w:spacing w:line="276" w:lineRule="auto"/>
        <w:rPr>
          <w:rFonts w:ascii="Times New Roman" w:hAnsi="Times New Roman"/>
          <w:noProof/>
          <w:lang w:val="hr-HR" w:eastAsia="de-DE"/>
        </w:rPr>
      </w:pPr>
      <w:r w:rsidRPr="00155F80">
        <w:rPr>
          <w:rFonts w:ascii="Times New Roman" w:hAnsi="Times New Roman"/>
          <w:lang w:val="sr-Latn-BA"/>
        </w:rPr>
        <w:t xml:space="preserve">Kod djece </w:t>
      </w:r>
      <w:r w:rsidR="00412C56">
        <w:rPr>
          <w:rFonts w:ascii="Times New Roman" w:hAnsi="Times New Roman"/>
          <w:lang w:val="sr-Latn-BA"/>
        </w:rPr>
        <w:t>dobi</w:t>
      </w:r>
      <w:r w:rsidRPr="00155F80">
        <w:rPr>
          <w:rFonts w:ascii="Times New Roman" w:hAnsi="Times New Roman"/>
          <w:lang w:val="sr-Latn-BA"/>
        </w:rPr>
        <w:t xml:space="preserve"> 10-15 godina, prekomjerna težina je prisutna kod 22,3% djece, od kojih je </w:t>
      </w:r>
      <w:r w:rsidR="00412C56">
        <w:rPr>
          <w:rFonts w:ascii="Times New Roman" w:hAnsi="Times New Roman"/>
          <w:lang w:val="sr-Latn-BA"/>
        </w:rPr>
        <w:t>pretilost</w:t>
      </w:r>
      <w:r w:rsidRPr="00155F80">
        <w:rPr>
          <w:rFonts w:ascii="Times New Roman" w:hAnsi="Times New Roman"/>
          <w:lang w:val="sr-Latn-BA"/>
        </w:rPr>
        <w:t xml:space="preserve"> prisutna u 3,9% slučajeva (ITM/dob +2SD)</w:t>
      </w:r>
      <w:r w:rsidRPr="00155F80">
        <w:rPr>
          <w:rFonts w:ascii="Times New Roman" w:hAnsi="Times New Roman"/>
          <w:noProof/>
          <w:lang w:val="hr-HR" w:eastAsia="de-DE"/>
        </w:rPr>
        <w:t>.</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B37E7E">
      <w:pPr>
        <w:pStyle w:val="refererere"/>
        <w:rPr>
          <w:noProof/>
        </w:rPr>
      </w:pPr>
      <w:bookmarkStart w:id="311" w:name="OLE_LINK6"/>
      <w:bookmarkStart w:id="312" w:name="OLE_LINK7"/>
      <w:r w:rsidRPr="00155F80">
        <w:rPr>
          <w:noProof/>
        </w:rPr>
        <w:t>Grafikon</w:t>
      </w:r>
      <w:r w:rsidRPr="00155F80">
        <w:rPr>
          <w:noProof/>
          <w:lang w:val="sr-Latn-BA"/>
        </w:rPr>
        <w:t xml:space="preserve"> 74: </w:t>
      </w:r>
      <w:r w:rsidRPr="00155F80">
        <w:rPr>
          <w:noProof/>
        </w:rPr>
        <w:t>Distribucija</w:t>
      </w:r>
      <w:r w:rsidRPr="00155F80">
        <w:rPr>
          <w:noProof/>
          <w:lang w:val="sr-Latn-BA"/>
        </w:rPr>
        <w:t xml:space="preserve"> </w:t>
      </w:r>
      <w:r w:rsidRPr="00155F80">
        <w:rPr>
          <w:noProof/>
        </w:rPr>
        <w:t>indeksa</w:t>
      </w:r>
      <w:r w:rsidRPr="00155F80">
        <w:rPr>
          <w:noProof/>
          <w:lang w:val="sr-Latn-BA"/>
        </w:rPr>
        <w:t xml:space="preserve"> </w:t>
      </w:r>
      <w:r w:rsidRPr="00155F80">
        <w:rPr>
          <w:noProof/>
        </w:rPr>
        <w:t>tjelesne</w:t>
      </w:r>
      <w:r w:rsidRPr="00155F80">
        <w:rPr>
          <w:noProof/>
          <w:lang w:val="sr-Latn-BA"/>
        </w:rPr>
        <w:t xml:space="preserve"> </w:t>
      </w:r>
      <w:r w:rsidRPr="00155F80">
        <w:rPr>
          <w:noProof/>
        </w:rPr>
        <w:t>mase</w:t>
      </w:r>
      <w:r w:rsidRPr="00155F80">
        <w:rPr>
          <w:noProof/>
          <w:lang w:val="sr-Latn-BA"/>
        </w:rPr>
        <w:t xml:space="preserve"> </w:t>
      </w:r>
      <w:r w:rsidRPr="00155F80">
        <w:rPr>
          <w:noProof/>
        </w:rPr>
        <w:t>za</w:t>
      </w:r>
      <w:r w:rsidRPr="00155F80">
        <w:rPr>
          <w:noProof/>
          <w:lang w:val="sr-Latn-BA"/>
        </w:rPr>
        <w:t xml:space="preserve"> </w:t>
      </w:r>
      <w:r w:rsidRPr="00155F80">
        <w:rPr>
          <w:noProof/>
        </w:rPr>
        <w:t>djece</w:t>
      </w:r>
      <w:r w:rsidRPr="00155F80">
        <w:rPr>
          <w:noProof/>
          <w:lang w:val="sr-Latn-BA"/>
        </w:rPr>
        <w:t xml:space="preserve"> </w:t>
      </w:r>
      <w:r w:rsidR="00412C56">
        <w:rPr>
          <w:noProof/>
        </w:rPr>
        <w:t xml:space="preserve">dobi </w:t>
      </w:r>
      <w:r w:rsidRPr="00155F80">
        <w:rPr>
          <w:noProof/>
          <w:lang w:val="sr-Latn-BA"/>
        </w:rPr>
        <w:t xml:space="preserve"> 5-15 </w:t>
      </w:r>
      <w:r w:rsidRPr="00155F80">
        <w:rPr>
          <w:noProof/>
        </w:rPr>
        <w:t xml:space="preserve">godina u Federaciji Bosne i Hercegovine, </w:t>
      </w:r>
      <w:r w:rsidRPr="00155F80">
        <w:rPr>
          <w:noProof/>
          <w:lang w:val="sr-Latn-BA"/>
        </w:rPr>
        <w:t xml:space="preserve"> </w:t>
      </w:r>
      <w:r w:rsidRPr="00155F80">
        <w:rPr>
          <w:noProof/>
        </w:rPr>
        <w:t>prema</w:t>
      </w:r>
      <w:r w:rsidRPr="00155F80">
        <w:rPr>
          <w:noProof/>
          <w:lang w:val="sr-Latn-BA"/>
        </w:rPr>
        <w:t xml:space="preserve"> </w:t>
      </w:r>
      <w:r w:rsidR="00526FD0">
        <w:rPr>
          <w:noProof/>
        </w:rPr>
        <w:t>starosnim</w:t>
      </w:r>
      <w:r w:rsidRPr="00155F80">
        <w:rPr>
          <w:noProof/>
        </w:rPr>
        <w:t xml:space="preserve"> </w:t>
      </w:r>
      <w:r w:rsidR="00D21A46">
        <w:rPr>
          <w:noProof/>
        </w:rPr>
        <w:t>grupa</w:t>
      </w:r>
      <w:r w:rsidRPr="00155F80">
        <w:rPr>
          <w:noProof/>
        </w:rPr>
        <w:t xml:space="preserve">ma </w:t>
      </w:r>
    </w:p>
    <w:p w:rsidR="00A131AD" w:rsidRPr="00155F80" w:rsidRDefault="00A131AD" w:rsidP="000C0138">
      <w:pPr>
        <w:spacing w:line="276" w:lineRule="auto"/>
        <w:rPr>
          <w:rFonts w:ascii="Times New Roman" w:hAnsi="Times New Roman"/>
          <w:noProof/>
        </w:rPr>
      </w:pPr>
      <w:r w:rsidRPr="00155F80">
        <w:rPr>
          <w:rFonts w:ascii="Times New Roman" w:hAnsi="Times New Roman"/>
          <w:noProof/>
          <w:lang w:eastAsia="en-GB"/>
        </w:rPr>
        <w:drawing>
          <wp:inline distT="0" distB="0" distL="0" distR="0" wp14:anchorId="443BD75F" wp14:editId="46C2358C">
            <wp:extent cx="5842635" cy="2137558"/>
            <wp:effectExtent l="19050" t="19050" r="24765" b="15240"/>
            <wp:docPr id="10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6" cstate="print"/>
                    <a:srcRect/>
                    <a:stretch>
                      <a:fillRect/>
                    </a:stretch>
                  </pic:blipFill>
                  <pic:spPr bwMode="auto">
                    <a:xfrm>
                      <a:off x="0" y="0"/>
                      <a:ext cx="5866009" cy="2146110"/>
                    </a:xfrm>
                    <a:prstGeom prst="rect">
                      <a:avLst/>
                    </a:prstGeom>
                    <a:noFill/>
                    <a:ln w="9525">
                      <a:solidFill>
                        <a:schemeClr val="dk1">
                          <a:alpha val="0"/>
                        </a:schemeClr>
                      </a:solidFill>
                      <a:miter lim="800000"/>
                      <a:headEnd/>
                      <a:tailEnd/>
                    </a:ln>
                  </pic:spPr>
                </pic:pic>
              </a:graphicData>
            </a:graphic>
          </wp:inline>
        </w:drawing>
      </w:r>
    </w:p>
    <w:bookmarkEnd w:id="311"/>
    <w:bookmarkEnd w:id="312"/>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eastAsia="de-DE"/>
        </w:rPr>
      </w:pPr>
      <w:r w:rsidRPr="00155F80">
        <w:rPr>
          <w:rFonts w:ascii="Times New Roman" w:hAnsi="Times New Roman"/>
          <w:noProof/>
          <w:lang w:eastAsia="de-DE"/>
        </w:rPr>
        <w:t xml:space="preserve">Isto istraživanje je pokazalo da ovi indikatori stanja uhranjenosti korespondiraju sa lošim prehrambenim navikama školske djece, karakterizane visokim unosom grickalica i slatkiša. </w:t>
      </w:r>
    </w:p>
    <w:p w:rsidR="00A131AD" w:rsidRPr="00155F80" w:rsidRDefault="00A131AD" w:rsidP="000C0138">
      <w:pPr>
        <w:spacing w:line="276" w:lineRule="auto"/>
        <w:rPr>
          <w:rFonts w:ascii="Times New Roman" w:hAnsi="Times New Roman"/>
          <w:noProof/>
          <w:lang w:eastAsia="de-DE"/>
        </w:rPr>
      </w:pP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de-DE"/>
        </w:rPr>
        <w:t xml:space="preserve">Međutim, istraživanje o prehrambenom okruženju i </w:t>
      </w:r>
      <w:r w:rsidR="00950A64">
        <w:rPr>
          <w:rFonts w:ascii="Times New Roman" w:hAnsi="Times New Roman"/>
          <w:noProof/>
          <w:lang w:eastAsia="de-DE"/>
        </w:rPr>
        <w:t>ishrani</w:t>
      </w:r>
      <w:r w:rsidRPr="00155F80">
        <w:rPr>
          <w:rFonts w:ascii="Times New Roman" w:hAnsi="Times New Roman"/>
          <w:noProof/>
          <w:lang w:eastAsia="de-DE"/>
        </w:rPr>
        <w:t xml:space="preserve"> u školama na području </w:t>
      </w:r>
      <w:r w:rsidR="00412C56">
        <w:rPr>
          <w:rFonts w:ascii="Times New Roman" w:hAnsi="Times New Roman"/>
          <w:noProof/>
          <w:lang w:eastAsia="de-DE"/>
        </w:rPr>
        <w:t>K</w:t>
      </w:r>
      <w:r w:rsidRPr="00155F80">
        <w:rPr>
          <w:rFonts w:ascii="Times New Roman" w:hAnsi="Times New Roman"/>
          <w:noProof/>
          <w:lang w:eastAsia="de-DE"/>
        </w:rPr>
        <w:t xml:space="preserve">antona Sarajevo, je pokazalo da je u  školskim kantinama </w:t>
      </w:r>
      <w:r w:rsidRPr="00155F80">
        <w:rPr>
          <w:rFonts w:ascii="Times New Roman" w:hAnsi="Times New Roman"/>
        </w:rPr>
        <w:t>raspoloživost z</w:t>
      </w:r>
      <w:r w:rsidRPr="00155F80">
        <w:rPr>
          <w:rFonts w:ascii="Times New Roman" w:hAnsi="Times New Roman"/>
          <w:bCs/>
        </w:rPr>
        <w:t xml:space="preserve">dravih namirnica oskudna, a  nezdravih namirnica obilata, što prestavlja nepovoljno okruženje </w:t>
      </w:r>
      <w:r w:rsidRPr="00155F80">
        <w:rPr>
          <w:rFonts w:ascii="Times New Roman" w:hAnsi="Times New Roman"/>
        </w:rPr>
        <w:t xml:space="preserve">za zdrave izbore i zdravu </w:t>
      </w:r>
      <w:r w:rsidR="00EE5188">
        <w:rPr>
          <w:rFonts w:ascii="Times New Roman" w:hAnsi="Times New Roman"/>
        </w:rPr>
        <w:t>pre</w:t>
      </w:r>
      <w:r w:rsidRPr="00155F80">
        <w:rPr>
          <w:rFonts w:ascii="Times New Roman" w:hAnsi="Times New Roman"/>
        </w:rPr>
        <w:t xml:space="preserve">hranu. </w:t>
      </w:r>
    </w:p>
    <w:p w:rsidR="00301140" w:rsidRDefault="00A131AD" w:rsidP="003773EC">
      <w:pPr>
        <w:spacing w:line="276" w:lineRule="auto"/>
        <w:rPr>
          <w:i/>
        </w:rPr>
      </w:pPr>
      <w:r w:rsidRPr="00155F80">
        <w:rPr>
          <w:rFonts w:ascii="Times New Roman" w:hAnsi="Times New Roman"/>
        </w:rPr>
        <w:t xml:space="preserve">Svježe voće i punovrijedni voćni sokovi prodaju se samo u trećini (29%), žitarice i mlijeko u 41%, a povrće u 59% </w:t>
      </w:r>
      <w:r w:rsidR="00412C56">
        <w:rPr>
          <w:rFonts w:ascii="Times New Roman" w:hAnsi="Times New Roman"/>
        </w:rPr>
        <w:t xml:space="preserve"> </w:t>
      </w:r>
      <w:r w:rsidRPr="00155F80">
        <w:rPr>
          <w:rFonts w:ascii="Times New Roman" w:hAnsi="Times New Roman"/>
        </w:rPr>
        <w:t xml:space="preserve">kantina, dok se slatka bezalkoholna pića prodaju u 88%, čokolade u dvije trećine, a slane grickalice u 59% kantina, bez razlike u ponudi među školama sa područja različitog socioekonomskog statusa. </w:t>
      </w:r>
      <w:bookmarkStart w:id="313" w:name="_Toc379106612"/>
      <w:bookmarkStart w:id="314" w:name="_Toc380144544"/>
    </w:p>
    <w:p w:rsidR="00A131AD" w:rsidRPr="00155F80" w:rsidRDefault="00A131AD" w:rsidP="00B37E7E">
      <w:pPr>
        <w:pStyle w:val="refererere"/>
      </w:pPr>
      <w:r w:rsidRPr="00155F80">
        <w:t>Grafikon 75: Raspoloživost zašećerenih bezalkoholnih pića u kantinama</w:t>
      </w:r>
      <w:bookmarkEnd w:id="313"/>
      <w:bookmarkEnd w:id="314"/>
      <w:r w:rsidRPr="00155F80">
        <w:t xml:space="preserve"> osnovnih škola na području </w:t>
      </w:r>
      <w:r w:rsidR="00412C56">
        <w:t>K</w:t>
      </w:r>
      <w:r w:rsidRPr="00155F80">
        <w:t xml:space="preserve">antona Sarajevo </w:t>
      </w:r>
    </w:p>
    <w:p w:rsidR="00B37E7E" w:rsidRPr="003361B4" w:rsidRDefault="00A131AD" w:rsidP="003361B4">
      <w:pPr>
        <w:tabs>
          <w:tab w:val="center" w:pos="2635"/>
        </w:tabs>
        <w:autoSpaceDE w:val="0"/>
        <w:autoSpaceDN w:val="0"/>
        <w:adjustRightInd w:val="0"/>
        <w:spacing w:line="276" w:lineRule="auto"/>
        <w:jc w:val="center"/>
        <w:rPr>
          <w:rFonts w:ascii="Times New Roman" w:hAnsi="Times New Roman"/>
          <w:bCs/>
          <w:color w:val="000000"/>
          <w:lang w:val="hr-HR"/>
        </w:rPr>
      </w:pPr>
      <w:r w:rsidRPr="00155F80">
        <w:rPr>
          <w:rFonts w:ascii="Times New Roman" w:hAnsi="Times New Roman"/>
          <w:noProof/>
          <w:color w:val="000000"/>
          <w:lang w:eastAsia="en-GB"/>
        </w:rPr>
        <w:drawing>
          <wp:inline distT="0" distB="0" distL="0" distR="0" wp14:anchorId="238D1421" wp14:editId="7649E869">
            <wp:extent cx="5794375" cy="2280062"/>
            <wp:effectExtent l="0" t="0" r="0" b="6350"/>
            <wp:docPr id="104"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87" cstate="print"/>
                    <a:srcRect/>
                    <a:stretch>
                      <a:fillRect/>
                    </a:stretch>
                  </pic:blipFill>
                  <pic:spPr bwMode="auto">
                    <a:xfrm>
                      <a:off x="0" y="0"/>
                      <a:ext cx="5816577" cy="2288799"/>
                    </a:xfrm>
                    <a:prstGeom prst="rect">
                      <a:avLst/>
                    </a:prstGeom>
                    <a:noFill/>
                    <a:ln w="9525">
                      <a:noFill/>
                      <a:miter lim="800000"/>
                      <a:headEnd/>
                      <a:tailEnd/>
                    </a:ln>
                  </pic:spPr>
                </pic:pic>
              </a:graphicData>
            </a:graphic>
          </wp:inline>
        </w:drawing>
      </w:r>
      <w:bookmarkStart w:id="315" w:name="_Toc379106613"/>
      <w:bookmarkStart w:id="316" w:name="_Toc380144545"/>
    </w:p>
    <w:p w:rsidR="00A131AD" w:rsidRPr="00155F80" w:rsidRDefault="00A131AD" w:rsidP="00B37E7E">
      <w:pPr>
        <w:pStyle w:val="refererere"/>
      </w:pPr>
      <w:r w:rsidRPr="00155F80">
        <w:t xml:space="preserve">Grafikon 76: Raspoloživost slatkiša u kantinama osnovnih škola na području </w:t>
      </w:r>
      <w:r w:rsidR="00412C56">
        <w:t>K</w:t>
      </w:r>
      <w:r w:rsidRPr="00155F80">
        <w:t xml:space="preserve">antona Sarajevo </w:t>
      </w:r>
    </w:p>
    <w:bookmarkEnd w:id="315"/>
    <w:bookmarkEnd w:id="316"/>
    <w:p w:rsidR="00B37E7E" w:rsidRDefault="00A131AD" w:rsidP="000C0138">
      <w:pPr>
        <w:tabs>
          <w:tab w:val="center" w:pos="2635"/>
        </w:tabs>
        <w:autoSpaceDE w:val="0"/>
        <w:autoSpaceDN w:val="0"/>
        <w:adjustRightInd w:val="0"/>
        <w:spacing w:line="276" w:lineRule="auto"/>
        <w:jc w:val="center"/>
        <w:rPr>
          <w:rFonts w:ascii="Times New Roman" w:hAnsi="Times New Roman"/>
          <w:b/>
          <w:bCs/>
          <w:color w:val="000000"/>
          <w:lang w:val="hr-HR"/>
        </w:rPr>
      </w:pPr>
      <w:r w:rsidRPr="00155F80">
        <w:rPr>
          <w:rFonts w:ascii="Times New Roman" w:hAnsi="Times New Roman"/>
          <w:b/>
          <w:noProof/>
          <w:color w:val="000000"/>
          <w:lang w:eastAsia="en-GB"/>
        </w:rPr>
        <w:drawing>
          <wp:inline distT="0" distB="0" distL="0" distR="0" wp14:anchorId="0C660DB7" wp14:editId="4228EBD7">
            <wp:extent cx="5806317" cy="2362200"/>
            <wp:effectExtent l="0" t="0" r="4445" b="0"/>
            <wp:docPr id="105"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88" cstate="print"/>
                    <a:srcRect/>
                    <a:stretch>
                      <a:fillRect/>
                    </a:stretch>
                  </pic:blipFill>
                  <pic:spPr bwMode="auto">
                    <a:xfrm>
                      <a:off x="0" y="0"/>
                      <a:ext cx="5824530" cy="2369609"/>
                    </a:xfrm>
                    <a:prstGeom prst="rect">
                      <a:avLst/>
                    </a:prstGeom>
                    <a:noFill/>
                    <a:ln w="9525">
                      <a:noFill/>
                      <a:miter lim="800000"/>
                      <a:headEnd/>
                      <a:tailEnd/>
                    </a:ln>
                  </pic:spPr>
                </pic:pic>
              </a:graphicData>
            </a:graphic>
          </wp:inline>
        </w:drawing>
      </w:r>
      <w:bookmarkStart w:id="317" w:name="_Toc379106614"/>
      <w:bookmarkStart w:id="318" w:name="_Toc380144546"/>
    </w:p>
    <w:p w:rsidR="00B37E7E" w:rsidRDefault="00B37E7E" w:rsidP="00B37E7E">
      <w:pPr>
        <w:rPr>
          <w:rFonts w:ascii="Times New Roman" w:hAnsi="Times New Roman"/>
          <w:lang w:val="hr-HR"/>
        </w:rPr>
      </w:pPr>
    </w:p>
    <w:p w:rsidR="00A131AD" w:rsidRPr="00155F80" w:rsidRDefault="00A131AD" w:rsidP="00B37E7E">
      <w:pPr>
        <w:pStyle w:val="refererere"/>
      </w:pPr>
      <w:r w:rsidRPr="00155F80">
        <w:t xml:space="preserve">Grafikon 77: Raspoloživost zašećerenih bezalkoholnih pića u kantinama osnovnih škola na području </w:t>
      </w:r>
      <w:r w:rsidR="00412C56">
        <w:t>K</w:t>
      </w:r>
      <w:r w:rsidRPr="00155F80">
        <w:t xml:space="preserve">antona Sarajevo </w:t>
      </w:r>
    </w:p>
    <w:bookmarkEnd w:id="317"/>
    <w:bookmarkEnd w:id="318"/>
    <w:p w:rsidR="00A131AD" w:rsidRPr="00155F80" w:rsidRDefault="00A131AD" w:rsidP="000C0138">
      <w:pPr>
        <w:tabs>
          <w:tab w:val="center" w:pos="2635"/>
        </w:tabs>
        <w:autoSpaceDE w:val="0"/>
        <w:autoSpaceDN w:val="0"/>
        <w:adjustRightInd w:val="0"/>
        <w:spacing w:line="276" w:lineRule="auto"/>
        <w:jc w:val="center"/>
        <w:rPr>
          <w:rFonts w:ascii="Times New Roman" w:hAnsi="Times New Roman"/>
          <w:b/>
          <w:noProof/>
          <w:color w:val="000000"/>
          <w:lang w:val="hr-HR"/>
        </w:rPr>
      </w:pPr>
      <w:r w:rsidRPr="00155F80">
        <w:rPr>
          <w:rFonts w:ascii="Times New Roman" w:hAnsi="Times New Roman"/>
          <w:b/>
          <w:noProof/>
          <w:color w:val="000000"/>
          <w:lang w:eastAsia="en-GB"/>
        </w:rPr>
        <w:drawing>
          <wp:inline distT="0" distB="0" distL="0" distR="0" wp14:anchorId="36EC6016" wp14:editId="252F02B0">
            <wp:extent cx="5805805" cy="2171700"/>
            <wp:effectExtent l="0" t="0" r="4445" b="0"/>
            <wp:docPr id="10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89" cstate="print"/>
                    <a:srcRect b="-66"/>
                    <a:stretch>
                      <a:fillRect/>
                    </a:stretch>
                  </pic:blipFill>
                  <pic:spPr bwMode="auto">
                    <a:xfrm>
                      <a:off x="0" y="0"/>
                      <a:ext cx="5815183" cy="2175208"/>
                    </a:xfrm>
                    <a:prstGeom prst="rect">
                      <a:avLst/>
                    </a:prstGeom>
                    <a:noFill/>
                    <a:ln w="9525">
                      <a:noFill/>
                      <a:miter lim="800000"/>
                      <a:headEnd/>
                      <a:tailEnd/>
                    </a:ln>
                  </pic:spPr>
                </pic:pic>
              </a:graphicData>
            </a:graphic>
          </wp:inline>
        </w:drawing>
      </w:r>
    </w:p>
    <w:p w:rsidR="00A131AD" w:rsidRPr="00155F80" w:rsidRDefault="00A131AD" w:rsidP="000C0138">
      <w:pPr>
        <w:spacing w:line="276" w:lineRule="auto"/>
        <w:rPr>
          <w:rFonts w:ascii="Times New Roman" w:hAnsi="Times New Roman"/>
          <w:noProof/>
          <w:lang w:val="hr-HR" w:eastAsia="sr-Latn-BA"/>
        </w:rPr>
      </w:pPr>
    </w:p>
    <w:p w:rsidR="00A131AD" w:rsidRPr="00155F80" w:rsidRDefault="00A131AD" w:rsidP="000C0138">
      <w:pPr>
        <w:pStyle w:val="Tekst0"/>
        <w:spacing w:line="276" w:lineRule="auto"/>
        <w:rPr>
          <w:b/>
          <w:sz w:val="22"/>
          <w:szCs w:val="22"/>
          <w:lang w:val="pl-PL"/>
        </w:rPr>
      </w:pPr>
      <w:r w:rsidRPr="00155F80">
        <w:rPr>
          <w:sz w:val="22"/>
          <w:szCs w:val="22"/>
          <w:lang w:val="pl-PL"/>
        </w:rPr>
        <w:t>Jedna od aktivnosti implementiranih u okviru intersektorskog programa „Zdravo jedi, zdravo rasti!”</w:t>
      </w:r>
      <w:r w:rsidRPr="00155F80">
        <w:rPr>
          <w:sz w:val="22"/>
          <w:szCs w:val="22"/>
        </w:rPr>
        <w:t xml:space="preserve"> pokrenutog </w:t>
      </w:r>
      <w:r w:rsidRPr="00155F80">
        <w:rPr>
          <w:sz w:val="22"/>
          <w:szCs w:val="22"/>
          <w:lang w:val="pl-PL"/>
        </w:rPr>
        <w:t xml:space="preserve">od strane Federalnog ministarstva obrazovanja i </w:t>
      </w:r>
      <w:r w:rsidR="00412C56">
        <w:rPr>
          <w:sz w:val="22"/>
          <w:szCs w:val="22"/>
          <w:lang w:val="pl-PL"/>
        </w:rPr>
        <w:t>znanosti</w:t>
      </w:r>
      <w:r w:rsidRPr="00155F80">
        <w:rPr>
          <w:sz w:val="22"/>
          <w:szCs w:val="22"/>
          <w:lang w:val="pl-PL"/>
        </w:rPr>
        <w:t>,  Federalnog ministarstva zdravst</w:t>
      </w:r>
      <w:r w:rsidR="00A87C61">
        <w:rPr>
          <w:sz w:val="22"/>
          <w:szCs w:val="22"/>
          <w:lang w:val="pl-PL"/>
        </w:rPr>
        <w:t>va, Zavoda za javno zdravstvo FBiH</w:t>
      </w:r>
      <w:r w:rsidRPr="00155F80">
        <w:rPr>
          <w:sz w:val="22"/>
          <w:szCs w:val="22"/>
          <w:lang w:val="pl-PL"/>
        </w:rPr>
        <w:t xml:space="preserve"> je i unapređenje </w:t>
      </w:r>
      <w:r w:rsidR="00D21A46">
        <w:rPr>
          <w:sz w:val="22"/>
          <w:szCs w:val="22"/>
          <w:lang w:val="pl-PL"/>
        </w:rPr>
        <w:t>ishrane</w:t>
      </w:r>
      <w:r w:rsidRPr="00155F80">
        <w:rPr>
          <w:sz w:val="22"/>
          <w:szCs w:val="22"/>
          <w:lang w:val="pl-PL"/>
        </w:rPr>
        <w:t xml:space="preserve"> i prehrambenog okruženja u odgojno obrazovnim usta</w:t>
      </w:r>
      <w:r w:rsidR="00A87C61">
        <w:rPr>
          <w:sz w:val="22"/>
          <w:szCs w:val="22"/>
          <w:lang w:val="pl-PL"/>
        </w:rPr>
        <w:t>novama, i to kroz pilot projkat</w:t>
      </w:r>
      <w:r w:rsidRPr="00155F80">
        <w:rPr>
          <w:sz w:val="22"/>
          <w:szCs w:val="22"/>
          <w:lang w:val="pl-PL"/>
        </w:rPr>
        <w:t xml:space="preserve"> „Škole/vrtići prijatelji zdrave </w:t>
      </w:r>
      <w:r w:rsidR="00D21A46">
        <w:rPr>
          <w:sz w:val="22"/>
          <w:szCs w:val="22"/>
          <w:lang w:val="pl-PL"/>
        </w:rPr>
        <w:t>ishrane</w:t>
      </w:r>
      <w:r w:rsidRPr="00155F80">
        <w:rPr>
          <w:sz w:val="22"/>
          <w:szCs w:val="22"/>
          <w:lang w:val="pl-PL"/>
        </w:rPr>
        <w:t xml:space="preserve">”.  Projekat je </w:t>
      </w:r>
      <w:r w:rsidR="00412C56">
        <w:rPr>
          <w:sz w:val="22"/>
          <w:szCs w:val="22"/>
          <w:lang w:val="pl-PL"/>
        </w:rPr>
        <w:t>proveden</w:t>
      </w:r>
      <w:r w:rsidRPr="00155F80">
        <w:rPr>
          <w:sz w:val="22"/>
          <w:szCs w:val="22"/>
          <w:lang w:val="pl-PL"/>
        </w:rPr>
        <w:t xml:space="preserve"> u </w:t>
      </w:r>
      <w:r w:rsidR="00F70FD4">
        <w:rPr>
          <w:sz w:val="22"/>
          <w:szCs w:val="22"/>
          <w:lang w:val="pl-PL"/>
        </w:rPr>
        <w:t>periodu</w:t>
      </w:r>
      <w:r w:rsidRPr="00155F80">
        <w:rPr>
          <w:sz w:val="22"/>
          <w:szCs w:val="22"/>
          <w:lang w:val="pl-PL"/>
        </w:rPr>
        <w:t xml:space="preserve"> 2013</w:t>
      </w:r>
      <w:r w:rsidR="00EC077A">
        <w:rPr>
          <w:sz w:val="22"/>
          <w:szCs w:val="22"/>
          <w:lang w:val="pl-PL"/>
        </w:rPr>
        <w:t>.</w:t>
      </w:r>
      <w:r w:rsidRPr="00155F80">
        <w:rPr>
          <w:sz w:val="22"/>
          <w:szCs w:val="22"/>
          <w:lang w:val="pl-PL"/>
        </w:rPr>
        <w:t>-</w:t>
      </w:r>
      <w:r w:rsidR="00EC077A">
        <w:rPr>
          <w:sz w:val="22"/>
          <w:szCs w:val="22"/>
          <w:lang w:val="pl-PL"/>
        </w:rPr>
        <w:t xml:space="preserve"> </w:t>
      </w:r>
      <w:r w:rsidRPr="00155F80">
        <w:rPr>
          <w:sz w:val="22"/>
          <w:szCs w:val="22"/>
          <w:lang w:val="pl-PL"/>
        </w:rPr>
        <w:t>2014</w:t>
      </w:r>
      <w:r w:rsidR="00EC077A">
        <w:rPr>
          <w:sz w:val="22"/>
          <w:szCs w:val="22"/>
          <w:lang w:val="pl-PL"/>
        </w:rPr>
        <w:t xml:space="preserve">. godina u šest selektiranih vrtića </w:t>
      </w:r>
      <w:r w:rsidRPr="00155F80">
        <w:rPr>
          <w:sz w:val="22"/>
          <w:szCs w:val="22"/>
          <w:lang w:val="pl-PL"/>
        </w:rPr>
        <w:t>sa područja Federacije BiH. Projektom je obuvaćeno ukupno 115 odgajatelja i ostalog osoblja, 1</w:t>
      </w:r>
      <w:r w:rsidR="00412C56">
        <w:rPr>
          <w:sz w:val="22"/>
          <w:szCs w:val="22"/>
          <w:lang w:val="pl-PL"/>
        </w:rPr>
        <w:t>.</w:t>
      </w:r>
      <w:r w:rsidRPr="00155F80">
        <w:rPr>
          <w:sz w:val="22"/>
          <w:szCs w:val="22"/>
          <w:lang w:val="pl-PL"/>
        </w:rPr>
        <w:t>037 djece i 2</w:t>
      </w:r>
      <w:r w:rsidR="00412C56">
        <w:rPr>
          <w:sz w:val="22"/>
          <w:szCs w:val="22"/>
          <w:lang w:val="pl-PL"/>
        </w:rPr>
        <w:t>.</w:t>
      </w:r>
      <w:r w:rsidRPr="00155F80">
        <w:rPr>
          <w:sz w:val="22"/>
          <w:szCs w:val="22"/>
          <w:lang w:val="pl-PL"/>
        </w:rPr>
        <w:t xml:space="preserve">074 roditelja. </w:t>
      </w:r>
    </w:p>
    <w:p w:rsidR="00A131AD" w:rsidRPr="00155F80" w:rsidRDefault="00A131AD" w:rsidP="000C0138">
      <w:pPr>
        <w:spacing w:line="276" w:lineRule="auto"/>
        <w:rPr>
          <w:rFonts w:ascii="Times New Roman" w:hAnsi="Times New Roman"/>
          <w:lang w:val="hr-HR"/>
        </w:rPr>
      </w:pPr>
    </w:p>
    <w:p w:rsidR="00A131AD" w:rsidRPr="00155F80" w:rsidRDefault="00301140" w:rsidP="000C0138">
      <w:pPr>
        <w:pStyle w:val="Poglavlje3"/>
        <w:spacing w:line="276" w:lineRule="auto"/>
        <w:rPr>
          <w:i w:val="0"/>
          <w:lang w:val="hr-HR"/>
        </w:rPr>
      </w:pPr>
      <w:bookmarkStart w:id="319" w:name="_Toc460929207"/>
      <w:r>
        <w:rPr>
          <w:i w:val="0"/>
          <w:lang w:val="hr-HR"/>
        </w:rPr>
        <w:t>4.1.2</w:t>
      </w:r>
      <w:r w:rsidR="000E1376" w:rsidRPr="00155F80">
        <w:rPr>
          <w:i w:val="0"/>
          <w:lang w:val="hr-HR"/>
        </w:rPr>
        <w:t xml:space="preserve"> </w:t>
      </w:r>
      <w:r w:rsidR="00A131AD" w:rsidRPr="00155F80">
        <w:rPr>
          <w:i w:val="0"/>
          <w:lang w:val="hr-HR"/>
        </w:rPr>
        <w:t>Nedosta</w:t>
      </w:r>
      <w:r w:rsidR="00412C56">
        <w:rPr>
          <w:i w:val="0"/>
          <w:lang w:val="hr-HR"/>
        </w:rPr>
        <w:t>t</w:t>
      </w:r>
      <w:r w:rsidR="00A131AD" w:rsidRPr="00155F80">
        <w:rPr>
          <w:i w:val="0"/>
          <w:lang w:val="hr-HR"/>
        </w:rPr>
        <w:t>ci mikronutrijenata</w:t>
      </w:r>
      <w:bookmarkEnd w:id="319"/>
    </w:p>
    <w:p w:rsidR="00A131AD" w:rsidRPr="00155F80" w:rsidRDefault="00A131AD" w:rsidP="000C0138">
      <w:pPr>
        <w:spacing w:line="276" w:lineRule="auto"/>
        <w:rPr>
          <w:rFonts w:ascii="Times New Roman" w:hAnsi="Times New Roman"/>
          <w:b/>
          <w:lang w:val="hr-HR"/>
        </w:rPr>
      </w:pPr>
    </w:p>
    <w:p w:rsidR="00A131AD" w:rsidRPr="00155F80" w:rsidRDefault="00A131AD" w:rsidP="000C0138">
      <w:pPr>
        <w:spacing w:line="276" w:lineRule="auto"/>
        <w:rPr>
          <w:rFonts w:ascii="Times New Roman" w:hAnsi="Times New Roman"/>
          <w:b/>
          <w:lang w:val="hr-HR"/>
        </w:rPr>
      </w:pPr>
      <w:r w:rsidRPr="00155F80">
        <w:rPr>
          <w:rFonts w:ascii="Times New Roman" w:hAnsi="Times New Roman"/>
          <w:b/>
        </w:rPr>
        <w:t>Jod</w:t>
      </w:r>
      <w:r w:rsidRPr="00155F80">
        <w:rPr>
          <w:rFonts w:ascii="Times New Roman" w:hAnsi="Times New Roman"/>
          <w:b/>
          <w:lang w:val="hr-HR"/>
        </w:rPr>
        <w:t xml:space="preserve"> </w:t>
      </w:r>
      <w:r w:rsidRPr="00155F80">
        <w:rPr>
          <w:rFonts w:ascii="Times New Roman" w:hAnsi="Times New Roman"/>
          <w:b/>
        </w:rPr>
        <w:t>deficitarni</w:t>
      </w:r>
      <w:r w:rsidRPr="00155F80">
        <w:rPr>
          <w:rFonts w:ascii="Times New Roman" w:hAnsi="Times New Roman"/>
          <w:b/>
          <w:lang w:val="hr-HR"/>
        </w:rPr>
        <w:t xml:space="preserve"> </w:t>
      </w:r>
      <w:r w:rsidRPr="00155F80">
        <w:rPr>
          <w:rFonts w:ascii="Times New Roman" w:hAnsi="Times New Roman"/>
          <w:b/>
        </w:rPr>
        <w:t>poreme</w:t>
      </w:r>
      <w:r w:rsidRPr="00155F80">
        <w:rPr>
          <w:rFonts w:ascii="Times New Roman" w:hAnsi="Times New Roman"/>
          <w:b/>
          <w:lang w:val="hr-HR"/>
        </w:rPr>
        <w:t>ć</w:t>
      </w:r>
      <w:r w:rsidRPr="00155F80">
        <w:rPr>
          <w:rFonts w:ascii="Times New Roman" w:hAnsi="Times New Roman"/>
          <w:b/>
        </w:rPr>
        <w:t>aji</w:t>
      </w:r>
    </w:p>
    <w:p w:rsidR="00A131AD" w:rsidRPr="00155F80" w:rsidRDefault="00A131AD" w:rsidP="000C0138">
      <w:pPr>
        <w:spacing w:line="276" w:lineRule="auto"/>
        <w:rPr>
          <w:rFonts w:ascii="Times New Roman" w:hAnsi="Times New Roman"/>
          <w:b/>
          <w:lang w:val="hr-HR"/>
        </w:rPr>
      </w:pP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Programom prevencije jod deficitarnih poremećaja, značajno se unaprijedio jodni status populacij</w:t>
      </w:r>
      <w:r w:rsidR="00A87C61">
        <w:rPr>
          <w:rFonts w:ascii="Times New Roman" w:hAnsi="Times New Roman"/>
          <w:lang w:val="hr-HR"/>
        </w:rPr>
        <w:t>e F</w:t>
      </w:r>
      <w:r w:rsidRPr="00155F80">
        <w:rPr>
          <w:rFonts w:ascii="Times New Roman" w:hAnsi="Times New Roman"/>
          <w:lang w:val="hr-HR"/>
        </w:rPr>
        <w:t xml:space="preserve">BiH. Jodni status populacije FBiH, je iz umjernog </w:t>
      </w:r>
      <w:r w:rsidR="00CB080B">
        <w:rPr>
          <w:rFonts w:ascii="Times New Roman" w:hAnsi="Times New Roman"/>
          <w:lang w:val="hr-HR"/>
        </w:rPr>
        <w:t>stepena</w:t>
      </w:r>
      <w:r w:rsidRPr="00155F80">
        <w:rPr>
          <w:rFonts w:ascii="Times New Roman" w:hAnsi="Times New Roman"/>
          <w:lang w:val="hr-HR"/>
        </w:rPr>
        <w:t>, zabilježenog u 2000-toj godini,</w:t>
      </w:r>
      <w:r w:rsidRPr="00155F80">
        <w:rPr>
          <w:rFonts w:ascii="Times New Roman" w:hAnsi="Times New Roman"/>
        </w:rPr>
        <w:t xml:space="preserve"> kada je prevalenc</w:t>
      </w:r>
      <w:r w:rsidR="00EA4E8B">
        <w:rPr>
          <w:rFonts w:ascii="Times New Roman" w:hAnsi="Times New Roman"/>
        </w:rPr>
        <w:t>ij</w:t>
      </w:r>
      <w:r w:rsidRPr="00155F80">
        <w:rPr>
          <w:rFonts w:ascii="Times New Roman" w:hAnsi="Times New Roman"/>
        </w:rPr>
        <w:t>a jodne gušavosti  iznosila</w:t>
      </w:r>
      <w:r w:rsidR="00EC077A">
        <w:rPr>
          <w:rFonts w:ascii="Times New Roman" w:hAnsi="Times New Roman"/>
          <w:lang w:val="hr-HR"/>
        </w:rPr>
        <w:t xml:space="preserve"> 27,</w:t>
      </w:r>
      <w:r w:rsidRPr="00155F80">
        <w:rPr>
          <w:rFonts w:ascii="Times New Roman" w:hAnsi="Times New Roman"/>
          <w:lang w:val="hr-HR"/>
        </w:rPr>
        <w:t>06%, do 2005</w:t>
      </w:r>
      <w:r w:rsidR="00EC077A">
        <w:rPr>
          <w:rFonts w:ascii="Times New Roman" w:hAnsi="Times New Roman"/>
          <w:lang w:val="hr-HR"/>
        </w:rPr>
        <w:t>.</w:t>
      </w:r>
      <w:r w:rsidRPr="00155F80">
        <w:rPr>
          <w:rFonts w:ascii="Times New Roman" w:hAnsi="Times New Roman"/>
          <w:lang w:val="hr-HR"/>
        </w:rPr>
        <w:t xml:space="preserve"> godine, preveden u blagi </w:t>
      </w:r>
      <w:r w:rsidR="00CB080B">
        <w:rPr>
          <w:rFonts w:ascii="Times New Roman" w:hAnsi="Times New Roman"/>
          <w:lang w:val="hr-HR"/>
        </w:rPr>
        <w:t>stepen</w:t>
      </w:r>
      <w:r w:rsidRPr="00155F80">
        <w:rPr>
          <w:rFonts w:ascii="Times New Roman" w:hAnsi="Times New Roman"/>
          <w:lang w:val="hr-HR"/>
        </w:rPr>
        <w:t xml:space="preserve"> jodnog deficita, sa prevalenc</w:t>
      </w:r>
      <w:r w:rsidR="00EA4E8B">
        <w:rPr>
          <w:rFonts w:ascii="Times New Roman" w:hAnsi="Times New Roman"/>
          <w:lang w:val="hr-HR"/>
        </w:rPr>
        <w:t>ij</w:t>
      </w:r>
      <w:r w:rsidRPr="00155F80">
        <w:rPr>
          <w:rFonts w:ascii="Times New Roman" w:hAnsi="Times New Roman"/>
          <w:lang w:val="hr-HR"/>
        </w:rPr>
        <w:t>om od 9,5%.</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U 2008</w:t>
      </w:r>
      <w:r w:rsidR="00EC077A">
        <w:rPr>
          <w:rFonts w:ascii="Times New Roman" w:hAnsi="Times New Roman"/>
          <w:lang w:val="hr-HR"/>
        </w:rPr>
        <w:t>.</w:t>
      </w:r>
      <w:r w:rsidRPr="00155F80">
        <w:rPr>
          <w:rFonts w:ascii="Times New Roman" w:hAnsi="Times New Roman"/>
          <w:lang w:val="hr-HR"/>
        </w:rPr>
        <w:t xml:space="preserve"> godini je u sklopu programa, </w:t>
      </w:r>
      <w:r w:rsidR="00EA4E8B">
        <w:rPr>
          <w:rFonts w:ascii="Times New Roman" w:hAnsi="Times New Roman"/>
        </w:rPr>
        <w:t>proveden</w:t>
      </w:r>
      <w:r w:rsidRPr="00155F80">
        <w:rPr>
          <w:rFonts w:ascii="Times New Roman" w:hAnsi="Times New Roman"/>
          <w:lang w:val="hr-HR"/>
        </w:rPr>
        <w:t xml:space="preserve"> </w:t>
      </w:r>
      <w:r w:rsidRPr="00155F80">
        <w:rPr>
          <w:rFonts w:ascii="Times New Roman" w:hAnsi="Times New Roman"/>
        </w:rPr>
        <w:t>projekt</w:t>
      </w:r>
      <w:r w:rsidRPr="00155F80">
        <w:rPr>
          <w:rFonts w:ascii="Times New Roman" w:hAnsi="Times New Roman"/>
          <w:lang w:val="hr-HR"/>
        </w:rPr>
        <w:t xml:space="preserve"> </w:t>
      </w:r>
      <w:r w:rsidRPr="00155F80">
        <w:rPr>
          <w:rFonts w:ascii="Times New Roman" w:hAnsi="Times New Roman"/>
        </w:rPr>
        <w:t>ispitivanja</w:t>
      </w:r>
      <w:r w:rsidRPr="00155F80">
        <w:rPr>
          <w:rFonts w:ascii="Times New Roman" w:hAnsi="Times New Roman"/>
          <w:lang w:val="hr-HR"/>
        </w:rPr>
        <w:t xml:space="preserve"> </w:t>
      </w:r>
      <w:r w:rsidRPr="00155F80">
        <w:rPr>
          <w:rFonts w:ascii="Times New Roman" w:hAnsi="Times New Roman"/>
        </w:rPr>
        <w:t>jodnog</w:t>
      </w:r>
      <w:r w:rsidRPr="00155F80">
        <w:rPr>
          <w:rFonts w:ascii="Times New Roman" w:hAnsi="Times New Roman"/>
          <w:lang w:val="hr-HR"/>
        </w:rPr>
        <w:t xml:space="preserve"> </w:t>
      </w:r>
      <w:r w:rsidRPr="00155F80">
        <w:rPr>
          <w:rFonts w:ascii="Times New Roman" w:hAnsi="Times New Roman"/>
        </w:rPr>
        <w:t>statusa</w:t>
      </w:r>
      <w:r w:rsidRPr="00155F80">
        <w:rPr>
          <w:rFonts w:ascii="Times New Roman" w:hAnsi="Times New Roman"/>
          <w:lang w:val="hr-HR"/>
        </w:rPr>
        <w:t xml:space="preserve"> </w:t>
      </w:r>
      <w:r w:rsidRPr="00155F80">
        <w:rPr>
          <w:rFonts w:ascii="Times New Roman" w:hAnsi="Times New Roman"/>
        </w:rPr>
        <w:t>trudnica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dojilja</w:t>
      </w:r>
      <w:r w:rsidRPr="00155F80">
        <w:rPr>
          <w:rStyle w:val="FootnoteReference"/>
          <w:rFonts w:ascii="Times New Roman" w:hAnsi="Times New Roman"/>
        </w:rPr>
        <w:footnoteReference w:id="1"/>
      </w:r>
      <w:r w:rsidRPr="00155F80">
        <w:rPr>
          <w:rFonts w:ascii="Times New Roman" w:hAnsi="Times New Roman"/>
          <w:lang w:val="hr-HR"/>
        </w:rPr>
        <w:t xml:space="preserve"> na području cijele Bosne i Hercegovine. U ispitivanjima na području FBiH je </w:t>
      </w:r>
      <w:r w:rsidR="00EA4E8B">
        <w:rPr>
          <w:rFonts w:ascii="Times New Roman" w:hAnsi="Times New Roman"/>
          <w:lang w:val="hr-HR"/>
        </w:rPr>
        <w:t>sudjelovalo</w:t>
      </w:r>
      <w:r w:rsidRPr="00155F80">
        <w:rPr>
          <w:rFonts w:ascii="Times New Roman" w:hAnsi="Times New Roman"/>
          <w:lang w:val="hr-HR"/>
        </w:rPr>
        <w:t xml:space="preserve"> 757 trudnica i 312 dojilja iz 11 zdravstvenih centara. Analizirana je urinarna jodna ekskrecija, u odnosu  na normalne vrijednosti medijane prema kriteri</w:t>
      </w:r>
      <w:r w:rsidR="00EA4E8B">
        <w:rPr>
          <w:rFonts w:ascii="Times New Roman" w:hAnsi="Times New Roman"/>
          <w:lang w:val="hr-HR"/>
        </w:rPr>
        <w:t>j</w:t>
      </w:r>
      <w:r w:rsidRPr="00155F80">
        <w:rPr>
          <w:rFonts w:ascii="Times New Roman" w:hAnsi="Times New Roman"/>
          <w:lang w:val="hr-HR"/>
        </w:rPr>
        <w:t>umima SZO</w:t>
      </w:r>
      <w:r w:rsidR="00AA0D77" w:rsidRPr="00155F80">
        <w:rPr>
          <w:rFonts w:ascii="Times New Roman" w:hAnsi="Times New Roman"/>
          <w:lang w:val="hr-HR"/>
        </w:rPr>
        <w:t>-</w:t>
      </w:r>
      <w:r w:rsidRPr="00155F80">
        <w:rPr>
          <w:rFonts w:ascii="Times New Roman" w:hAnsi="Times New Roman"/>
          <w:lang w:val="hr-HR"/>
        </w:rPr>
        <w:t>a i UNICEF</w:t>
      </w:r>
      <w:r w:rsidR="00AA0D77" w:rsidRPr="00155F80">
        <w:rPr>
          <w:rFonts w:ascii="Times New Roman" w:hAnsi="Times New Roman"/>
          <w:lang w:val="hr-HR"/>
        </w:rPr>
        <w:t>-</w:t>
      </w:r>
      <w:r w:rsidRPr="00155F80">
        <w:rPr>
          <w:rFonts w:ascii="Times New Roman" w:hAnsi="Times New Roman"/>
          <w:lang w:val="hr-HR"/>
        </w:rPr>
        <w:t>a iz 2007</w:t>
      </w:r>
      <w:r w:rsidR="00EC077A">
        <w:rPr>
          <w:rFonts w:ascii="Times New Roman" w:hAnsi="Times New Roman"/>
          <w:lang w:val="hr-HR"/>
        </w:rPr>
        <w:t>.</w:t>
      </w:r>
      <w:r w:rsidRPr="00155F80">
        <w:rPr>
          <w:rFonts w:ascii="Times New Roman" w:hAnsi="Times New Roman"/>
          <w:lang w:val="hr-HR"/>
        </w:rPr>
        <w:t xml:space="preserve"> godine koje za trudnice iznose od 150-250µg/l.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Ukupno 48,6% trudnica i 22</w:t>
      </w:r>
      <w:r w:rsidR="00EC077A">
        <w:rPr>
          <w:rFonts w:ascii="Times New Roman" w:hAnsi="Times New Roman"/>
          <w:lang w:val="hr-HR"/>
        </w:rPr>
        <w:t>,</w:t>
      </w:r>
      <w:r w:rsidRPr="00155F80">
        <w:rPr>
          <w:rFonts w:ascii="Times New Roman" w:hAnsi="Times New Roman"/>
          <w:lang w:val="hr-HR"/>
        </w:rPr>
        <w:t>7% dojilja imalo je vrijednosti urinarne jodne ekskrecije niže od normalnih, što je ukazalo da unos joda kod trudnica i dojilja nedovoljan za njihove povećane potrebe.</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Iako je za ovu populaci</w:t>
      </w:r>
      <w:r w:rsidR="00EA4E8B">
        <w:rPr>
          <w:rFonts w:ascii="Times New Roman" w:hAnsi="Times New Roman"/>
          <w:lang w:val="hr-HR"/>
        </w:rPr>
        <w:t>jsku</w:t>
      </w:r>
      <w:r w:rsidRPr="00155F80">
        <w:rPr>
          <w:rFonts w:ascii="Times New Roman" w:hAnsi="Times New Roman"/>
          <w:lang w:val="hr-HR"/>
        </w:rPr>
        <w:t xml:space="preserve"> grupu, s obzirom na nalaze istraživanja, razmatrana jodna supstitu</w:t>
      </w:r>
      <w:r w:rsidR="001935FA" w:rsidRPr="00155F80">
        <w:rPr>
          <w:rFonts w:ascii="Times New Roman" w:hAnsi="Times New Roman"/>
          <w:lang w:val="hr-HR"/>
        </w:rPr>
        <w:t>cija u formi tableta, do implem</w:t>
      </w:r>
      <w:r w:rsidRPr="00155F80">
        <w:rPr>
          <w:rFonts w:ascii="Times New Roman" w:hAnsi="Times New Roman"/>
          <w:lang w:val="hr-HR"/>
        </w:rPr>
        <w:t>e</w:t>
      </w:r>
      <w:r w:rsidR="001935FA" w:rsidRPr="00155F80">
        <w:rPr>
          <w:rFonts w:ascii="Times New Roman" w:hAnsi="Times New Roman"/>
          <w:lang w:val="hr-HR"/>
        </w:rPr>
        <w:t>n</w:t>
      </w:r>
      <w:r w:rsidRPr="00155F80">
        <w:rPr>
          <w:rFonts w:ascii="Times New Roman" w:hAnsi="Times New Roman"/>
          <w:lang w:val="hr-HR"/>
        </w:rPr>
        <w:t xml:space="preserve">tacije ove javno zdravstvene intervencije nije došlo.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I druge neophodne aktivnosti za praćenje i prevenciju jod deficitarnih poremećaja stagniraju, te ih je neophodno reafirmi</w:t>
      </w:r>
      <w:r w:rsidR="00EA4E8B">
        <w:rPr>
          <w:rFonts w:ascii="Times New Roman" w:hAnsi="Times New Roman"/>
          <w:lang w:val="hr-HR"/>
        </w:rPr>
        <w:t>r</w:t>
      </w:r>
      <w:r w:rsidRPr="00155F80">
        <w:rPr>
          <w:rFonts w:ascii="Times New Roman" w:hAnsi="Times New Roman"/>
          <w:lang w:val="hr-HR"/>
        </w:rPr>
        <w:t xml:space="preserve">ati, a kao prioritetnu pokrenuti uspostavu kontinuiranog monitoringa sadržaja joda u soli za ljudsku </w:t>
      </w:r>
      <w:r w:rsidR="00EA4E8B">
        <w:rPr>
          <w:rFonts w:ascii="Times New Roman" w:hAnsi="Times New Roman"/>
          <w:lang w:val="hr-HR"/>
        </w:rPr>
        <w:t>pre</w:t>
      </w:r>
      <w:r w:rsidRPr="00155F80">
        <w:rPr>
          <w:rFonts w:ascii="Times New Roman" w:hAnsi="Times New Roman"/>
          <w:lang w:val="hr-HR"/>
        </w:rPr>
        <w:t>hranu, te provođenje populaci</w:t>
      </w:r>
      <w:r w:rsidR="00EA4E8B">
        <w:rPr>
          <w:rFonts w:ascii="Times New Roman" w:hAnsi="Times New Roman"/>
          <w:lang w:val="hr-HR"/>
        </w:rPr>
        <w:t>jskog</w:t>
      </w:r>
      <w:r w:rsidRPr="00155F80">
        <w:rPr>
          <w:rFonts w:ascii="Times New Roman" w:hAnsi="Times New Roman"/>
          <w:lang w:val="hr-HR"/>
        </w:rPr>
        <w:t xml:space="preserve"> istraživanja. </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b/>
          <w:lang w:val="hr-HR"/>
        </w:rPr>
      </w:pPr>
      <w:r w:rsidRPr="00155F80">
        <w:rPr>
          <w:rFonts w:ascii="Times New Roman" w:hAnsi="Times New Roman"/>
          <w:b/>
          <w:lang w:val="hr-HR"/>
        </w:rPr>
        <w:t>Anemija uslijed nedostatka željeza</w:t>
      </w:r>
    </w:p>
    <w:p w:rsidR="00A131AD" w:rsidRPr="00155F80" w:rsidRDefault="00A131AD" w:rsidP="000C0138">
      <w:pPr>
        <w:spacing w:line="276" w:lineRule="auto"/>
        <w:rPr>
          <w:rFonts w:ascii="Times New Roman" w:hAnsi="Times New Roman"/>
          <w:noProof/>
          <w:lang w:val="hr-HR" w:eastAsia="de-DE"/>
        </w:rPr>
      </w:pPr>
    </w:p>
    <w:p w:rsidR="00A131AD" w:rsidRPr="00155F80" w:rsidRDefault="002B489B" w:rsidP="000C0138">
      <w:pPr>
        <w:spacing w:line="276" w:lineRule="auto"/>
        <w:rPr>
          <w:rFonts w:ascii="Times New Roman" w:hAnsi="Times New Roman"/>
          <w:noProof/>
          <w:lang w:val="hr-HR" w:eastAsia="de-DE"/>
        </w:rPr>
      </w:pPr>
      <w:r>
        <w:rPr>
          <w:rFonts w:ascii="Times New Roman" w:hAnsi="Times New Roman"/>
          <w:noProof/>
          <w:lang w:val="hr-HR" w:eastAsia="de-DE"/>
        </w:rPr>
        <w:t>Podaci</w:t>
      </w:r>
      <w:r w:rsidR="00A131AD" w:rsidRPr="00155F80">
        <w:rPr>
          <w:rFonts w:ascii="Times New Roman" w:hAnsi="Times New Roman"/>
          <w:noProof/>
          <w:lang w:val="hr-HR" w:eastAsia="de-DE"/>
        </w:rPr>
        <w:t xml:space="preserve"> vezani za anemiju dobiveni su Istraživanjem o anemiji među djecom i ženama u Federaciji Bosne i Hercegovine, </w:t>
      </w:r>
      <w:r w:rsidR="00A87C61">
        <w:rPr>
          <w:rFonts w:ascii="Times New Roman" w:hAnsi="Times New Roman"/>
          <w:noProof/>
          <w:lang w:val="hr-HR" w:eastAsia="de-DE"/>
        </w:rPr>
        <w:t xml:space="preserve">koje je obuhvatilo djecu </w:t>
      </w:r>
      <w:r w:rsidR="00EA4E8B">
        <w:rPr>
          <w:rFonts w:ascii="Times New Roman" w:hAnsi="Times New Roman"/>
          <w:noProof/>
          <w:lang w:val="hr-HR" w:eastAsia="de-DE"/>
        </w:rPr>
        <w:t>dobi</w:t>
      </w:r>
      <w:r w:rsidR="00A87C61">
        <w:rPr>
          <w:rFonts w:ascii="Times New Roman" w:hAnsi="Times New Roman"/>
          <w:noProof/>
          <w:lang w:val="hr-HR" w:eastAsia="de-DE"/>
        </w:rPr>
        <w:t xml:space="preserve"> 0</w:t>
      </w:r>
      <w:r w:rsidR="00A131AD" w:rsidRPr="00155F80">
        <w:rPr>
          <w:rFonts w:ascii="Times New Roman" w:hAnsi="Times New Roman"/>
          <w:noProof/>
          <w:lang w:val="hr-HR" w:eastAsia="de-DE"/>
        </w:rPr>
        <w:t xml:space="preserve">-15 godina i žene reproduktivne dobi (15-49 god), a prisustvo anemije je utvrđivano </w:t>
      </w:r>
      <w:r>
        <w:rPr>
          <w:rFonts w:ascii="Times New Roman" w:hAnsi="Times New Roman"/>
          <w:noProof/>
          <w:lang w:val="hr-HR" w:eastAsia="de-DE"/>
        </w:rPr>
        <w:t>na osnovu</w:t>
      </w:r>
      <w:r w:rsidR="00A131AD" w:rsidRPr="00155F80">
        <w:rPr>
          <w:rFonts w:ascii="Times New Roman" w:hAnsi="Times New Roman"/>
          <w:noProof/>
          <w:lang w:val="hr-HR" w:eastAsia="de-DE"/>
        </w:rPr>
        <w:t xml:space="preserve"> </w:t>
      </w:r>
      <w:r w:rsidR="00A131AD" w:rsidRPr="00155F80">
        <w:rPr>
          <w:rFonts w:ascii="Times New Roman" w:hAnsi="Times New Roman"/>
          <w:lang w:val="bs-Latn-BA"/>
        </w:rPr>
        <w:t xml:space="preserve">određivanja statusa hemoglobina u krvi. </w:t>
      </w:r>
      <w:r w:rsidR="00A131AD" w:rsidRPr="00155F80">
        <w:rPr>
          <w:rFonts w:ascii="Times New Roman" w:hAnsi="Times New Roman"/>
          <w:noProof/>
          <w:lang w:val="hr-HR" w:eastAsia="de-DE"/>
        </w:rPr>
        <w:t xml:space="preserve"> </w:t>
      </w:r>
      <w:r w:rsidR="00A87C61">
        <w:rPr>
          <w:rFonts w:ascii="Times New Roman" w:hAnsi="Times New Roman"/>
          <w:noProof/>
          <w:lang w:val="hr-HR" w:eastAsia="de-DE"/>
        </w:rPr>
        <w:t>(10)</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Prevalenc</w:t>
      </w:r>
      <w:r w:rsidR="00EA4E8B">
        <w:rPr>
          <w:rFonts w:ascii="Times New Roman" w:hAnsi="Times New Roman"/>
          <w:noProof/>
          <w:lang w:val="hr-HR" w:eastAsia="de-DE"/>
        </w:rPr>
        <w:t>ij</w:t>
      </w:r>
      <w:r w:rsidRPr="00155F80">
        <w:rPr>
          <w:rFonts w:ascii="Times New Roman" w:hAnsi="Times New Roman"/>
          <w:noProof/>
          <w:lang w:val="hr-HR" w:eastAsia="de-DE"/>
        </w:rPr>
        <w:t>a anemije</w:t>
      </w:r>
      <w:r w:rsidR="00AA0D77" w:rsidRPr="00155F80">
        <w:rPr>
          <w:rFonts w:ascii="Times New Roman" w:hAnsi="Times New Roman"/>
          <w:noProof/>
          <w:lang w:val="hr-HR" w:eastAsia="de-DE"/>
        </w:rPr>
        <w:t xml:space="preserve"> kod  najvulnerabilnije </w:t>
      </w:r>
      <w:r w:rsidR="00D21A46">
        <w:rPr>
          <w:rFonts w:ascii="Times New Roman" w:hAnsi="Times New Roman"/>
          <w:noProof/>
          <w:lang w:val="hr-HR" w:eastAsia="de-DE"/>
        </w:rPr>
        <w:t>grupe</w:t>
      </w:r>
      <w:r w:rsidR="00AA0D77" w:rsidRPr="00155F80">
        <w:rPr>
          <w:rFonts w:ascii="Times New Roman" w:hAnsi="Times New Roman"/>
          <w:noProof/>
          <w:lang w:val="hr-HR" w:eastAsia="de-DE"/>
        </w:rPr>
        <w:t xml:space="preserve">- </w:t>
      </w:r>
      <w:r w:rsidRPr="00155F80">
        <w:rPr>
          <w:rFonts w:ascii="Times New Roman" w:hAnsi="Times New Roman"/>
          <w:noProof/>
          <w:lang w:val="hr-HR" w:eastAsia="de-DE"/>
        </w:rPr>
        <w:t xml:space="preserve">djece </w:t>
      </w:r>
      <w:r w:rsidR="00A32D67">
        <w:rPr>
          <w:rFonts w:ascii="Times New Roman" w:hAnsi="Times New Roman"/>
          <w:noProof/>
          <w:lang w:val="hr-HR" w:eastAsia="de-DE"/>
        </w:rPr>
        <w:t>dobi</w:t>
      </w:r>
      <w:r w:rsidRPr="00155F80">
        <w:rPr>
          <w:rFonts w:ascii="Times New Roman" w:hAnsi="Times New Roman"/>
          <w:noProof/>
          <w:lang w:val="hr-HR" w:eastAsia="de-DE"/>
        </w:rPr>
        <w:t xml:space="preserve"> 6-59 mjeseci iznosi 18,4%, dok kod djece dobi 11-15 godina iznosi 11,5%. Prema kriterijima SZO</w:t>
      </w:r>
      <w:r w:rsidR="00A32D67">
        <w:rPr>
          <w:rFonts w:ascii="Times New Roman" w:hAnsi="Times New Roman"/>
          <w:noProof/>
          <w:lang w:val="hr-HR" w:eastAsia="de-DE"/>
        </w:rPr>
        <w:t>-</w:t>
      </w:r>
      <w:r w:rsidRPr="00155F80">
        <w:rPr>
          <w:rFonts w:ascii="Times New Roman" w:hAnsi="Times New Roman"/>
          <w:noProof/>
          <w:lang w:val="hr-HR" w:eastAsia="de-DE"/>
        </w:rPr>
        <w:t xml:space="preserve">a ocjenu </w:t>
      </w:r>
      <w:r w:rsidR="00CB080B">
        <w:rPr>
          <w:rFonts w:ascii="Times New Roman" w:hAnsi="Times New Roman"/>
          <w:noProof/>
          <w:lang w:val="hr-HR" w:eastAsia="de-DE"/>
        </w:rPr>
        <w:t>stepena</w:t>
      </w:r>
      <w:r w:rsidRPr="00155F80">
        <w:rPr>
          <w:rFonts w:ascii="Times New Roman" w:hAnsi="Times New Roman"/>
          <w:noProof/>
          <w:lang w:val="hr-HR" w:eastAsia="de-DE"/>
        </w:rPr>
        <w:t xml:space="preserve"> anemije na populaci</w:t>
      </w:r>
      <w:r w:rsidR="00A32D67">
        <w:rPr>
          <w:rFonts w:ascii="Times New Roman" w:hAnsi="Times New Roman"/>
          <w:noProof/>
          <w:lang w:val="hr-HR" w:eastAsia="de-DE"/>
        </w:rPr>
        <w:t>jskoj</w:t>
      </w:r>
      <w:r w:rsidRPr="00155F80">
        <w:rPr>
          <w:rFonts w:ascii="Times New Roman" w:hAnsi="Times New Roman"/>
          <w:noProof/>
          <w:lang w:val="hr-HR" w:eastAsia="de-DE"/>
        </w:rPr>
        <w:t xml:space="preserve"> </w:t>
      </w:r>
      <w:r w:rsidR="002B489B">
        <w:rPr>
          <w:rFonts w:ascii="Times New Roman" w:hAnsi="Times New Roman"/>
          <w:noProof/>
          <w:lang w:val="hr-HR" w:eastAsia="de-DE"/>
        </w:rPr>
        <w:t>nivou</w:t>
      </w:r>
      <w:r w:rsidRPr="00155F80">
        <w:rPr>
          <w:rFonts w:ascii="Times New Roman" w:hAnsi="Times New Roman"/>
          <w:noProof/>
          <w:lang w:val="hr-HR" w:eastAsia="de-DE"/>
        </w:rPr>
        <w:t>, prevalenc</w:t>
      </w:r>
      <w:r w:rsidR="00A32D67">
        <w:rPr>
          <w:rFonts w:ascii="Times New Roman" w:hAnsi="Times New Roman"/>
          <w:noProof/>
          <w:lang w:val="hr-HR" w:eastAsia="de-DE"/>
        </w:rPr>
        <w:t>ij</w:t>
      </w:r>
      <w:r w:rsidRPr="00155F80">
        <w:rPr>
          <w:rFonts w:ascii="Times New Roman" w:hAnsi="Times New Roman"/>
          <w:noProof/>
          <w:lang w:val="hr-HR" w:eastAsia="de-DE"/>
        </w:rPr>
        <w:t xml:space="preserve">a od 5-19% predstavlja blagi </w:t>
      </w:r>
      <w:r w:rsidR="00CB080B">
        <w:rPr>
          <w:rFonts w:ascii="Times New Roman" w:hAnsi="Times New Roman"/>
          <w:noProof/>
          <w:lang w:val="hr-HR" w:eastAsia="de-DE"/>
        </w:rPr>
        <w:t>stepen</w:t>
      </w:r>
      <w:r w:rsidRPr="00155F80">
        <w:rPr>
          <w:rFonts w:ascii="Times New Roman" w:hAnsi="Times New Roman"/>
          <w:noProof/>
          <w:lang w:val="hr-HR" w:eastAsia="de-DE"/>
        </w:rPr>
        <w:t>, a prevalenc</w:t>
      </w:r>
      <w:r w:rsidR="00A32D67">
        <w:rPr>
          <w:rFonts w:ascii="Times New Roman" w:hAnsi="Times New Roman"/>
          <w:noProof/>
          <w:lang w:val="hr-HR" w:eastAsia="de-DE"/>
        </w:rPr>
        <w:t>ij</w:t>
      </w:r>
      <w:r w:rsidRPr="00155F80">
        <w:rPr>
          <w:rFonts w:ascii="Times New Roman" w:hAnsi="Times New Roman"/>
          <w:noProof/>
          <w:lang w:val="hr-HR" w:eastAsia="de-DE"/>
        </w:rPr>
        <w:t xml:space="preserve">a od 20,0-39,9% -  predstavlja prisustvo anemije umjerenog </w:t>
      </w:r>
      <w:r w:rsidR="00CB080B">
        <w:rPr>
          <w:rFonts w:ascii="Times New Roman" w:hAnsi="Times New Roman"/>
          <w:noProof/>
          <w:lang w:val="hr-HR" w:eastAsia="de-DE"/>
        </w:rPr>
        <w:t>stepena</w:t>
      </w:r>
      <w:r w:rsidRPr="00155F80">
        <w:rPr>
          <w:rFonts w:ascii="Times New Roman" w:hAnsi="Times New Roman"/>
          <w:noProof/>
          <w:lang w:val="hr-HR" w:eastAsia="de-DE"/>
        </w:rPr>
        <w:t xml:space="preserve">, te se može zaključiti da se kod djece na području FBiH bilježi blagi </w:t>
      </w:r>
      <w:r w:rsidR="00CB080B">
        <w:rPr>
          <w:rFonts w:ascii="Times New Roman" w:hAnsi="Times New Roman"/>
          <w:noProof/>
          <w:lang w:val="hr-HR" w:eastAsia="de-DE"/>
        </w:rPr>
        <w:t>stepen</w:t>
      </w:r>
      <w:r w:rsidRPr="00155F80">
        <w:rPr>
          <w:rFonts w:ascii="Times New Roman" w:hAnsi="Times New Roman"/>
          <w:noProof/>
          <w:lang w:val="hr-HR" w:eastAsia="de-DE"/>
        </w:rPr>
        <w:t xml:space="preserve"> anemije. </w:t>
      </w: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Među ženama od 15-49 godina anemija je prisutna u 22,1% slučajeva, odnosno prisutna je u umjerenom st</w:t>
      </w:r>
      <w:r w:rsidR="00A32D67">
        <w:rPr>
          <w:rFonts w:ascii="Times New Roman" w:hAnsi="Times New Roman"/>
          <w:noProof/>
          <w:lang w:val="hr-HR" w:eastAsia="de-DE"/>
        </w:rPr>
        <w:t>upnju</w:t>
      </w:r>
      <w:r w:rsidRPr="00155F80">
        <w:rPr>
          <w:rFonts w:ascii="Times New Roman" w:hAnsi="Times New Roman"/>
          <w:noProof/>
          <w:lang w:val="hr-HR" w:eastAsia="de-DE"/>
        </w:rPr>
        <w:t xml:space="preserve">, i to na donjoj granici referentnog </w:t>
      </w:r>
      <w:r w:rsidRPr="00F83CAD">
        <w:rPr>
          <w:rFonts w:ascii="Times New Roman" w:hAnsi="Times New Roman"/>
          <w:noProof/>
          <w:lang w:val="hr-HR" w:eastAsia="de-DE"/>
        </w:rPr>
        <w:t xml:space="preserve">raspona. </w:t>
      </w:r>
      <w:r w:rsidR="000C5C93" w:rsidRPr="00F83CAD">
        <w:rPr>
          <w:rFonts w:ascii="Times New Roman" w:hAnsi="Times New Roman"/>
          <w:noProof/>
          <w:lang w:val="hr-HR" w:eastAsia="de-DE"/>
        </w:rPr>
        <w:t>(10</w:t>
      </w:r>
      <w:r w:rsidR="00AA0D77" w:rsidRPr="00F83CAD">
        <w:rPr>
          <w:rFonts w:ascii="Times New Roman" w:hAnsi="Times New Roman"/>
          <w:noProof/>
          <w:lang w:val="hr-HR" w:eastAsia="de-DE"/>
        </w:rPr>
        <w:t>)</w:t>
      </w:r>
    </w:p>
    <w:p w:rsidR="00A131AD" w:rsidRPr="00155F80" w:rsidRDefault="00A131AD" w:rsidP="000C0138">
      <w:pPr>
        <w:spacing w:line="276" w:lineRule="auto"/>
        <w:rPr>
          <w:rFonts w:ascii="Times New Roman" w:hAnsi="Times New Roman"/>
          <w:noProof/>
          <w:lang w:val="hr-HR" w:eastAsia="de-DE"/>
        </w:rPr>
      </w:pPr>
    </w:p>
    <w:p w:rsidR="00A131AD" w:rsidRPr="00155F80" w:rsidRDefault="00A80006" w:rsidP="00B37E7E">
      <w:pPr>
        <w:pStyle w:val="refererere"/>
        <w:rPr>
          <w:noProof/>
          <w:lang w:val="hr-HR" w:eastAsia="de-DE"/>
        </w:rPr>
      </w:pPr>
      <w:r>
        <w:rPr>
          <w:noProof/>
          <w:lang w:val="hr-HR" w:eastAsia="de-DE"/>
        </w:rPr>
        <w:t>Tabela</w:t>
      </w:r>
      <w:r w:rsidR="00A131AD" w:rsidRPr="00155F80">
        <w:rPr>
          <w:noProof/>
          <w:lang w:val="hr-HR" w:eastAsia="de-DE"/>
        </w:rPr>
        <w:t xml:space="preserve"> 14: Učestalost anemije kod djece i žena na području Federacije Bosne i Hercegovine, 2012. godina.</w:t>
      </w: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5"/>
        <w:gridCol w:w="3024"/>
      </w:tblGrid>
      <w:tr w:rsidR="00A87C61" w:rsidRPr="00A87C61" w:rsidTr="00C63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E7E6E6" w:themeFill="background2"/>
          </w:tcPr>
          <w:p w:rsidR="00A131AD" w:rsidRPr="00C63C62" w:rsidRDefault="00A131AD" w:rsidP="000C0138">
            <w:pPr>
              <w:spacing w:line="276" w:lineRule="auto"/>
              <w:rPr>
                <w:rFonts w:ascii="Times New Roman" w:hAnsi="Times New Roman"/>
                <w:noProof/>
                <w:color w:val="auto"/>
                <w:lang w:val="hr-HR" w:eastAsia="de-DE"/>
              </w:rPr>
            </w:pPr>
            <w:r w:rsidRPr="00C63C62">
              <w:rPr>
                <w:rFonts w:ascii="Times New Roman" w:hAnsi="Times New Roman"/>
                <w:noProof/>
                <w:color w:val="auto"/>
                <w:lang w:val="hr-HR" w:eastAsia="de-DE"/>
              </w:rPr>
              <w:t xml:space="preserve">Anemija </w:t>
            </w:r>
          </w:p>
          <w:p w:rsidR="00A131AD" w:rsidRPr="00C63C62" w:rsidRDefault="00A131AD" w:rsidP="000C0138">
            <w:pPr>
              <w:spacing w:line="276" w:lineRule="auto"/>
              <w:rPr>
                <w:rFonts w:ascii="Times New Roman" w:hAnsi="Times New Roman"/>
                <w:noProof/>
                <w:color w:val="auto"/>
                <w:lang w:val="hr-HR" w:eastAsia="de-DE"/>
              </w:rPr>
            </w:pPr>
          </w:p>
        </w:tc>
        <w:tc>
          <w:tcPr>
            <w:tcW w:w="3118" w:type="dxa"/>
            <w:tcBorders>
              <w:top w:val="none" w:sz="0" w:space="0" w:color="auto"/>
              <w:left w:val="none" w:sz="0" w:space="0" w:color="auto"/>
              <w:bottom w:val="none" w:sz="0" w:space="0" w:color="auto"/>
              <w:right w:val="none" w:sz="0" w:space="0" w:color="auto"/>
            </w:tcBorders>
            <w:shd w:val="clear" w:color="auto" w:fill="E7E6E6" w:themeFill="background2"/>
            <w:vAlign w:val="center"/>
          </w:tcPr>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Blaga*</w:t>
            </w:r>
          </w:p>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p>
        </w:tc>
        <w:tc>
          <w:tcPr>
            <w:tcW w:w="3119" w:type="dxa"/>
            <w:tcBorders>
              <w:top w:val="none" w:sz="0" w:space="0" w:color="auto"/>
              <w:left w:val="none" w:sz="0" w:space="0" w:color="auto"/>
              <w:bottom w:val="none" w:sz="0" w:space="0" w:color="auto"/>
              <w:right w:val="none" w:sz="0" w:space="0" w:color="auto"/>
            </w:tcBorders>
            <w:shd w:val="clear" w:color="auto" w:fill="E7E6E6" w:themeFill="background2"/>
            <w:vAlign w:val="center"/>
          </w:tcPr>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Ozbiljna</w:t>
            </w:r>
          </w:p>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(Hb &lt;7g/dl)</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Djeca 6-59 mjeseci </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18,2</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0,2</w:t>
            </w:r>
          </w:p>
        </w:tc>
      </w:tr>
      <w:tr w:rsidR="00A87C61" w:rsidRPr="00A87C61" w:rsidTr="00A87C61">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Djeca 11-14 godina</w:t>
            </w:r>
          </w:p>
        </w:tc>
        <w:tc>
          <w:tcPr>
            <w:tcW w:w="3118"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11,3</w:t>
            </w:r>
          </w:p>
        </w:tc>
        <w:tc>
          <w:tcPr>
            <w:tcW w:w="3119"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0,2</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Žene 15-49 godina</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21,7</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0,4</w:t>
            </w:r>
          </w:p>
        </w:tc>
      </w:tr>
    </w:tbl>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 Blaga anemija – djeca 6-59 mj. Hb 7-10,9 g/dl¸ djeca 5-11 g. Hb 7-11,4g/dl; djeca 12-15 g. Hb 7-11,9g/dl; žene 15-49 g. Hb 7-11,9g/dl.</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 xml:space="preserve">Zbog činjenice da se radi o posebno vulnerabilnoj </w:t>
      </w:r>
      <w:r w:rsidR="00A80006">
        <w:rPr>
          <w:rFonts w:ascii="Times New Roman" w:hAnsi="Times New Roman"/>
          <w:noProof/>
          <w:lang w:val="hr-HR" w:eastAsia="de-DE"/>
        </w:rPr>
        <w:t>grupi</w:t>
      </w:r>
      <w:r w:rsidRPr="00155F80">
        <w:rPr>
          <w:rFonts w:ascii="Times New Roman" w:hAnsi="Times New Roman"/>
          <w:noProof/>
          <w:lang w:val="hr-HR" w:eastAsia="de-DE"/>
        </w:rPr>
        <w:t xml:space="preserve">, isto istraživanje je provedeno na zasebnom uzorku Romske populacije, a pokazalo se da je u svim </w:t>
      </w:r>
      <w:r w:rsidR="00526FD0">
        <w:rPr>
          <w:rFonts w:ascii="Times New Roman" w:hAnsi="Times New Roman"/>
          <w:noProof/>
          <w:lang w:val="hr-HR" w:eastAsia="de-DE"/>
        </w:rPr>
        <w:t>starosnim</w:t>
      </w:r>
      <w:r w:rsidRPr="00155F80">
        <w:rPr>
          <w:rFonts w:ascii="Times New Roman" w:hAnsi="Times New Roman"/>
          <w:noProof/>
          <w:lang w:val="hr-HR" w:eastAsia="de-DE"/>
        </w:rPr>
        <w:t xml:space="preserve">  </w:t>
      </w:r>
      <w:r w:rsidR="00D21A46">
        <w:rPr>
          <w:rFonts w:ascii="Times New Roman" w:hAnsi="Times New Roman"/>
          <w:noProof/>
          <w:lang w:val="hr-HR" w:eastAsia="de-DE"/>
        </w:rPr>
        <w:t>grupa</w:t>
      </w:r>
      <w:r w:rsidRPr="00155F80">
        <w:rPr>
          <w:rFonts w:ascii="Times New Roman" w:hAnsi="Times New Roman"/>
          <w:noProof/>
          <w:lang w:val="hr-HR" w:eastAsia="de-DE"/>
        </w:rPr>
        <w:t xml:space="preserve">ma prisutan blagi </w:t>
      </w:r>
      <w:r w:rsidR="00CB080B">
        <w:rPr>
          <w:rFonts w:ascii="Times New Roman" w:hAnsi="Times New Roman"/>
          <w:noProof/>
          <w:lang w:val="hr-HR" w:eastAsia="de-DE"/>
        </w:rPr>
        <w:t>stepen</w:t>
      </w:r>
      <w:r w:rsidRPr="00155F80">
        <w:rPr>
          <w:rFonts w:ascii="Times New Roman" w:hAnsi="Times New Roman"/>
          <w:noProof/>
          <w:lang w:val="hr-HR" w:eastAsia="de-DE"/>
        </w:rPr>
        <w:t xml:space="preserve"> anemije -  kod djece</w:t>
      </w:r>
      <w:r w:rsidR="00A32D67">
        <w:rPr>
          <w:rFonts w:ascii="Times New Roman" w:hAnsi="Times New Roman"/>
          <w:noProof/>
          <w:lang w:val="hr-HR" w:eastAsia="de-DE"/>
        </w:rPr>
        <w:t xml:space="preserve"> dobi</w:t>
      </w:r>
      <w:r w:rsidRPr="00155F80">
        <w:rPr>
          <w:rFonts w:ascii="Times New Roman" w:hAnsi="Times New Roman"/>
          <w:noProof/>
          <w:lang w:val="hr-HR" w:eastAsia="de-DE"/>
        </w:rPr>
        <w:t xml:space="preserve"> 6-59 mjeseci učestalost anemije iznosi 11,4%, kod djece </w:t>
      </w:r>
      <w:r w:rsidR="00A32D67">
        <w:rPr>
          <w:rFonts w:ascii="Times New Roman" w:hAnsi="Times New Roman"/>
          <w:noProof/>
          <w:lang w:val="hr-HR" w:eastAsia="de-DE"/>
        </w:rPr>
        <w:t>dobi</w:t>
      </w:r>
      <w:r w:rsidRPr="00155F80">
        <w:rPr>
          <w:rFonts w:ascii="Times New Roman" w:hAnsi="Times New Roman"/>
          <w:noProof/>
          <w:lang w:val="hr-HR" w:eastAsia="de-DE"/>
        </w:rPr>
        <w:t xml:space="preserve"> 5-15 godina  16,6%, a kod žena starosti 15-49 godina prisutna je 10,5% slučajeva. </w:t>
      </w:r>
    </w:p>
    <w:p w:rsidR="003361B4" w:rsidRDefault="003361B4">
      <w:pPr>
        <w:spacing w:after="160" w:line="259" w:lineRule="auto"/>
        <w:jc w:val="left"/>
        <w:rPr>
          <w:rFonts w:ascii="Times New Roman" w:hAnsi="Times New Roman"/>
          <w:noProof/>
          <w:lang w:val="hr-HR" w:eastAsia="de-DE"/>
        </w:rPr>
      </w:pPr>
      <w:r>
        <w:rPr>
          <w:rFonts w:ascii="Times New Roman" w:hAnsi="Times New Roman"/>
          <w:noProof/>
          <w:lang w:val="hr-HR" w:eastAsia="de-DE"/>
        </w:rPr>
        <w:br w:type="page"/>
      </w:r>
    </w:p>
    <w:p w:rsidR="00A131AD" w:rsidRPr="00155F80" w:rsidRDefault="00A80006" w:rsidP="00B37E7E">
      <w:pPr>
        <w:pStyle w:val="refererere"/>
        <w:rPr>
          <w:noProof/>
          <w:lang w:val="hr-HR" w:eastAsia="de-DE"/>
        </w:rPr>
      </w:pPr>
      <w:r>
        <w:rPr>
          <w:noProof/>
          <w:lang w:val="hr-HR" w:eastAsia="de-DE"/>
        </w:rPr>
        <w:t>Tabela</w:t>
      </w:r>
      <w:r w:rsidR="00A131AD" w:rsidRPr="00155F80">
        <w:rPr>
          <w:noProof/>
          <w:lang w:val="hr-HR" w:eastAsia="de-DE"/>
        </w:rPr>
        <w:t xml:space="preserve"> 15: Učestalost anemije kod djece i žena na području Federacije Bosne i Hercegovine  – Romska populacija  2012.godina.</w:t>
      </w: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6"/>
        <w:gridCol w:w="3023"/>
      </w:tblGrid>
      <w:tr w:rsidR="00A87C61" w:rsidRPr="00A87C61" w:rsidTr="00A87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Anemija </w:t>
            </w:r>
          </w:p>
          <w:p w:rsidR="00A131AD" w:rsidRPr="00A87C61" w:rsidRDefault="00A131AD" w:rsidP="000C0138">
            <w:pPr>
              <w:spacing w:line="276" w:lineRule="auto"/>
              <w:rPr>
                <w:rFonts w:ascii="Times New Roman" w:hAnsi="Times New Roman"/>
                <w:b w:val="0"/>
                <w:noProof/>
                <w:color w:val="auto"/>
                <w:lang w:val="hr-HR" w:eastAsia="de-DE"/>
              </w:rPr>
            </w:pP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Blaga*</w:t>
            </w:r>
          </w:p>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Ozbiljna</w:t>
            </w:r>
          </w:p>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(Hb &lt;7g/dl)</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Djeca 6-59 mjeseci </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11,0</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0,4</w:t>
            </w:r>
          </w:p>
        </w:tc>
      </w:tr>
      <w:tr w:rsidR="00A87C61" w:rsidRPr="00A87C61" w:rsidTr="00A87C61">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Djeca 11-14 godina</w:t>
            </w:r>
          </w:p>
        </w:tc>
        <w:tc>
          <w:tcPr>
            <w:tcW w:w="3118"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16,6</w:t>
            </w:r>
          </w:p>
        </w:tc>
        <w:tc>
          <w:tcPr>
            <w:tcW w:w="3119"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Žene 15-49 godina</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10,2</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0,3</w:t>
            </w:r>
          </w:p>
        </w:tc>
      </w:tr>
    </w:tbl>
    <w:p w:rsidR="00A131AD" w:rsidRPr="00642A63" w:rsidRDefault="00A131AD" w:rsidP="000C0138">
      <w:pPr>
        <w:spacing w:line="276" w:lineRule="auto"/>
        <w:rPr>
          <w:rFonts w:ascii="Times New Roman" w:hAnsi="Times New Roman"/>
          <w:noProof/>
          <w:sz w:val="20"/>
          <w:szCs w:val="20"/>
          <w:lang w:val="hr-HR" w:eastAsia="de-DE"/>
        </w:rPr>
      </w:pPr>
      <w:r w:rsidRPr="00642A63">
        <w:rPr>
          <w:rFonts w:ascii="Times New Roman" w:hAnsi="Times New Roman"/>
          <w:noProof/>
          <w:sz w:val="20"/>
          <w:szCs w:val="20"/>
          <w:lang w:val="hr-HR" w:eastAsia="de-DE"/>
        </w:rPr>
        <w:t>* Blaga anemija – djeca 6-59 mj. Hb 7-10,9 g/dl¸ djeca 5-11 g. Hb 7-11,4g/dl; djeca 12-15 g. Hb 7-11,9g/dl; žene 15-49 g. Hb 7-11,9g/dl.</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Ovo relativno zadovoljavajuće stanje međutim, podrazumijeva dalj</w:t>
      </w:r>
      <w:r w:rsidR="00A32D67">
        <w:rPr>
          <w:rFonts w:ascii="Times New Roman" w:hAnsi="Times New Roman"/>
          <w:noProof/>
          <w:lang w:val="hr-HR" w:eastAsia="de-DE"/>
        </w:rPr>
        <w:t>nj</w:t>
      </w:r>
      <w:r w:rsidRPr="00155F80">
        <w:rPr>
          <w:rFonts w:ascii="Times New Roman" w:hAnsi="Times New Roman"/>
          <w:noProof/>
          <w:lang w:val="hr-HR" w:eastAsia="de-DE"/>
        </w:rPr>
        <w:t xml:space="preserve">i angažman u cilju unapređenja  - promotivno preventivne mjere i aktivnosti za unapređenje </w:t>
      </w:r>
      <w:r w:rsidR="00D21A46">
        <w:rPr>
          <w:rFonts w:ascii="Times New Roman" w:hAnsi="Times New Roman"/>
          <w:noProof/>
          <w:lang w:val="hr-HR" w:eastAsia="de-DE"/>
        </w:rPr>
        <w:t>ishrane</w:t>
      </w:r>
      <w:r w:rsidRPr="00155F80">
        <w:rPr>
          <w:rFonts w:ascii="Times New Roman" w:hAnsi="Times New Roman"/>
          <w:noProof/>
          <w:lang w:val="hr-HR" w:eastAsia="de-DE"/>
        </w:rPr>
        <w:t xml:space="preserve">, i unapređenje prehrambenog okruženja, uz obvezno provođenje periodičnih namjenskih istraživanja. </w:t>
      </w:r>
    </w:p>
    <w:p w:rsidR="00A131AD" w:rsidRPr="00155F80" w:rsidRDefault="00A131AD" w:rsidP="000C0138">
      <w:pPr>
        <w:spacing w:line="276" w:lineRule="auto"/>
        <w:rPr>
          <w:rFonts w:ascii="Times New Roman" w:hAnsi="Times New Roman"/>
          <w:lang w:val="bs-Latn-BA"/>
        </w:rPr>
      </w:pPr>
    </w:p>
    <w:p w:rsidR="00301140" w:rsidRDefault="00301140" w:rsidP="0050445F">
      <w:pPr>
        <w:pStyle w:val="Poglavlje3"/>
        <w:rPr>
          <w:lang w:val="bs-Latn-BA"/>
        </w:rPr>
      </w:pPr>
      <w:bookmarkStart w:id="320" w:name="_Toc460929208"/>
      <w:r>
        <w:rPr>
          <w:lang w:val="bs-Latn-BA"/>
        </w:rPr>
        <w:t>4.1.3</w:t>
      </w:r>
      <w:r w:rsidR="000E1376" w:rsidRPr="00155F80">
        <w:rPr>
          <w:lang w:val="bs-Latn-BA"/>
        </w:rPr>
        <w:t xml:space="preserve"> </w:t>
      </w:r>
      <w:r w:rsidR="00A131AD" w:rsidRPr="00155F80">
        <w:rPr>
          <w:lang w:val="bs-Latn-BA"/>
        </w:rPr>
        <w:t xml:space="preserve">Bolesti </w:t>
      </w:r>
      <w:r w:rsidR="00D21A46">
        <w:rPr>
          <w:lang w:val="bs-Latn-BA"/>
        </w:rPr>
        <w:t>zavisnost</w:t>
      </w:r>
      <w:r w:rsidR="00A131AD" w:rsidRPr="00155F80">
        <w:rPr>
          <w:lang w:val="bs-Latn-BA"/>
        </w:rPr>
        <w:t>i</w:t>
      </w:r>
      <w:bookmarkEnd w:id="320"/>
    </w:p>
    <w:p w:rsidR="00642A63" w:rsidRDefault="00642A63" w:rsidP="000C0138">
      <w:pPr>
        <w:pStyle w:val="Poglavlje2"/>
        <w:spacing w:line="276" w:lineRule="auto"/>
        <w:rPr>
          <w:lang w:val="bs-Latn-BA"/>
        </w:rPr>
      </w:pPr>
    </w:p>
    <w:p w:rsidR="00301140" w:rsidRPr="00EA6011" w:rsidRDefault="00301140" w:rsidP="00EA6011">
      <w:pPr>
        <w:spacing w:after="240"/>
        <w:rPr>
          <w:rFonts w:ascii="Times New Roman" w:hAnsi="Times New Roman"/>
          <w:b/>
          <w:lang w:val="bs-Latn-BA"/>
        </w:rPr>
      </w:pPr>
      <w:bookmarkStart w:id="321" w:name="_Toc453917754"/>
      <w:bookmarkStart w:id="322" w:name="_Toc454797855"/>
      <w:bookmarkStart w:id="323" w:name="_Toc454799752"/>
      <w:r w:rsidRPr="00EA6011">
        <w:rPr>
          <w:rFonts w:ascii="Times New Roman" w:hAnsi="Times New Roman"/>
          <w:b/>
          <w:lang w:val="bs-Latn-BA"/>
        </w:rPr>
        <w:t>Konzumacija duhana</w:t>
      </w:r>
      <w:bookmarkEnd w:id="321"/>
      <w:bookmarkEnd w:id="322"/>
      <w:bookmarkEnd w:id="323"/>
    </w:p>
    <w:p w:rsidR="00642A63" w:rsidRPr="00155F80" w:rsidRDefault="00A131AD" w:rsidP="00642A63">
      <w:pPr>
        <w:spacing w:after="240" w:line="276" w:lineRule="auto"/>
        <w:rPr>
          <w:rFonts w:ascii="Times New Roman" w:hAnsi="Times New Roman"/>
        </w:rPr>
      </w:pPr>
      <w:r w:rsidRPr="00155F80">
        <w:rPr>
          <w:rFonts w:ascii="Times New Roman" w:hAnsi="Times New Roman"/>
          <w:lang w:val="sv-SE"/>
        </w:rPr>
        <w:t>Brojne</w:t>
      </w:r>
      <w:r w:rsidRPr="00155F80">
        <w:rPr>
          <w:rFonts w:ascii="Times New Roman" w:hAnsi="Times New Roman"/>
        </w:rPr>
        <w:t xml:space="preserve"> </w:t>
      </w:r>
      <w:r w:rsidRPr="00155F80">
        <w:rPr>
          <w:rFonts w:ascii="Times New Roman" w:hAnsi="Times New Roman"/>
          <w:lang w:val="sv-SE"/>
        </w:rPr>
        <w:t>studije</w:t>
      </w:r>
      <w:r w:rsidRPr="00155F80">
        <w:rPr>
          <w:rFonts w:ascii="Times New Roman" w:hAnsi="Times New Roman"/>
        </w:rPr>
        <w:t xml:space="preserve"> </w:t>
      </w:r>
      <w:r w:rsidRPr="00155F80">
        <w:rPr>
          <w:rFonts w:ascii="Times New Roman" w:hAnsi="Times New Roman"/>
          <w:lang w:val="sv-SE"/>
        </w:rPr>
        <w:t>posljednjih</w:t>
      </w:r>
      <w:r w:rsidRPr="00155F80">
        <w:rPr>
          <w:rFonts w:ascii="Times New Roman" w:hAnsi="Times New Roman"/>
        </w:rPr>
        <w:t xml:space="preserve"> </w:t>
      </w:r>
      <w:r w:rsidRPr="00155F80">
        <w:rPr>
          <w:rFonts w:ascii="Times New Roman" w:hAnsi="Times New Roman"/>
          <w:lang w:val="sv-SE"/>
        </w:rPr>
        <w:t>desetlje</w:t>
      </w:r>
      <w:r w:rsidRPr="00155F80">
        <w:rPr>
          <w:rFonts w:ascii="Times New Roman" w:hAnsi="Times New Roman"/>
        </w:rPr>
        <w:t>ć</w:t>
      </w:r>
      <w:r w:rsidRPr="00155F80">
        <w:rPr>
          <w:rFonts w:ascii="Times New Roman" w:hAnsi="Times New Roman"/>
          <w:lang w:val="sv-SE"/>
        </w:rPr>
        <w:t>a</w:t>
      </w:r>
      <w:r w:rsidRPr="00155F80">
        <w:rPr>
          <w:rFonts w:ascii="Times New Roman" w:hAnsi="Times New Roman"/>
        </w:rPr>
        <w:t xml:space="preserve"> </w:t>
      </w:r>
      <w:r w:rsidRPr="00155F80">
        <w:rPr>
          <w:rFonts w:ascii="Times New Roman" w:hAnsi="Times New Roman"/>
          <w:lang w:val="sv-SE"/>
        </w:rPr>
        <w:t>potvrdile</w:t>
      </w:r>
      <w:r w:rsidRPr="00155F80">
        <w:rPr>
          <w:rFonts w:ascii="Times New Roman" w:hAnsi="Times New Roman"/>
        </w:rPr>
        <w:t xml:space="preserve"> </w:t>
      </w:r>
      <w:r w:rsidRPr="00155F80">
        <w:rPr>
          <w:rFonts w:ascii="Times New Roman" w:hAnsi="Times New Roman"/>
          <w:lang w:val="sv-SE"/>
        </w:rPr>
        <w:t>su</w:t>
      </w:r>
      <w:r w:rsidRPr="00155F80">
        <w:rPr>
          <w:rFonts w:ascii="Times New Roman" w:hAnsi="Times New Roman"/>
        </w:rPr>
        <w:t xml:space="preserve"> </w:t>
      </w:r>
      <w:r w:rsidRPr="00155F80">
        <w:rPr>
          <w:rFonts w:ascii="Times New Roman" w:hAnsi="Times New Roman"/>
          <w:lang w:val="sv-SE"/>
        </w:rPr>
        <w:t>da</w:t>
      </w:r>
      <w:r w:rsidRPr="00155F80">
        <w:rPr>
          <w:rFonts w:ascii="Times New Roman" w:hAnsi="Times New Roman"/>
        </w:rPr>
        <w:t xml:space="preserve"> </w:t>
      </w:r>
      <w:r w:rsidRPr="00155F80">
        <w:rPr>
          <w:rFonts w:ascii="Times New Roman" w:hAnsi="Times New Roman"/>
          <w:lang w:val="sv-SE"/>
        </w:rPr>
        <w:t>konzumiranje</w:t>
      </w:r>
      <w:r w:rsidRPr="00155F80">
        <w:rPr>
          <w:rFonts w:ascii="Times New Roman" w:hAnsi="Times New Roman"/>
        </w:rPr>
        <w:t xml:space="preserve"> </w:t>
      </w:r>
      <w:r w:rsidRPr="00155F80">
        <w:rPr>
          <w:rFonts w:ascii="Times New Roman" w:hAnsi="Times New Roman"/>
          <w:lang w:val="sv-SE"/>
        </w:rPr>
        <w:t>duhana</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duhanskih</w:t>
      </w:r>
      <w:r w:rsidRPr="00155F80">
        <w:rPr>
          <w:rFonts w:ascii="Times New Roman" w:hAnsi="Times New Roman"/>
        </w:rPr>
        <w:t xml:space="preserve"> </w:t>
      </w:r>
      <w:r w:rsidRPr="00155F80">
        <w:rPr>
          <w:rFonts w:ascii="Times New Roman" w:hAnsi="Times New Roman"/>
          <w:lang w:val="sv-SE"/>
        </w:rPr>
        <w:t>proizvoda</w:t>
      </w:r>
      <w:r w:rsidRPr="00155F80">
        <w:rPr>
          <w:rFonts w:ascii="Times New Roman" w:hAnsi="Times New Roman"/>
        </w:rPr>
        <w:t xml:space="preserve">, </w:t>
      </w:r>
      <w:r w:rsidRPr="00155F80">
        <w:rPr>
          <w:rFonts w:ascii="Times New Roman" w:hAnsi="Times New Roman"/>
          <w:lang w:val="sv-SE"/>
        </w:rPr>
        <w:t>kao</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izlaganje</w:t>
      </w:r>
      <w:r w:rsidRPr="00155F80">
        <w:rPr>
          <w:rFonts w:ascii="Times New Roman" w:hAnsi="Times New Roman"/>
        </w:rPr>
        <w:t xml:space="preserve"> </w:t>
      </w:r>
      <w:r w:rsidRPr="00155F80">
        <w:rPr>
          <w:rFonts w:ascii="Times New Roman" w:hAnsi="Times New Roman"/>
          <w:lang w:val="sv-SE"/>
        </w:rPr>
        <w:t>duhanskom</w:t>
      </w:r>
      <w:r w:rsidRPr="00155F80">
        <w:rPr>
          <w:rFonts w:ascii="Times New Roman" w:hAnsi="Times New Roman"/>
        </w:rPr>
        <w:t xml:space="preserve"> </w:t>
      </w:r>
      <w:r w:rsidRPr="00155F80">
        <w:rPr>
          <w:rFonts w:ascii="Times New Roman" w:hAnsi="Times New Roman"/>
          <w:lang w:val="sv-SE"/>
        </w:rPr>
        <w:t>dimu</w:t>
      </w:r>
      <w:r w:rsidRPr="00155F80">
        <w:rPr>
          <w:rFonts w:ascii="Times New Roman" w:hAnsi="Times New Roman"/>
        </w:rPr>
        <w:t xml:space="preserve"> </w:t>
      </w:r>
      <w:r w:rsidRPr="00155F80">
        <w:rPr>
          <w:rFonts w:ascii="Times New Roman" w:hAnsi="Times New Roman"/>
          <w:lang w:val="sv-SE"/>
        </w:rPr>
        <w:t>ili</w:t>
      </w:r>
      <w:r w:rsidRPr="00155F80">
        <w:rPr>
          <w:rFonts w:ascii="Times New Roman" w:hAnsi="Times New Roman"/>
        </w:rPr>
        <w:t xml:space="preserve">, </w:t>
      </w:r>
      <w:r w:rsidRPr="00155F80">
        <w:rPr>
          <w:rFonts w:ascii="Times New Roman" w:hAnsi="Times New Roman"/>
          <w:lang w:val="sv-SE"/>
        </w:rPr>
        <w:t>tzv</w:t>
      </w:r>
      <w:r w:rsidRPr="00155F80">
        <w:rPr>
          <w:rFonts w:ascii="Times New Roman" w:hAnsi="Times New Roman"/>
        </w:rPr>
        <w:t xml:space="preserve">. </w:t>
      </w:r>
      <w:r w:rsidRPr="00155F80">
        <w:rPr>
          <w:rFonts w:ascii="Times New Roman" w:hAnsi="Times New Roman"/>
          <w:lang w:val="sv-SE"/>
        </w:rPr>
        <w:t>pasivno</w:t>
      </w:r>
      <w:r w:rsidRPr="00155F80">
        <w:rPr>
          <w:rFonts w:ascii="Times New Roman" w:hAnsi="Times New Roman"/>
        </w:rPr>
        <w:t xml:space="preserve"> </w:t>
      </w:r>
      <w:r w:rsidRPr="00155F80">
        <w:rPr>
          <w:rFonts w:ascii="Times New Roman" w:hAnsi="Times New Roman"/>
          <w:lang w:val="sv-SE"/>
        </w:rPr>
        <w:t>pu</w:t>
      </w:r>
      <w:r w:rsidRPr="00155F80">
        <w:rPr>
          <w:rFonts w:ascii="Times New Roman" w:hAnsi="Times New Roman"/>
        </w:rPr>
        <w:t>š</w:t>
      </w:r>
      <w:r w:rsidRPr="00155F80">
        <w:rPr>
          <w:rFonts w:ascii="Times New Roman" w:hAnsi="Times New Roman"/>
          <w:lang w:val="sv-SE"/>
        </w:rPr>
        <w:t>enje</w:t>
      </w:r>
      <w:r w:rsidRPr="00155F80">
        <w:rPr>
          <w:rFonts w:ascii="Times New Roman" w:hAnsi="Times New Roman"/>
        </w:rPr>
        <w:t xml:space="preserve"> </w:t>
      </w:r>
      <w:r w:rsidRPr="00155F80">
        <w:rPr>
          <w:rFonts w:ascii="Times New Roman" w:hAnsi="Times New Roman"/>
          <w:lang w:val="sv-SE"/>
        </w:rPr>
        <w:t>znatno</w:t>
      </w:r>
      <w:r w:rsidRPr="00155F80">
        <w:rPr>
          <w:rFonts w:ascii="Times New Roman" w:hAnsi="Times New Roman"/>
        </w:rPr>
        <w:t xml:space="preserve"> </w:t>
      </w:r>
      <w:r w:rsidRPr="00155F80">
        <w:rPr>
          <w:rFonts w:ascii="Times New Roman" w:hAnsi="Times New Roman"/>
          <w:lang w:val="sv-SE"/>
        </w:rPr>
        <w:t>doprinose</w:t>
      </w:r>
      <w:r w:rsidRPr="00155F80">
        <w:rPr>
          <w:rFonts w:ascii="Times New Roman" w:hAnsi="Times New Roman"/>
        </w:rPr>
        <w:t xml:space="preserve"> </w:t>
      </w:r>
      <w:r w:rsidRPr="00155F80">
        <w:rPr>
          <w:rFonts w:ascii="Times New Roman" w:hAnsi="Times New Roman"/>
          <w:lang w:val="sv-SE"/>
        </w:rPr>
        <w:t>obol</w:t>
      </w:r>
      <w:r w:rsidR="00A32D67">
        <w:rPr>
          <w:rFonts w:ascii="Times New Roman" w:hAnsi="Times New Roman"/>
          <w:lang w:val="sv-SE"/>
        </w:rPr>
        <w:t>i</w:t>
      </w:r>
      <w:r w:rsidRPr="00155F80">
        <w:rPr>
          <w:rFonts w:ascii="Times New Roman" w:hAnsi="Times New Roman"/>
          <w:lang w:val="sv-SE"/>
        </w:rPr>
        <w:t>jevanju</w:t>
      </w:r>
      <w:r w:rsidRPr="00155F80">
        <w:rPr>
          <w:rFonts w:ascii="Times New Roman" w:hAnsi="Times New Roman"/>
        </w:rPr>
        <w:t xml:space="preserve">, </w:t>
      </w:r>
      <w:r w:rsidRPr="00155F80">
        <w:rPr>
          <w:rFonts w:ascii="Times New Roman" w:hAnsi="Times New Roman"/>
          <w:lang w:val="sv-SE"/>
        </w:rPr>
        <w:t>invalidnosti</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prijevremenom</w:t>
      </w:r>
      <w:r w:rsidRPr="00155F80">
        <w:rPr>
          <w:rFonts w:ascii="Times New Roman" w:hAnsi="Times New Roman"/>
        </w:rPr>
        <w:t xml:space="preserve"> </w:t>
      </w:r>
      <w:r w:rsidRPr="00155F80">
        <w:rPr>
          <w:rFonts w:ascii="Times New Roman" w:hAnsi="Times New Roman"/>
          <w:lang w:val="sv-SE"/>
        </w:rPr>
        <w:t>umiranju</w:t>
      </w:r>
      <w:r w:rsidRPr="00155F80">
        <w:rPr>
          <w:rFonts w:ascii="Times New Roman" w:hAnsi="Times New Roman"/>
        </w:rPr>
        <w:t xml:space="preserve"> </w:t>
      </w:r>
      <w:r w:rsidRPr="00155F80">
        <w:rPr>
          <w:rFonts w:ascii="Times New Roman" w:hAnsi="Times New Roman"/>
          <w:lang w:val="sv-SE"/>
        </w:rPr>
        <w:t>u</w:t>
      </w:r>
      <w:r w:rsidRPr="00155F80">
        <w:rPr>
          <w:rFonts w:ascii="Times New Roman" w:hAnsi="Times New Roman"/>
        </w:rPr>
        <w:t xml:space="preserve"> </w:t>
      </w:r>
      <w:r w:rsidRPr="00155F80">
        <w:rPr>
          <w:rFonts w:ascii="Times New Roman" w:hAnsi="Times New Roman"/>
          <w:lang w:val="sv-SE"/>
        </w:rPr>
        <w:t>svim</w:t>
      </w:r>
      <w:r w:rsidRPr="00155F80">
        <w:rPr>
          <w:rFonts w:ascii="Times New Roman" w:hAnsi="Times New Roman"/>
        </w:rPr>
        <w:t xml:space="preserve"> </w:t>
      </w:r>
      <w:r w:rsidRPr="00155F80">
        <w:rPr>
          <w:rFonts w:ascii="Times New Roman" w:hAnsi="Times New Roman"/>
          <w:lang w:val="sv-SE"/>
        </w:rPr>
        <w:t>starosnim</w:t>
      </w:r>
      <w:r w:rsidRPr="00155F80">
        <w:rPr>
          <w:rFonts w:ascii="Times New Roman" w:hAnsi="Times New Roman"/>
        </w:rPr>
        <w:t xml:space="preserve"> </w:t>
      </w:r>
      <w:r w:rsidR="00D21A46">
        <w:rPr>
          <w:rFonts w:ascii="Times New Roman" w:hAnsi="Times New Roman"/>
          <w:lang w:val="sv-SE"/>
        </w:rPr>
        <w:t>grupa</w:t>
      </w:r>
      <w:r w:rsidRPr="00155F80">
        <w:rPr>
          <w:rFonts w:ascii="Times New Roman" w:hAnsi="Times New Roman"/>
          <w:lang w:val="sv-SE"/>
        </w:rPr>
        <w:t>ma</w:t>
      </w:r>
      <w:r w:rsidRPr="00155F80">
        <w:rPr>
          <w:rFonts w:ascii="Times New Roman" w:hAnsi="Times New Roman"/>
        </w:rPr>
        <w:t xml:space="preserve">, </w:t>
      </w:r>
      <w:r w:rsidRPr="00155F80">
        <w:rPr>
          <w:rFonts w:ascii="Times New Roman" w:hAnsi="Times New Roman"/>
          <w:lang w:val="sv-SE"/>
        </w:rPr>
        <w:t>zbog</w:t>
      </w:r>
      <w:r w:rsidRPr="00155F80">
        <w:rPr>
          <w:rFonts w:ascii="Times New Roman" w:hAnsi="Times New Roman"/>
        </w:rPr>
        <w:t xml:space="preserve"> č</w:t>
      </w:r>
      <w:r w:rsidRPr="00155F80">
        <w:rPr>
          <w:rFonts w:ascii="Times New Roman" w:hAnsi="Times New Roman"/>
          <w:lang w:val="sv-SE"/>
        </w:rPr>
        <w:t>ega</w:t>
      </w:r>
      <w:r w:rsidRPr="00155F80">
        <w:rPr>
          <w:rFonts w:ascii="Times New Roman" w:hAnsi="Times New Roman"/>
        </w:rPr>
        <w:t xml:space="preserve"> </w:t>
      </w:r>
      <w:r w:rsidRPr="00155F80">
        <w:rPr>
          <w:rFonts w:ascii="Times New Roman" w:hAnsi="Times New Roman"/>
          <w:lang w:val="sv-SE"/>
        </w:rPr>
        <w:t>je</w:t>
      </w:r>
      <w:r w:rsidRPr="00155F80">
        <w:rPr>
          <w:rFonts w:ascii="Times New Roman" w:hAnsi="Times New Roman"/>
        </w:rPr>
        <w:t xml:space="preserve"> </w:t>
      </w:r>
      <w:r w:rsidRPr="00155F80">
        <w:rPr>
          <w:rFonts w:ascii="Times New Roman" w:hAnsi="Times New Roman"/>
          <w:lang w:val="sv-SE"/>
        </w:rPr>
        <w:t>prema</w:t>
      </w:r>
      <w:r w:rsidRPr="00155F80">
        <w:rPr>
          <w:rFonts w:ascii="Times New Roman" w:hAnsi="Times New Roman"/>
        </w:rPr>
        <w:t xml:space="preserve"> </w:t>
      </w:r>
      <w:r w:rsidRPr="00155F80">
        <w:rPr>
          <w:rFonts w:ascii="Times New Roman" w:hAnsi="Times New Roman"/>
          <w:lang w:val="sv-SE"/>
        </w:rPr>
        <w:t>MKB</w:t>
      </w:r>
      <w:r w:rsidRPr="00155F80">
        <w:rPr>
          <w:rFonts w:ascii="Times New Roman" w:hAnsi="Times New Roman"/>
        </w:rPr>
        <w:t xml:space="preserve"> </w:t>
      </w:r>
      <w:r w:rsidRPr="00155F80">
        <w:rPr>
          <w:rFonts w:ascii="Times New Roman" w:hAnsi="Times New Roman"/>
          <w:lang w:val="sv-SE"/>
        </w:rPr>
        <w:t>pu</w:t>
      </w:r>
      <w:r w:rsidRPr="00155F80">
        <w:rPr>
          <w:rFonts w:ascii="Times New Roman" w:hAnsi="Times New Roman"/>
        </w:rPr>
        <w:t>š</w:t>
      </w:r>
      <w:r w:rsidRPr="00155F80">
        <w:rPr>
          <w:rFonts w:ascii="Times New Roman" w:hAnsi="Times New Roman"/>
          <w:lang w:val="sv-SE"/>
        </w:rPr>
        <w:t>enje</w:t>
      </w:r>
      <w:r w:rsidRPr="00155F80">
        <w:rPr>
          <w:rFonts w:ascii="Times New Roman" w:hAnsi="Times New Roman"/>
        </w:rPr>
        <w:t xml:space="preserve"> </w:t>
      </w:r>
      <w:r w:rsidRPr="00155F80">
        <w:rPr>
          <w:rFonts w:ascii="Times New Roman" w:hAnsi="Times New Roman"/>
          <w:lang w:val="sv-SE"/>
        </w:rPr>
        <w:t>svrstano</w:t>
      </w:r>
      <w:r w:rsidRPr="00155F80">
        <w:rPr>
          <w:rFonts w:ascii="Times New Roman" w:hAnsi="Times New Roman"/>
        </w:rPr>
        <w:t xml:space="preserve"> </w:t>
      </w:r>
      <w:r w:rsidRPr="00155F80">
        <w:rPr>
          <w:rFonts w:ascii="Times New Roman" w:hAnsi="Times New Roman"/>
          <w:lang w:val="sv-SE"/>
        </w:rPr>
        <w:t>u</w:t>
      </w:r>
      <w:r w:rsidRPr="00155F80">
        <w:rPr>
          <w:rFonts w:ascii="Times New Roman" w:hAnsi="Times New Roman"/>
        </w:rPr>
        <w:t xml:space="preserve"> </w:t>
      </w:r>
      <w:r w:rsidRPr="00155F80">
        <w:rPr>
          <w:rFonts w:ascii="Times New Roman" w:hAnsi="Times New Roman"/>
          <w:lang w:val="sv-SE"/>
        </w:rPr>
        <w:t>bolesti</w:t>
      </w:r>
      <w:r w:rsidRPr="00155F80">
        <w:rPr>
          <w:rFonts w:ascii="Times New Roman" w:hAnsi="Times New Roman"/>
        </w:rPr>
        <w:t xml:space="preserve"> </w:t>
      </w:r>
      <w:r w:rsidRPr="00155F80">
        <w:rPr>
          <w:rFonts w:ascii="Times New Roman" w:hAnsi="Times New Roman"/>
          <w:lang w:val="sv-SE"/>
        </w:rPr>
        <w:t>pod</w:t>
      </w:r>
      <w:r w:rsidRPr="00155F80">
        <w:rPr>
          <w:rFonts w:ascii="Times New Roman" w:hAnsi="Times New Roman"/>
        </w:rPr>
        <w:t xml:space="preserve"> š</w:t>
      </w:r>
      <w:r w:rsidRPr="00155F80">
        <w:rPr>
          <w:rFonts w:ascii="Times New Roman" w:hAnsi="Times New Roman"/>
          <w:lang w:val="sv-SE"/>
        </w:rPr>
        <w:t>ifrom</w:t>
      </w:r>
      <w:r w:rsidRPr="00155F80">
        <w:rPr>
          <w:rFonts w:ascii="Times New Roman" w:hAnsi="Times New Roman"/>
        </w:rPr>
        <w:t xml:space="preserve"> </w:t>
      </w:r>
      <w:r w:rsidRPr="00155F80">
        <w:rPr>
          <w:rFonts w:ascii="Times New Roman" w:hAnsi="Times New Roman"/>
          <w:lang w:val="sv-SE"/>
        </w:rPr>
        <w:t>F</w:t>
      </w:r>
      <w:r w:rsidRPr="00155F80">
        <w:rPr>
          <w:rFonts w:ascii="Times New Roman" w:hAnsi="Times New Roman"/>
        </w:rPr>
        <w:t xml:space="preserve">17.2  </w:t>
      </w:r>
      <w:r w:rsidRPr="00155F80">
        <w:rPr>
          <w:rFonts w:ascii="Times New Roman" w:hAnsi="Times New Roman"/>
          <w:lang w:val="sv-SE"/>
        </w:rPr>
        <w:t>kao</w:t>
      </w:r>
      <w:r w:rsidRPr="00155F80">
        <w:rPr>
          <w:rFonts w:ascii="Times New Roman" w:hAnsi="Times New Roman"/>
        </w:rPr>
        <w:t xml:space="preserve"> "</w:t>
      </w:r>
      <w:r w:rsidRPr="00155F80">
        <w:rPr>
          <w:rFonts w:ascii="Times New Roman" w:hAnsi="Times New Roman"/>
          <w:lang w:val="sv-SE"/>
        </w:rPr>
        <w:t>sindrom</w:t>
      </w:r>
      <w:r w:rsidRPr="00155F80">
        <w:rPr>
          <w:rFonts w:ascii="Times New Roman" w:hAnsi="Times New Roman"/>
        </w:rPr>
        <w:t xml:space="preserve"> </w:t>
      </w:r>
      <w:r w:rsidR="00D21A46">
        <w:rPr>
          <w:rFonts w:ascii="Times New Roman" w:hAnsi="Times New Roman"/>
          <w:lang w:val="sv-SE"/>
        </w:rPr>
        <w:t>zavisnost</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o</w:t>
      </w:r>
      <w:r w:rsidRPr="00155F80">
        <w:rPr>
          <w:rFonts w:ascii="Times New Roman" w:hAnsi="Times New Roman"/>
        </w:rPr>
        <w:t xml:space="preserve"> </w:t>
      </w:r>
      <w:r w:rsidRPr="00155F80">
        <w:rPr>
          <w:rFonts w:ascii="Times New Roman" w:hAnsi="Times New Roman"/>
          <w:lang w:val="sv-SE"/>
        </w:rPr>
        <w:t>duhanu</w:t>
      </w:r>
      <w:r w:rsidRPr="00155F80">
        <w:rPr>
          <w:rFonts w:ascii="Times New Roman" w:hAnsi="Times New Roman"/>
        </w:rPr>
        <w:t xml:space="preserve">". </w:t>
      </w:r>
      <w:r w:rsidR="00A32D67">
        <w:rPr>
          <w:rFonts w:ascii="Times New Roman" w:hAnsi="Times New Roman"/>
          <w:lang w:val="sv-SE"/>
        </w:rPr>
        <w:t>Znanstveno</w:t>
      </w:r>
      <w:r w:rsidRPr="00155F80">
        <w:rPr>
          <w:rFonts w:ascii="Times New Roman" w:hAnsi="Times New Roman"/>
        </w:rPr>
        <w:t xml:space="preserve"> </w:t>
      </w:r>
      <w:r w:rsidRPr="00155F80">
        <w:rPr>
          <w:rFonts w:ascii="Times New Roman" w:hAnsi="Times New Roman"/>
          <w:lang w:val="sv-SE"/>
        </w:rPr>
        <w:t>su</w:t>
      </w:r>
      <w:r w:rsidRPr="00155F80">
        <w:rPr>
          <w:rFonts w:ascii="Times New Roman" w:hAnsi="Times New Roman"/>
        </w:rPr>
        <w:t xml:space="preserve"> </w:t>
      </w:r>
      <w:r w:rsidRPr="00155F80">
        <w:rPr>
          <w:rFonts w:ascii="Times New Roman" w:hAnsi="Times New Roman"/>
          <w:lang w:val="sv-SE"/>
        </w:rPr>
        <w:t>dokazane</w:t>
      </w:r>
      <w:r w:rsidRPr="00155F80">
        <w:rPr>
          <w:rFonts w:ascii="Times New Roman" w:hAnsi="Times New Roman"/>
        </w:rPr>
        <w:t xml:space="preserve"> </w:t>
      </w:r>
      <w:r w:rsidRPr="00155F80">
        <w:rPr>
          <w:rFonts w:ascii="Times New Roman" w:hAnsi="Times New Roman"/>
          <w:lang w:val="sl-SI"/>
        </w:rPr>
        <w:t xml:space="preserve">brojne posljedice </w:t>
      </w:r>
      <w:r w:rsidR="00526FD0">
        <w:rPr>
          <w:rFonts w:ascii="Times New Roman" w:hAnsi="Times New Roman"/>
          <w:lang w:val="sl-SI"/>
        </w:rPr>
        <w:t>upotrebe</w:t>
      </w:r>
      <w:r w:rsidRPr="00155F80">
        <w:rPr>
          <w:rFonts w:ascii="Times New Roman" w:hAnsi="Times New Roman"/>
          <w:lang w:val="sl-SI"/>
        </w:rPr>
        <w:t xml:space="preserve"> duhanskih proizvoda koje se sagledavaju kroz </w:t>
      </w:r>
      <w:r w:rsidR="00A32D67">
        <w:rPr>
          <w:rFonts w:ascii="Times New Roman" w:hAnsi="Times New Roman"/>
          <w:lang w:val="sl-SI"/>
        </w:rPr>
        <w:t>učinke</w:t>
      </w:r>
      <w:r w:rsidRPr="00155F80">
        <w:rPr>
          <w:rFonts w:ascii="Times New Roman" w:hAnsi="Times New Roman"/>
          <w:lang w:val="sl-SI"/>
        </w:rPr>
        <w:t xml:space="preserve"> na zdravlje pojedinca, stanovništva i zajednice u cijelini. </w:t>
      </w:r>
    </w:p>
    <w:p w:rsidR="00A131AD" w:rsidRPr="00155F80" w:rsidRDefault="00A131AD" w:rsidP="000C0138">
      <w:pPr>
        <w:pStyle w:val="Heading4"/>
        <w:spacing w:line="276" w:lineRule="auto"/>
        <w:rPr>
          <w:rFonts w:ascii="Times New Roman" w:hAnsi="Times New Roman" w:cs="Times New Roman"/>
          <w:b/>
          <w:i w:val="0"/>
          <w:color w:val="auto"/>
          <w:lang w:val="bs-Latn-BA"/>
        </w:rPr>
      </w:pPr>
      <w:r w:rsidRPr="00155F80">
        <w:rPr>
          <w:rFonts w:ascii="Times New Roman" w:hAnsi="Times New Roman" w:cs="Times New Roman"/>
          <w:b/>
          <w:i w:val="0"/>
          <w:color w:val="auto"/>
          <w:lang w:val="bs-Latn-BA"/>
        </w:rPr>
        <w:t>Prevalenc</w:t>
      </w:r>
      <w:r w:rsidR="00A32D67">
        <w:rPr>
          <w:rFonts w:ascii="Times New Roman" w:hAnsi="Times New Roman" w:cs="Times New Roman"/>
          <w:b/>
          <w:i w:val="0"/>
          <w:color w:val="auto"/>
          <w:lang w:val="bs-Latn-BA"/>
        </w:rPr>
        <w:t>ij</w:t>
      </w:r>
      <w:r w:rsidRPr="00155F80">
        <w:rPr>
          <w:rFonts w:ascii="Times New Roman" w:hAnsi="Times New Roman" w:cs="Times New Roman"/>
          <w:b/>
          <w:i w:val="0"/>
          <w:color w:val="auto"/>
          <w:lang w:val="bs-Latn-BA"/>
        </w:rPr>
        <w:t xml:space="preserve">a pušenja u Federaciji BiH </w:t>
      </w:r>
    </w:p>
    <w:p w:rsidR="00A131AD" w:rsidRPr="00155F80" w:rsidRDefault="00A131AD" w:rsidP="000C0138">
      <w:pPr>
        <w:pStyle w:val="Heading4"/>
        <w:spacing w:line="276" w:lineRule="auto"/>
        <w:rPr>
          <w:rFonts w:ascii="Times New Roman" w:hAnsi="Times New Roman" w:cs="Times New Roman"/>
          <w:i w:val="0"/>
          <w:color w:val="auto"/>
          <w:lang w:val="bs-Latn-BA"/>
        </w:rPr>
      </w:pPr>
      <w:r w:rsidRPr="00155F80">
        <w:rPr>
          <w:rFonts w:ascii="Times New Roman" w:hAnsi="Times New Roman" w:cs="Times New Roman"/>
          <w:i w:val="0"/>
          <w:color w:val="auto"/>
          <w:lang w:val="bs-Latn-BA"/>
        </w:rPr>
        <w:t xml:space="preserve">U procjeni raširenosti pušenja kao bolesti </w:t>
      </w:r>
      <w:r w:rsidR="00D21A46">
        <w:rPr>
          <w:rFonts w:ascii="Times New Roman" w:hAnsi="Times New Roman" w:cs="Times New Roman"/>
          <w:i w:val="0"/>
          <w:color w:val="auto"/>
          <w:lang w:val="bs-Latn-BA"/>
        </w:rPr>
        <w:t>zavisnost</w:t>
      </w:r>
      <w:r w:rsidRPr="00155F80">
        <w:rPr>
          <w:rFonts w:ascii="Times New Roman" w:hAnsi="Times New Roman" w:cs="Times New Roman"/>
          <w:i w:val="0"/>
          <w:color w:val="auto"/>
          <w:lang w:val="bs-Latn-BA"/>
        </w:rPr>
        <w:t xml:space="preserve">i, koriste se </w:t>
      </w:r>
      <w:r w:rsidR="00587CDA">
        <w:rPr>
          <w:rFonts w:ascii="Times New Roman" w:hAnsi="Times New Roman" w:cs="Times New Roman"/>
          <w:i w:val="0"/>
          <w:color w:val="auto"/>
          <w:lang w:val="bs-Latn-BA"/>
        </w:rPr>
        <w:t>pokazatelji</w:t>
      </w:r>
      <w:r w:rsidRPr="00155F80">
        <w:rPr>
          <w:rFonts w:ascii="Times New Roman" w:hAnsi="Times New Roman" w:cs="Times New Roman"/>
          <w:i w:val="0"/>
          <w:color w:val="auto"/>
          <w:lang w:val="bs-Latn-BA"/>
        </w:rPr>
        <w:t xml:space="preserve"> populacijskih istraživanja urađenih u Federaciji BiH za </w:t>
      </w:r>
      <w:r w:rsidR="00F70FD4">
        <w:rPr>
          <w:rFonts w:ascii="Times New Roman" w:hAnsi="Times New Roman" w:cs="Times New Roman"/>
          <w:i w:val="0"/>
          <w:color w:val="auto"/>
          <w:lang w:val="bs-Latn-BA"/>
        </w:rPr>
        <w:t>period</w:t>
      </w:r>
      <w:r w:rsidRPr="00155F80">
        <w:rPr>
          <w:rFonts w:ascii="Times New Roman" w:hAnsi="Times New Roman" w:cs="Times New Roman"/>
          <w:i w:val="0"/>
          <w:color w:val="auto"/>
          <w:lang w:val="bs-Latn-BA"/>
        </w:rPr>
        <w:t xml:space="preserve"> 2010</w:t>
      </w:r>
      <w:r w:rsidR="00EC077A">
        <w:rPr>
          <w:rFonts w:ascii="Times New Roman" w:hAnsi="Times New Roman" w:cs="Times New Roman"/>
          <w:i w:val="0"/>
          <w:color w:val="auto"/>
          <w:lang w:val="bs-Latn-BA"/>
        </w:rPr>
        <w:t>.</w:t>
      </w:r>
      <w:r w:rsidRPr="00155F80">
        <w:rPr>
          <w:rFonts w:ascii="Times New Roman" w:hAnsi="Times New Roman" w:cs="Times New Roman"/>
          <w:i w:val="0"/>
          <w:color w:val="auto"/>
          <w:lang w:val="bs-Latn-BA"/>
        </w:rPr>
        <w:t>-2015</w:t>
      </w:r>
      <w:r w:rsidR="00EC077A">
        <w:rPr>
          <w:rFonts w:ascii="Times New Roman" w:hAnsi="Times New Roman" w:cs="Times New Roman"/>
          <w:i w:val="0"/>
          <w:color w:val="auto"/>
          <w:lang w:val="bs-Latn-BA"/>
        </w:rPr>
        <w:t>.</w:t>
      </w:r>
      <w:r w:rsidRPr="00155F80">
        <w:rPr>
          <w:rFonts w:ascii="Times New Roman" w:hAnsi="Times New Roman" w:cs="Times New Roman"/>
          <w:i w:val="0"/>
          <w:color w:val="auto"/>
          <w:lang w:val="bs-Latn-BA"/>
        </w:rPr>
        <w:t xml:space="preserve"> god</w:t>
      </w:r>
      <w:r w:rsidR="00EC077A">
        <w:rPr>
          <w:rFonts w:ascii="Times New Roman" w:hAnsi="Times New Roman" w:cs="Times New Roman"/>
          <w:i w:val="0"/>
          <w:color w:val="auto"/>
          <w:lang w:val="bs-Latn-BA"/>
        </w:rPr>
        <w:t>ina</w:t>
      </w:r>
      <w:r w:rsidRPr="00155F80">
        <w:rPr>
          <w:rFonts w:ascii="Times New Roman" w:hAnsi="Times New Roman" w:cs="Times New Roman"/>
          <w:i w:val="0"/>
          <w:color w:val="auto"/>
          <w:lang w:val="bs-Latn-BA"/>
        </w:rPr>
        <w:t xml:space="preserve"> sa izvjesnim razlikama u odnosu na uzorak, starosnu skupinu i godinu istraživanja.</w:t>
      </w:r>
    </w:p>
    <w:p w:rsidR="00A131AD" w:rsidRPr="00155F80" w:rsidRDefault="00A131AD" w:rsidP="00250204">
      <w:pPr>
        <w:pStyle w:val="TEKST"/>
        <w:rPr>
          <w:i/>
        </w:rPr>
      </w:pPr>
      <w:r w:rsidRPr="00155F80">
        <w:t>Tako po rezultatima MICS4 istraživanja iz 2011</w:t>
      </w:r>
      <w:r w:rsidR="00EC077A">
        <w:t>. godine</w:t>
      </w:r>
      <w:r w:rsidRPr="00155F80">
        <w:t xml:space="preserve"> bilježi se 33,4% žena stalnih pušača u urbanim područjima i 24,9% žena u ruralnim sredinama,  kao i 45% muškaraca stalnih pušača u urbanim i 41,1% muškaraca u ruralnim sredinama. Značajna je visoka </w:t>
      </w:r>
      <w:r w:rsidR="00D21A46">
        <w:t>zavisnost</w:t>
      </w:r>
      <w:r w:rsidRPr="00155F80">
        <w:t xml:space="preserve">i o nikotinu koja je izraženija kod muškaraca pušača, pri čemu 68,4% muškarca i 39% žena dnevno puši preko 20 cigareta. </w:t>
      </w:r>
    </w:p>
    <w:p w:rsidR="00B37E7E" w:rsidRDefault="00A131AD" w:rsidP="00250204">
      <w:pPr>
        <w:pStyle w:val="TEKST"/>
      </w:pPr>
      <w:r w:rsidRPr="00155F80">
        <w:t>I rezultati Studije o stanju zdravlja odrasloga stanovništva u Federaciji BiH u 2012</w:t>
      </w:r>
      <w:r w:rsidR="00EC077A">
        <w:t>. godini</w:t>
      </w:r>
      <w:r w:rsidRPr="00155F80">
        <w:t xml:space="preserve"> potvrđuju da je pušenje vodeća bolest </w:t>
      </w:r>
      <w:r w:rsidR="00D21A46">
        <w:t>zavisnost</w:t>
      </w:r>
      <w:r w:rsidRPr="00155F80">
        <w:t xml:space="preserve">i stanovništva u Federaciji BiH. Stalno pušenje potvrđuje 44,1% ispitanika </w:t>
      </w:r>
      <w:r w:rsidRPr="007E20B3">
        <w:t>od čega 56,3% muškaraca a 31,6% žena</w:t>
      </w:r>
      <w:r w:rsidR="007E20B3" w:rsidRPr="007E20B3">
        <w:t>.</w:t>
      </w:r>
    </w:p>
    <w:p w:rsidR="00642A63" w:rsidRPr="00155F80" w:rsidRDefault="00642A63" w:rsidP="00250204">
      <w:pPr>
        <w:pStyle w:val="TEKST"/>
      </w:pPr>
    </w:p>
    <w:p w:rsidR="00A131AD" w:rsidRPr="000D7840" w:rsidRDefault="00642A63" w:rsidP="00642A63">
      <w:pPr>
        <w:pStyle w:val="refererere"/>
        <w:jc w:val="left"/>
      </w:pPr>
      <w:r>
        <w:rPr>
          <w:noProof/>
          <w:lang w:eastAsia="en-GB"/>
        </w:rPr>
        <mc:AlternateContent>
          <mc:Choice Requires="wps">
            <w:drawing>
              <wp:anchor distT="0" distB="0" distL="114300" distR="114300" simplePos="0" relativeHeight="251665920" behindDoc="0" locked="0" layoutInCell="1" allowOverlap="1" wp14:anchorId="1786D37C" wp14:editId="2A6C02B5">
                <wp:simplePos x="0" y="0"/>
                <wp:positionH relativeFrom="margin">
                  <wp:posOffset>0</wp:posOffset>
                </wp:positionH>
                <wp:positionV relativeFrom="paragraph">
                  <wp:posOffset>165925</wp:posOffset>
                </wp:positionV>
                <wp:extent cx="5735320" cy="1531620"/>
                <wp:effectExtent l="0" t="0" r="17780" b="11430"/>
                <wp:wrapNone/>
                <wp:docPr id="90" name="Rectangle 90"/>
                <wp:cNvGraphicFramePr/>
                <a:graphic xmlns:a="http://schemas.openxmlformats.org/drawingml/2006/main">
                  <a:graphicData uri="http://schemas.microsoft.com/office/word/2010/wordprocessingShape">
                    <wps:wsp>
                      <wps:cNvSpPr/>
                      <wps:spPr>
                        <a:xfrm>
                          <a:off x="0" y="0"/>
                          <a:ext cx="5735320" cy="1531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2527C" id="Rectangle 90" o:spid="_x0000_s1026" style="position:absolute;margin-left:0;margin-top:13.05pt;width:451.6pt;height:120.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" filled="f" strokecolor="black [3213]" strokeweight="1pt">
                <w10:wrap anchorx="margin"/>
              </v:rect>
            </w:pict>
          </mc:Fallback>
        </mc:AlternateContent>
      </w:r>
      <w:r w:rsidR="00623475">
        <w:t xml:space="preserve">Grafikon </w:t>
      </w:r>
      <w:r w:rsidR="00A131AD" w:rsidRPr="00155F80">
        <w:t>78: Stalni pušači, Federacija BiH 2012. godina, indeks strukture</w:t>
      </w:r>
      <w:r w:rsidR="007E20B3">
        <w:rPr>
          <w:noProof/>
          <w:lang w:eastAsia="en-GB"/>
        </w:rPr>
        <w:drawing>
          <wp:inline distT="0" distB="0" distL="0" distR="0" wp14:anchorId="0CB0983F" wp14:editId="6DCD6F18">
            <wp:extent cx="5648325" cy="1496291"/>
            <wp:effectExtent l="0" t="0" r="9525" b="889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A131AD" w:rsidRPr="00155F80">
        <w:t xml:space="preserve">Izvor: Studija stanja zdravlja stanovništva Federacije BiH 2012. god. </w:t>
      </w:r>
    </w:p>
    <w:p w:rsidR="00A131AD" w:rsidRPr="00155F80" w:rsidRDefault="00A87C61" w:rsidP="000C0138">
      <w:pPr>
        <w:spacing w:before="120" w:after="120" w:line="276" w:lineRule="auto"/>
        <w:rPr>
          <w:rFonts w:ascii="Times New Roman" w:hAnsi="Times New Roman"/>
          <w:noProof/>
          <w:lang w:val="hr-HR" w:eastAsia="de-DE"/>
        </w:rPr>
      </w:pPr>
      <w:r>
        <w:rPr>
          <w:rFonts w:ascii="Times New Roman" w:hAnsi="Times New Roman"/>
          <w:noProof/>
          <w:lang w:val="hr-HR" w:eastAsia="de-DE"/>
        </w:rPr>
        <w:t>Po rezultatima iste Studije,</w:t>
      </w:r>
      <w:r w:rsidR="00A131AD" w:rsidRPr="00155F80">
        <w:rPr>
          <w:rFonts w:ascii="Times New Roman" w:hAnsi="Times New Roman"/>
          <w:noProof/>
          <w:lang w:val="hr-HR" w:eastAsia="de-DE"/>
        </w:rPr>
        <w:t xml:space="preserve"> ispitanici u FBiH navode da dnevno popuše u prosjeku 16,9 cigareta, bez značajnih razlika u odnosu na urbana i ruralna područja. U odnosu na spolnu i starosnu strukturu, muškarci (18,2) navode veću dnevnu konzumaciju cigareta u odnosu na žene (14,8) dok se najveća dnevna konzumacija cigareta bilježi u starosnoj </w:t>
      </w:r>
      <w:r w:rsidR="00A80006">
        <w:rPr>
          <w:rFonts w:ascii="Times New Roman" w:hAnsi="Times New Roman"/>
          <w:noProof/>
          <w:lang w:val="hr-HR" w:eastAsia="de-DE"/>
        </w:rPr>
        <w:t>grupi</w:t>
      </w:r>
      <w:r w:rsidR="00A131AD" w:rsidRPr="00155F80">
        <w:rPr>
          <w:rFonts w:ascii="Times New Roman" w:hAnsi="Times New Roman"/>
          <w:noProof/>
          <w:lang w:val="hr-HR" w:eastAsia="de-DE"/>
        </w:rPr>
        <w:t xml:space="preserve"> 45-54 (17,8) a najmanja u starosnoj </w:t>
      </w:r>
      <w:r w:rsidR="00A80006">
        <w:rPr>
          <w:rFonts w:ascii="Times New Roman" w:hAnsi="Times New Roman"/>
          <w:noProof/>
          <w:lang w:val="hr-HR" w:eastAsia="de-DE"/>
        </w:rPr>
        <w:t>grupi</w:t>
      </w:r>
      <w:r w:rsidR="00A131AD" w:rsidRPr="00155F80">
        <w:rPr>
          <w:rFonts w:ascii="Times New Roman" w:hAnsi="Times New Roman"/>
          <w:noProof/>
          <w:lang w:val="hr-HR" w:eastAsia="de-DE"/>
        </w:rPr>
        <w:t xml:space="preserve"> 65 i više god. (12,8).</w:t>
      </w:r>
    </w:p>
    <w:p w:rsidR="00A131AD" w:rsidRPr="00155F80" w:rsidRDefault="00A131AD" w:rsidP="00B37E7E">
      <w:pPr>
        <w:pStyle w:val="refererere"/>
        <w:rPr>
          <w:i/>
        </w:rPr>
      </w:pPr>
      <w:r w:rsidRPr="00155F80">
        <w:t xml:space="preserve">Grafikon  79 : Prosječna dnevna konzumacija cigareta prema spolu i starosnim </w:t>
      </w:r>
      <w:r w:rsidR="00D21A46">
        <w:t>grupa</w:t>
      </w:r>
      <w:r w:rsidRPr="00155F80">
        <w:t xml:space="preserve">ma, Federacija BiH 2012. godina </w:t>
      </w:r>
      <w:r w:rsidR="00BD3246">
        <w:rPr>
          <w:noProof/>
          <w:lang w:eastAsia="en-GB"/>
        </w:rPr>
        <w:drawing>
          <wp:inline distT="0" distB="0" distL="0" distR="0" wp14:anchorId="7D2BCD1F" wp14:editId="14692390">
            <wp:extent cx="5676265" cy="2196935"/>
            <wp:effectExtent l="0" t="0" r="635" b="133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BD3246" w:rsidRDefault="00A131AD" w:rsidP="00250204">
      <w:pPr>
        <w:pStyle w:val="TEKST"/>
        <w:rPr>
          <w:i/>
        </w:rPr>
      </w:pPr>
      <w:r w:rsidRPr="00155F80">
        <w:t xml:space="preserve">Izvor: Studija stanja zdravlja stanovništva Federacije BiH 2012. god. </w:t>
      </w:r>
    </w:p>
    <w:p w:rsidR="00642A63" w:rsidRDefault="00A131AD" w:rsidP="00250204">
      <w:pPr>
        <w:pStyle w:val="TEKST"/>
        <w:rPr>
          <w:lang w:val="bs-Latn-BA"/>
        </w:rPr>
      </w:pPr>
      <w:r w:rsidRPr="00BD3246">
        <w:t>Po rezultatima iste Studije,  izloženost pasivnom pušenju u kući potvrđuje  preko polovine ispitanika u FBiH (54,1%),  ispod polovine ispitanika u FBiH (44,4%) navodi izloženost duhanskom dimu od strane drugih pušača na radnom mjestu, a preko polovine ispitanika u FBiH (52,7%) navodi izloženost duhanskom dimu od strane drugih pušača na javnom mjestu</w:t>
      </w:r>
      <w:r w:rsidRPr="00F83CAD">
        <w:t>.</w:t>
      </w:r>
      <w:r w:rsidR="00D304A7" w:rsidRPr="00F83CAD">
        <w:rPr>
          <w:lang w:val="bs-Latn-BA"/>
        </w:rPr>
        <w:t xml:space="preserve"> (9</w:t>
      </w:r>
      <w:r w:rsidRPr="00F83CAD">
        <w:rPr>
          <w:lang w:val="bs-Latn-BA"/>
        </w:rPr>
        <w:t>)</w:t>
      </w:r>
    </w:p>
    <w:p w:rsidR="00404963" w:rsidRDefault="00404963" w:rsidP="00250204">
      <w:pPr>
        <w:pStyle w:val="TEKST"/>
        <w:rPr>
          <w:i/>
        </w:rPr>
      </w:pPr>
    </w:p>
    <w:p w:rsidR="00662AE4" w:rsidRPr="00155F80" w:rsidRDefault="00A131AD" w:rsidP="00B37E7E">
      <w:pPr>
        <w:pStyle w:val="refererere"/>
        <w:jc w:val="left"/>
      </w:pPr>
      <w:r w:rsidRPr="00155F80">
        <w:t>Grafikon  80: Izloženost pasivnom pušenju,  Federacija BiH 2012. godina, indeks strukture</w:t>
      </w:r>
      <w:r w:rsidR="00662AE4">
        <w:rPr>
          <w:noProof/>
          <w:lang w:eastAsia="en-GB"/>
        </w:rPr>
        <w:drawing>
          <wp:inline distT="0" distB="0" distL="0" distR="0" wp14:anchorId="2086042F" wp14:editId="505B53BE">
            <wp:extent cx="5772150" cy="2276475"/>
            <wp:effectExtent l="0" t="0" r="0" b="952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A131AD" w:rsidRPr="000D7840" w:rsidRDefault="00A131AD" w:rsidP="00250204">
      <w:pPr>
        <w:pStyle w:val="TEKST"/>
        <w:rPr>
          <w:i/>
        </w:rPr>
      </w:pPr>
      <w:r w:rsidRPr="00155F80">
        <w:t xml:space="preserve">Izvor: Studija stanja zdravlja stanovništva Federacije BiH 2012. god. </w:t>
      </w:r>
    </w:p>
    <w:p w:rsidR="00A131AD" w:rsidRDefault="00A131AD" w:rsidP="00250204">
      <w:pPr>
        <w:pStyle w:val="TEKST"/>
      </w:pPr>
      <w:r w:rsidRPr="00155F80">
        <w:t>U odnosu na zdravlje školske djece i mladeži, prema rezultatima Gl</w:t>
      </w:r>
      <w:r w:rsidR="00AA0D77" w:rsidRPr="00155F80">
        <w:t xml:space="preserve">obalnog istraživanja pušenja kod </w:t>
      </w:r>
      <w:r w:rsidRPr="00155F80">
        <w:t xml:space="preserve"> školske djece (GYTS)  provedenog </w:t>
      </w:r>
      <w:r w:rsidR="00F0369C">
        <w:t>tokom</w:t>
      </w:r>
      <w:r w:rsidRPr="00155F80">
        <w:t xml:space="preserve"> 2013. evidentirano  je 12,7% pušača, od toga 15,</w:t>
      </w:r>
      <w:r w:rsidR="00230D7E">
        <w:t xml:space="preserve">5% dječaka i 9,7 % djevojčica. </w:t>
      </w:r>
    </w:p>
    <w:p w:rsidR="00642A63" w:rsidRDefault="00642A63" w:rsidP="00250204">
      <w:pPr>
        <w:pStyle w:val="TEKST"/>
      </w:pPr>
    </w:p>
    <w:p w:rsidR="00642A63" w:rsidRDefault="00642A63" w:rsidP="00250204">
      <w:pPr>
        <w:pStyle w:val="TEKST"/>
      </w:pPr>
    </w:p>
    <w:p w:rsidR="00A131AD" w:rsidRPr="00155F80" w:rsidRDefault="00A131AD" w:rsidP="000C0138">
      <w:pPr>
        <w:spacing w:line="276" w:lineRule="auto"/>
        <w:ind w:right="26"/>
        <w:jc w:val="left"/>
        <w:rPr>
          <w:rFonts w:ascii="Times New Roman" w:hAnsi="Times New Roman"/>
          <w:b/>
          <w:bCs/>
          <w:iCs/>
          <w:lang w:val="bs-Latn-BA"/>
        </w:rPr>
      </w:pPr>
      <w:r w:rsidRPr="00155F80">
        <w:rPr>
          <w:rFonts w:ascii="Times New Roman" w:hAnsi="Times New Roman"/>
          <w:b/>
          <w:bCs/>
          <w:iCs/>
          <w:lang w:val="bs-Latn-BA"/>
        </w:rPr>
        <w:t xml:space="preserve">Pušenje i zdravlje stanovništva u Federaciji BiH </w:t>
      </w:r>
    </w:p>
    <w:p w:rsidR="00A131AD" w:rsidRPr="00155F80" w:rsidRDefault="00A131AD" w:rsidP="00250204">
      <w:pPr>
        <w:pStyle w:val="TEKST"/>
        <w:rPr>
          <w:i/>
        </w:rPr>
      </w:pPr>
      <w:r w:rsidRPr="00155F80">
        <w:t>Visoki p</w:t>
      </w:r>
      <w:r w:rsidR="00C861DA">
        <w:t>rocenti</w:t>
      </w:r>
      <w:r w:rsidRPr="00155F80">
        <w:t xml:space="preserve"> prevalenc</w:t>
      </w:r>
      <w:r w:rsidR="00CE0186">
        <w:t>ij</w:t>
      </w:r>
      <w:r w:rsidRPr="00155F80">
        <w:t xml:space="preserve">e pušenja povezuju se s trendom različitih oboljenja i stanja izravno uzrokovanih štetnim </w:t>
      </w:r>
      <w:r w:rsidR="00CE0186">
        <w:t>učincima</w:t>
      </w:r>
      <w:r w:rsidRPr="00155F80">
        <w:t xml:space="preserve"> po zdravlje ove vodeće bolesti </w:t>
      </w:r>
      <w:r w:rsidR="00D21A46">
        <w:t>zavisnost</w:t>
      </w:r>
      <w:r w:rsidRPr="00155F80">
        <w:t xml:space="preserve">i. </w:t>
      </w:r>
    </w:p>
    <w:p w:rsidR="00DE2289" w:rsidRPr="00155F80" w:rsidRDefault="00A131AD" w:rsidP="00250204">
      <w:pPr>
        <w:pStyle w:val="TEKST"/>
        <w:rPr>
          <w:i/>
        </w:rPr>
      </w:pPr>
      <w:r w:rsidRPr="00155F80">
        <w:t xml:space="preserve">Za  procjenu posljedica pušenja po zdravlje stanovništva od izuzetnog značaja predstavlja monitoring malignih neoplazmi (C00-C97) koje bilježe trend porasta od stope </w:t>
      </w:r>
      <w:r w:rsidR="00A80006">
        <w:t>registrovanih</w:t>
      </w:r>
      <w:r w:rsidRPr="00155F80">
        <w:t xml:space="preserve"> 52/10.000 stanovnika u 2010.  godin</w:t>
      </w:r>
      <w:r w:rsidR="00CE0186">
        <w:t>i</w:t>
      </w:r>
      <w:r w:rsidRPr="00155F80">
        <w:t xml:space="preserve">, do 62,1/10.000 stanovnika u 2015. godini, </w:t>
      </w:r>
      <w:r w:rsidR="00A80006">
        <w:t>registrovanih</w:t>
      </w:r>
      <w:r w:rsidRPr="00155F80">
        <w:t xml:space="preserve"> u PZZ. Posebno su značajni i trendovi stopa malignih neoplazmi bronha i pluća, pri čemu se bilježi povećanje stope obolijevanja od maligne neoplazme bronha i pluća (C34) od 4,8/10.000 u 2010. godini do 5,1/10.000 u 2015. godini. </w:t>
      </w:r>
    </w:p>
    <w:p w:rsidR="00A131AD" w:rsidRPr="00155F80" w:rsidRDefault="00A131AD" w:rsidP="00B37E7E">
      <w:pPr>
        <w:pStyle w:val="refererere"/>
      </w:pPr>
      <w:r w:rsidRPr="00155F80">
        <w:t xml:space="preserve">Grafikon  81: Stope obolijevanja od malignih neoplazmi (C00-C97) i maligne neoplazme bronha i pluća (C34) na 10.000 stanovnika u Federaciji BiH, za </w:t>
      </w:r>
      <w:r w:rsidR="00F70FD4">
        <w:t>period</w:t>
      </w:r>
      <w:r w:rsidRPr="00155F80">
        <w:t xml:space="preserve"> 2010. – 2015. godina</w:t>
      </w:r>
    </w:p>
    <w:p w:rsidR="00A131AD" w:rsidRPr="00155F80" w:rsidRDefault="00A131AD" w:rsidP="000C0138">
      <w:pPr>
        <w:spacing w:line="276" w:lineRule="auto"/>
        <w:rPr>
          <w:rFonts w:ascii="Times New Roman" w:hAnsi="Times New Roman"/>
          <w:b/>
          <w:lang w:val="pl-PL"/>
        </w:rPr>
      </w:pPr>
      <w:r w:rsidRPr="00155F80">
        <w:rPr>
          <w:rFonts w:ascii="Times New Roman" w:hAnsi="Times New Roman"/>
          <w:noProof/>
          <w:lang w:eastAsia="en-GB"/>
        </w:rPr>
        <w:drawing>
          <wp:inline distT="0" distB="0" distL="0" distR="0" wp14:anchorId="5AA8839A" wp14:editId="0DCD9426">
            <wp:extent cx="5638800" cy="2333625"/>
            <wp:effectExtent l="0" t="0" r="0"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A131AD" w:rsidRDefault="00A131AD" w:rsidP="000C0138">
      <w:pPr>
        <w:spacing w:line="276" w:lineRule="auto"/>
        <w:rPr>
          <w:rFonts w:ascii="Times New Roman" w:hAnsi="Times New Roman"/>
          <w:b/>
          <w:lang w:val="pl-PL"/>
        </w:rPr>
      </w:pPr>
    </w:p>
    <w:p w:rsidR="004975B7" w:rsidRDefault="004975B7" w:rsidP="000C0138">
      <w:pPr>
        <w:spacing w:line="276" w:lineRule="auto"/>
        <w:rPr>
          <w:rFonts w:ascii="Times New Roman" w:hAnsi="Times New Roman"/>
          <w:b/>
          <w:lang w:val="pl-PL"/>
        </w:rPr>
      </w:pPr>
    </w:p>
    <w:p w:rsidR="004975B7" w:rsidRDefault="004975B7" w:rsidP="000C0138">
      <w:pPr>
        <w:spacing w:line="276" w:lineRule="auto"/>
        <w:rPr>
          <w:rFonts w:ascii="Times New Roman" w:hAnsi="Times New Roman"/>
          <w:b/>
          <w:lang w:val="pl-PL"/>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pl-PL"/>
        </w:rPr>
        <w:t>Alkohol</w:t>
      </w:r>
      <w:r w:rsidRPr="00155F80">
        <w:rPr>
          <w:rFonts w:ascii="Times New Roman" w:hAnsi="Times New Roman"/>
          <w:b/>
          <w:lang w:val="bs-Latn-BA"/>
        </w:rPr>
        <w:t xml:space="preserve">, </w:t>
      </w:r>
      <w:r w:rsidRPr="00155F80">
        <w:rPr>
          <w:rFonts w:ascii="Times New Roman" w:hAnsi="Times New Roman"/>
          <w:b/>
          <w:lang w:val="pl-PL"/>
        </w:rPr>
        <w:t>droge</w:t>
      </w:r>
      <w:r w:rsidRPr="00155F80">
        <w:rPr>
          <w:rFonts w:ascii="Times New Roman" w:hAnsi="Times New Roman"/>
          <w:b/>
          <w:lang w:val="bs-Latn-BA"/>
        </w:rPr>
        <w:t xml:space="preserve"> </w:t>
      </w:r>
      <w:r w:rsidRPr="00155F80">
        <w:rPr>
          <w:rFonts w:ascii="Times New Roman" w:hAnsi="Times New Roman"/>
          <w:b/>
          <w:lang w:val="pl-PL"/>
        </w:rPr>
        <w:t>i</w:t>
      </w:r>
      <w:r w:rsidRPr="00155F80">
        <w:rPr>
          <w:rFonts w:ascii="Times New Roman" w:hAnsi="Times New Roman"/>
          <w:b/>
          <w:lang w:val="bs-Latn-BA"/>
        </w:rPr>
        <w:t xml:space="preserve"> </w:t>
      </w:r>
      <w:r w:rsidRPr="00155F80">
        <w:rPr>
          <w:rFonts w:ascii="Times New Roman" w:hAnsi="Times New Roman"/>
          <w:b/>
          <w:lang w:val="pl-PL"/>
        </w:rPr>
        <w:t>psihotropne</w:t>
      </w:r>
      <w:r w:rsidRPr="00155F80">
        <w:rPr>
          <w:rFonts w:ascii="Times New Roman" w:hAnsi="Times New Roman"/>
          <w:b/>
          <w:lang w:val="bs-Latn-BA"/>
        </w:rPr>
        <w:t xml:space="preserve"> </w:t>
      </w:r>
      <w:r w:rsidRPr="00155F80">
        <w:rPr>
          <w:rFonts w:ascii="Times New Roman" w:hAnsi="Times New Roman"/>
          <w:b/>
          <w:lang w:val="pl-PL"/>
        </w:rPr>
        <w:t>supstance</w:t>
      </w:r>
      <w:r w:rsidRPr="00155F80">
        <w:rPr>
          <w:rFonts w:ascii="Times New Roman" w:hAnsi="Times New Roman"/>
          <w:b/>
          <w:lang w:val="bs-Latn-BA"/>
        </w:rPr>
        <w:t xml:space="preserve"> </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bCs/>
          <w:lang w:val="bs-Latn-BA"/>
        </w:rPr>
      </w:pPr>
      <w:r w:rsidRPr="00155F80">
        <w:rPr>
          <w:rFonts w:ascii="Times New Roman" w:hAnsi="Times New Roman"/>
          <w:b/>
          <w:lang w:val="bs-Latn-BA"/>
        </w:rPr>
        <w:t xml:space="preserve">Potrošnja alkohola u populacijskim </w:t>
      </w:r>
      <w:r w:rsidR="00D21A46">
        <w:rPr>
          <w:rFonts w:ascii="Times New Roman" w:hAnsi="Times New Roman"/>
          <w:b/>
          <w:lang w:val="bs-Latn-BA"/>
        </w:rPr>
        <w:t>grupa</w:t>
      </w:r>
      <w:r w:rsidRPr="00155F80">
        <w:rPr>
          <w:rFonts w:ascii="Times New Roman" w:hAnsi="Times New Roman"/>
          <w:b/>
          <w:lang w:val="bs-Latn-BA"/>
        </w:rPr>
        <w:t xml:space="preserve">ma </w:t>
      </w:r>
    </w:p>
    <w:p w:rsidR="00EC077A" w:rsidRPr="00155F80" w:rsidRDefault="00A131AD" w:rsidP="00250204">
      <w:pPr>
        <w:pStyle w:val="TEKST"/>
      </w:pPr>
      <w:r w:rsidRPr="00155F80">
        <w:t>Prema rezultatima MICS4 istraživanja iz 2011</w:t>
      </w:r>
      <w:r w:rsidR="00EC077A">
        <w:t>. godine</w:t>
      </w:r>
      <w:r w:rsidRPr="00155F80">
        <w:t xml:space="preserve"> potrošnja alkohola predstavlja značajan </w:t>
      </w:r>
      <w:r w:rsidR="00D21A46">
        <w:t>faktor</w:t>
      </w:r>
      <w:r w:rsidRPr="00155F80">
        <w:t xml:space="preserve"> rizika po zdravlje u svim populacijskim </w:t>
      </w:r>
      <w:r w:rsidR="00D21A46">
        <w:t>grupa</w:t>
      </w:r>
      <w:r w:rsidRPr="00155F80">
        <w:t xml:space="preserve">ma stanovništva Federacije BiH. U odnosu na spolnu strukturu, ukupno 45,8% muškaraca i 12,4% žena navodi da su konzumirali najmanje jedno alkoholno piće </w:t>
      </w:r>
      <w:r w:rsidR="00F0369C">
        <w:t>tokom</w:t>
      </w:r>
      <w:r w:rsidRPr="00155F80">
        <w:t xml:space="preserve"> jednog ili više dana </w:t>
      </w:r>
      <w:r w:rsidR="00F0369C">
        <w:t>tokom prethodnog</w:t>
      </w:r>
      <w:r w:rsidRPr="00155F80">
        <w:t xml:space="preserve"> mjeseca. Po rezultatima ovog istraživanja  najveća konzumacija alkohola bilježi </w:t>
      </w:r>
      <w:r w:rsidR="00F0369C">
        <w:t xml:space="preserve">se </w:t>
      </w:r>
      <w:r w:rsidRPr="00155F80">
        <w:t xml:space="preserve">kod starosnih </w:t>
      </w:r>
      <w:r w:rsidR="00D21A46">
        <w:t>grupa</w:t>
      </w:r>
      <w:r w:rsidRPr="00155F80">
        <w:t xml:space="preserve"> 20-24 god. (34,9%) i 25-29 god. (35%), te 40-49 god. (30,4%).</w:t>
      </w:r>
    </w:p>
    <w:p w:rsidR="00A131AD" w:rsidRPr="00155F80" w:rsidRDefault="00A131AD" w:rsidP="00B37E7E">
      <w:pPr>
        <w:pStyle w:val="refererere"/>
        <w:jc w:val="left"/>
      </w:pPr>
      <w:r w:rsidRPr="00155F80">
        <w:t xml:space="preserve">Grafikon 82: Konzumacija jednog ili više alkoholnih pića </w:t>
      </w:r>
      <w:r w:rsidR="00F0369C">
        <w:t>tokom</w:t>
      </w:r>
      <w:r w:rsidRPr="00155F80">
        <w:t xml:space="preserve"> prošlog mjeseca, p</w:t>
      </w:r>
      <w:r w:rsidR="00B37E7E">
        <w:t xml:space="preserve">regled po starosnoj strukturi </w:t>
      </w:r>
      <w:r w:rsidRPr="00155F80">
        <w:t>Federacija BiH 2011. godina</w:t>
      </w:r>
      <w:r w:rsidRPr="00155F80">
        <w:rPr>
          <w:noProof/>
          <w:lang w:eastAsia="en-GB"/>
        </w:rPr>
        <w:drawing>
          <wp:inline distT="0" distB="0" distL="0" distR="0" wp14:anchorId="22B92A2F" wp14:editId="3493FF47">
            <wp:extent cx="5581650" cy="1752600"/>
            <wp:effectExtent l="0" t="0" r="0" b="0"/>
            <wp:docPr id="3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A131AD" w:rsidRPr="00DE2289" w:rsidRDefault="00A131AD" w:rsidP="000C0138">
      <w:pPr>
        <w:spacing w:line="276" w:lineRule="auto"/>
        <w:rPr>
          <w:rFonts w:ascii="Times New Roman" w:hAnsi="Times New Roman"/>
          <w:sz w:val="20"/>
          <w:szCs w:val="20"/>
          <w:lang w:val="bs-Latn-BA"/>
        </w:rPr>
      </w:pPr>
      <w:r w:rsidRPr="00DE2289">
        <w:rPr>
          <w:rFonts w:ascii="Times New Roman" w:hAnsi="Times New Roman"/>
          <w:sz w:val="20"/>
          <w:szCs w:val="20"/>
        </w:rPr>
        <w:t>Izvor</w:t>
      </w:r>
      <w:r w:rsidRPr="00DE2289">
        <w:rPr>
          <w:rFonts w:ascii="Times New Roman" w:hAnsi="Times New Roman"/>
          <w:sz w:val="20"/>
          <w:szCs w:val="20"/>
          <w:lang w:val="bs-Latn-BA"/>
        </w:rPr>
        <w:t xml:space="preserve">: </w:t>
      </w:r>
      <w:r w:rsidRPr="00DE2289">
        <w:rPr>
          <w:rFonts w:ascii="Times New Roman" w:hAnsi="Times New Roman"/>
          <w:sz w:val="20"/>
          <w:szCs w:val="20"/>
        </w:rPr>
        <w:t>Istra</w:t>
      </w:r>
      <w:r w:rsidRPr="00DE2289">
        <w:rPr>
          <w:rFonts w:ascii="Times New Roman" w:hAnsi="Times New Roman"/>
          <w:sz w:val="20"/>
          <w:szCs w:val="20"/>
          <w:lang w:val="bs-Latn-BA"/>
        </w:rPr>
        <w:t>ž</w:t>
      </w:r>
      <w:r w:rsidRPr="00DE2289">
        <w:rPr>
          <w:rFonts w:ascii="Times New Roman" w:hAnsi="Times New Roman"/>
          <w:sz w:val="20"/>
          <w:szCs w:val="20"/>
        </w:rPr>
        <w:t>ivanje</w:t>
      </w:r>
      <w:r w:rsidRPr="00DE2289">
        <w:rPr>
          <w:rFonts w:ascii="Times New Roman" w:hAnsi="Times New Roman"/>
          <w:sz w:val="20"/>
          <w:szCs w:val="20"/>
          <w:lang w:val="bs-Latn-BA"/>
        </w:rPr>
        <w:t xml:space="preserve"> </w:t>
      </w:r>
      <w:r w:rsidRPr="00DE2289">
        <w:rPr>
          <w:rFonts w:ascii="Times New Roman" w:hAnsi="Times New Roman"/>
          <w:sz w:val="20"/>
          <w:szCs w:val="20"/>
        </w:rPr>
        <w:t>vi</w:t>
      </w:r>
      <w:r w:rsidRPr="00DE2289">
        <w:rPr>
          <w:rFonts w:ascii="Times New Roman" w:hAnsi="Times New Roman"/>
          <w:sz w:val="20"/>
          <w:szCs w:val="20"/>
          <w:lang w:val="bs-Latn-BA"/>
        </w:rPr>
        <w:t>š</w:t>
      </w:r>
      <w:r w:rsidRPr="00DE2289">
        <w:rPr>
          <w:rFonts w:ascii="Times New Roman" w:hAnsi="Times New Roman"/>
          <w:sz w:val="20"/>
          <w:szCs w:val="20"/>
        </w:rPr>
        <w:t>estrukih</w:t>
      </w:r>
      <w:r w:rsidRPr="00DE2289">
        <w:rPr>
          <w:rFonts w:ascii="Times New Roman" w:hAnsi="Times New Roman"/>
          <w:sz w:val="20"/>
          <w:szCs w:val="20"/>
          <w:lang w:val="bs-Latn-BA"/>
        </w:rPr>
        <w:t xml:space="preserve"> </w:t>
      </w:r>
      <w:r w:rsidR="00CB080B">
        <w:rPr>
          <w:rFonts w:ascii="Times New Roman" w:hAnsi="Times New Roman"/>
          <w:sz w:val="20"/>
          <w:szCs w:val="20"/>
        </w:rPr>
        <w:t>pokazatelja</w:t>
      </w:r>
      <w:r w:rsidRPr="00DE2289">
        <w:rPr>
          <w:rFonts w:ascii="Times New Roman" w:hAnsi="Times New Roman"/>
          <w:sz w:val="20"/>
          <w:szCs w:val="20"/>
          <w:lang w:val="bs-Latn-BA"/>
        </w:rPr>
        <w:t xml:space="preserve"> </w:t>
      </w:r>
      <w:r w:rsidRPr="00DE2289">
        <w:rPr>
          <w:rFonts w:ascii="Times New Roman" w:hAnsi="Times New Roman"/>
          <w:sz w:val="20"/>
          <w:szCs w:val="20"/>
        </w:rPr>
        <w:t>u</w:t>
      </w:r>
      <w:r w:rsidRPr="00DE2289">
        <w:rPr>
          <w:rFonts w:ascii="Times New Roman" w:hAnsi="Times New Roman"/>
          <w:sz w:val="20"/>
          <w:szCs w:val="20"/>
          <w:lang w:val="bs-Latn-BA"/>
        </w:rPr>
        <w:t xml:space="preserve"> </w:t>
      </w:r>
      <w:r w:rsidRPr="00DE2289">
        <w:rPr>
          <w:rFonts w:ascii="Times New Roman" w:hAnsi="Times New Roman"/>
          <w:sz w:val="20"/>
          <w:szCs w:val="20"/>
        </w:rPr>
        <w:t>Federaciji</w:t>
      </w:r>
      <w:r w:rsidRPr="00DE2289">
        <w:rPr>
          <w:rFonts w:ascii="Times New Roman" w:hAnsi="Times New Roman"/>
          <w:sz w:val="20"/>
          <w:szCs w:val="20"/>
          <w:lang w:val="bs-Latn-BA"/>
        </w:rPr>
        <w:t xml:space="preserve"> </w:t>
      </w:r>
      <w:r w:rsidRPr="00DE2289">
        <w:rPr>
          <w:rFonts w:ascii="Times New Roman" w:hAnsi="Times New Roman"/>
          <w:sz w:val="20"/>
          <w:szCs w:val="20"/>
        </w:rPr>
        <w:t>BiH</w:t>
      </w:r>
      <w:r w:rsidRPr="00DE2289">
        <w:rPr>
          <w:rFonts w:ascii="Times New Roman" w:hAnsi="Times New Roman"/>
          <w:sz w:val="20"/>
          <w:szCs w:val="20"/>
          <w:lang w:val="bs-Latn-BA"/>
        </w:rPr>
        <w:t xml:space="preserve">, </w:t>
      </w:r>
      <w:r w:rsidRPr="00DE2289">
        <w:rPr>
          <w:rFonts w:ascii="Times New Roman" w:hAnsi="Times New Roman"/>
          <w:sz w:val="20"/>
          <w:szCs w:val="20"/>
        </w:rPr>
        <w:t>MIC</w:t>
      </w:r>
      <w:r w:rsidRPr="00DE2289">
        <w:rPr>
          <w:rFonts w:ascii="Times New Roman" w:hAnsi="Times New Roman"/>
          <w:sz w:val="20"/>
          <w:szCs w:val="20"/>
          <w:lang w:val="bs-Latn-BA"/>
        </w:rPr>
        <w:t xml:space="preserve">4, 2011.-2012. </w:t>
      </w:r>
      <w:r w:rsidRPr="00DE2289">
        <w:rPr>
          <w:rFonts w:ascii="Times New Roman" w:hAnsi="Times New Roman"/>
          <w:sz w:val="20"/>
          <w:szCs w:val="20"/>
        </w:rPr>
        <w:t>god</w:t>
      </w:r>
      <w:r w:rsidRPr="00DE2289">
        <w:rPr>
          <w:rFonts w:ascii="Times New Roman" w:hAnsi="Times New Roman"/>
          <w:sz w:val="20"/>
          <w:szCs w:val="20"/>
          <w:lang w:val="bs-Latn-BA"/>
        </w:rPr>
        <w:t xml:space="preserve">. </w:t>
      </w:r>
    </w:p>
    <w:p w:rsidR="00A131AD" w:rsidRPr="00155F80" w:rsidRDefault="00A131AD" w:rsidP="000C0138">
      <w:pPr>
        <w:spacing w:line="276" w:lineRule="auto"/>
        <w:rPr>
          <w:rFonts w:ascii="Times New Roman" w:hAnsi="Times New Roman"/>
          <w:noProof/>
          <w:lang w:val="hr-HR" w:eastAsia="de-DE"/>
        </w:rPr>
      </w:pPr>
    </w:p>
    <w:p w:rsidR="00A131AD"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I po rezultatima Studije o stanju zdravlja u Federaciji BiH iz 2012</w:t>
      </w:r>
      <w:r w:rsidR="00EC077A">
        <w:rPr>
          <w:rFonts w:ascii="Times New Roman" w:hAnsi="Times New Roman"/>
          <w:noProof/>
          <w:lang w:val="hr-HR" w:eastAsia="de-DE"/>
        </w:rPr>
        <w:t>. godine</w:t>
      </w:r>
      <w:r w:rsidRPr="00155F80">
        <w:rPr>
          <w:rFonts w:ascii="Times New Roman" w:hAnsi="Times New Roman"/>
          <w:noProof/>
          <w:lang w:val="hr-HR" w:eastAsia="de-DE"/>
        </w:rPr>
        <w:t xml:space="preserve"> konzumacija alkohola predstavlja </w:t>
      </w:r>
      <w:r w:rsidR="00CE0186">
        <w:rPr>
          <w:rFonts w:ascii="Times New Roman" w:hAnsi="Times New Roman"/>
          <w:noProof/>
          <w:lang w:val="hr-HR" w:eastAsia="de-DE"/>
        </w:rPr>
        <w:t>važan</w:t>
      </w:r>
      <w:r w:rsidRPr="00155F80">
        <w:rPr>
          <w:rFonts w:ascii="Times New Roman" w:hAnsi="Times New Roman"/>
          <w:noProof/>
          <w:lang w:val="hr-HR" w:eastAsia="de-DE"/>
        </w:rPr>
        <w:t xml:space="preserve"> javnozdravstveni problem odraslog stanovništva u Federaciji BiH. Preko četvrtine ispitanika u FBiH (28,8%) potvrđuje da su konzumirali neko od alkoholnih pića </w:t>
      </w:r>
      <w:r w:rsidR="00F0369C">
        <w:rPr>
          <w:rFonts w:ascii="Times New Roman" w:hAnsi="Times New Roman"/>
          <w:noProof/>
          <w:lang w:val="hr-HR" w:eastAsia="de-DE"/>
        </w:rPr>
        <w:t>tokom</w:t>
      </w:r>
      <w:r w:rsidRPr="00155F80">
        <w:rPr>
          <w:rFonts w:ascii="Times New Roman" w:hAnsi="Times New Roman"/>
          <w:noProof/>
          <w:lang w:val="hr-HR" w:eastAsia="de-DE"/>
        </w:rPr>
        <w:t xml:space="preserve"> proteklih 12 mjeseci (pivo, vino, rakiju), od čega 29,7% u urbanim i 28,1% u ruralnim područjima.</w:t>
      </w:r>
      <w:r w:rsidR="00F0369C">
        <w:rPr>
          <w:rFonts w:ascii="Times New Roman" w:hAnsi="Times New Roman"/>
          <w:noProof/>
          <w:lang w:val="hr-HR" w:eastAsia="de-DE"/>
        </w:rPr>
        <w:t>Tokom</w:t>
      </w:r>
      <w:r w:rsidRPr="00155F80">
        <w:rPr>
          <w:rFonts w:ascii="Times New Roman" w:hAnsi="Times New Roman"/>
          <w:noProof/>
          <w:lang w:val="hr-HR" w:eastAsia="de-DE"/>
        </w:rPr>
        <w:t xml:space="preserve"> prethodnih 12 mjeseci alkohol je konzumiralo skoro polovina muškaraca (46,1%) pri čemu najviše (54,3%) muškarci starosti 25-34 godine a najmanje (30,0%) starosti 65 i više (p=0,000).Konzumaciju alkohola navodi 11,0% žena, pri čemu najviše (20,5%) žena starosti 18-24 godine a najmanje (5,0%) žena starosti 55-64 godina. Konzumaciju bilo koje vrste alkohola potvrđuje najmanje ispitanika bez škole (9,4%) a najviše ispitanika sa visokim obrazovanjem (39,5%).  </w:t>
      </w:r>
    </w:p>
    <w:p w:rsidR="00B37E7E" w:rsidRPr="00155F80" w:rsidRDefault="00B37E7E" w:rsidP="000C0138">
      <w:pPr>
        <w:spacing w:line="276" w:lineRule="auto"/>
        <w:rPr>
          <w:rFonts w:ascii="Times New Roman" w:hAnsi="Times New Roman"/>
          <w:noProof/>
          <w:lang w:val="hr-HR" w:eastAsia="de-DE"/>
        </w:rPr>
      </w:pPr>
    </w:p>
    <w:p w:rsidR="00A131AD" w:rsidRPr="003773EC" w:rsidRDefault="00A131AD" w:rsidP="00DE2289">
      <w:pPr>
        <w:pStyle w:val="refererere"/>
        <w:spacing w:after="240"/>
        <w:jc w:val="left"/>
      </w:pPr>
      <w:r w:rsidRPr="00155F80">
        <w:t xml:space="preserve">Grafikon  83: Konzumacija jednog ili više alkoholnih pića </w:t>
      </w:r>
      <w:r w:rsidR="00F0369C">
        <w:t>tokom</w:t>
      </w:r>
      <w:r w:rsidRPr="00155F80">
        <w:t xml:space="preserve"> proteklih 12 mjeseci, prema spolu i starosti, Federacija BiH 2012.godina, in</w:t>
      </w:r>
      <w:r w:rsidR="00CE0186">
        <w:t>d</w:t>
      </w:r>
      <w:r w:rsidRPr="00155F80">
        <w:t>eks strukture</w:t>
      </w:r>
      <w:r w:rsidR="00662AE4">
        <w:rPr>
          <w:noProof/>
          <w:lang w:eastAsia="en-GB"/>
        </w:rPr>
        <w:drawing>
          <wp:inline distT="0" distB="0" distL="0" distR="0" wp14:anchorId="2CB51518" wp14:editId="39F70C71">
            <wp:extent cx="5676405" cy="1659453"/>
            <wp:effectExtent l="0" t="0" r="635" b="17145"/>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Pr="00155F80">
        <w:t xml:space="preserve">Izvor: Studija stanja zdravlja stanovništva Federacije BiH 2012. god. </w:t>
      </w: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 xml:space="preserve">Po rezultatima istog istraživanja, u odnosu na učestalost konzumacije bilo kojih alkoholnih pića u proteklih 12 mjeseci, najveći procenat ispitanika (29,0%) navodi konzumaciju alkohola nekoliko puta mjesečno. Konzumaciju alkohola nekoliko puta </w:t>
      </w:r>
      <w:r w:rsidR="00F0369C">
        <w:rPr>
          <w:rFonts w:ascii="Times New Roman" w:hAnsi="Times New Roman"/>
          <w:noProof/>
          <w:lang w:val="hr-HR" w:eastAsia="de-DE"/>
        </w:rPr>
        <w:t>sedmično</w:t>
      </w:r>
      <w:r w:rsidRPr="00155F80">
        <w:rPr>
          <w:rFonts w:ascii="Times New Roman" w:hAnsi="Times New Roman"/>
          <w:noProof/>
          <w:lang w:val="hr-HR" w:eastAsia="de-DE"/>
        </w:rPr>
        <w:t xml:space="preserve"> navodi 23,5% ispitanika, konzumaciju alkohola nekoliko puta godišnje potvrđuje 21,5% ispitanika, dok svakodnevnu konzumacij</w:t>
      </w:r>
      <w:r w:rsidR="00CE0186">
        <w:rPr>
          <w:rFonts w:ascii="Times New Roman" w:hAnsi="Times New Roman"/>
          <w:noProof/>
          <w:lang w:val="hr-HR" w:eastAsia="de-DE"/>
        </w:rPr>
        <w:t>u</w:t>
      </w:r>
      <w:r w:rsidRPr="00155F80">
        <w:rPr>
          <w:rFonts w:ascii="Times New Roman" w:hAnsi="Times New Roman"/>
          <w:noProof/>
          <w:lang w:val="hr-HR" w:eastAsia="de-DE"/>
        </w:rPr>
        <w:t xml:space="preserve"> alkohola  navodi 11,6% ispitanika. </w:t>
      </w:r>
    </w:p>
    <w:p w:rsidR="00301140" w:rsidRDefault="00301140" w:rsidP="000C0138">
      <w:pPr>
        <w:spacing w:line="276" w:lineRule="auto"/>
        <w:rPr>
          <w:rFonts w:ascii="Times New Roman" w:hAnsi="Times New Roman"/>
          <w:b/>
          <w:lang w:val="bs-Latn-BA"/>
        </w:rPr>
      </w:pPr>
    </w:p>
    <w:p w:rsidR="00A131AD" w:rsidRPr="00155F80" w:rsidRDefault="00512E30" w:rsidP="000C0138">
      <w:pPr>
        <w:spacing w:line="276" w:lineRule="auto"/>
        <w:rPr>
          <w:rFonts w:ascii="Times New Roman" w:hAnsi="Times New Roman"/>
          <w:b/>
          <w:bCs/>
          <w:lang w:val="bs-Latn-BA"/>
        </w:rPr>
      </w:pPr>
      <w:r>
        <w:rPr>
          <w:rFonts w:ascii="Times New Roman" w:hAnsi="Times New Roman"/>
          <w:b/>
          <w:lang w:val="bs-Latn-BA"/>
        </w:rPr>
        <w:t>Uticaj</w:t>
      </w:r>
      <w:r w:rsidR="00A131AD" w:rsidRPr="00155F80">
        <w:rPr>
          <w:rFonts w:ascii="Times New Roman" w:hAnsi="Times New Roman"/>
          <w:b/>
          <w:lang w:val="bs-Latn-BA"/>
        </w:rPr>
        <w:t xml:space="preserve"> alkohola, droga i psihotropnih supstanci na zdravlje stanovništva Federacije BiH </w:t>
      </w:r>
    </w:p>
    <w:p w:rsidR="00A131AD" w:rsidRPr="00155F80" w:rsidRDefault="00A131AD" w:rsidP="00250204">
      <w:pPr>
        <w:pStyle w:val="TEKST"/>
        <w:rPr>
          <w:i/>
        </w:rPr>
      </w:pPr>
      <w:r w:rsidRPr="00155F80">
        <w:t xml:space="preserve">Prema </w:t>
      </w:r>
      <w:r w:rsidR="002B489B">
        <w:t>podaci</w:t>
      </w:r>
      <w:r w:rsidRPr="00155F80">
        <w:t xml:space="preserve">ma ambulantno-polikliničkih službi, bilježi se trend opadanja obolijevanja u svim </w:t>
      </w:r>
      <w:r w:rsidR="00D21A46">
        <w:t>grupa</w:t>
      </w:r>
      <w:r w:rsidRPr="00155F80">
        <w:t xml:space="preserve">ma oboljenja povezanih s </w:t>
      </w:r>
      <w:r w:rsidR="00F0369C">
        <w:t>upotrebom</w:t>
      </w:r>
      <w:r w:rsidRPr="00155F80">
        <w:t xml:space="preserve"> alkohola, droga i psihotropnih supstanci. Tako u </w:t>
      </w:r>
      <w:r w:rsidR="00A80006">
        <w:t>grupi</w:t>
      </w:r>
      <w:r w:rsidRPr="00155F80">
        <w:t xml:space="preserve"> mentalnih poremećaja i poremećaja ponašanja uzrokovanih alkoholom (F10) bilježi se trend opadanja  od 2.518 broja oboljelih (stopa od 10,8/10.000 st.) u 2010. godini, do 2.277 oboljelih (stopa od 9,8/10.000 st.) u 2015. godini. </w:t>
      </w:r>
    </w:p>
    <w:p w:rsidR="00A131AD" w:rsidRPr="00155F80" w:rsidRDefault="00A131AD" w:rsidP="00250204">
      <w:pPr>
        <w:pStyle w:val="TEKST"/>
        <w:rPr>
          <w:i/>
        </w:rPr>
      </w:pPr>
      <w:r w:rsidRPr="00155F80">
        <w:t xml:space="preserve">Obolijevanje od mentalnih poremećaja i poremećaja ponašanja uzrokovanih </w:t>
      </w:r>
      <w:r w:rsidR="00F0369C">
        <w:t>upotrebom</w:t>
      </w:r>
      <w:r w:rsidRPr="00155F80">
        <w:t xml:space="preserve"> psihoaktivnih supstanci (F11-F19) bilježi trend porasta, s brojem oboljelih od 1.398 (stopa od 6,0/10.000 st.) u 2010. godini, do 1.768 oboljelih (stopa od 7,6/10.000 st.) u 2015. godini. </w:t>
      </w:r>
    </w:p>
    <w:p w:rsidR="0012669F" w:rsidRPr="00155F80" w:rsidRDefault="00A131AD" w:rsidP="00250204">
      <w:pPr>
        <w:pStyle w:val="TEKST"/>
      </w:pPr>
      <w:r w:rsidRPr="00155F80">
        <w:t>Bilježi se opadanje broja alkoholnih oboljenja jetre (K70) od 958 oboljelih (stopa 4,1/10.000 st.) u 2010</w:t>
      </w:r>
      <w:r w:rsidR="00EC077A">
        <w:t>.</w:t>
      </w:r>
      <w:r w:rsidRPr="00155F80">
        <w:t xml:space="preserve"> godini, do 601 oboljelih (stopa od 2,6/10.000 st.) u 2015. godini. </w:t>
      </w:r>
    </w:p>
    <w:p w:rsidR="00A131AD" w:rsidRPr="00155F80" w:rsidRDefault="00A131AD" w:rsidP="000C0138">
      <w:pPr>
        <w:spacing w:line="276" w:lineRule="auto"/>
        <w:rPr>
          <w:rFonts w:ascii="Times New Roman" w:hAnsi="Times New Roman"/>
        </w:rPr>
      </w:pPr>
    </w:p>
    <w:p w:rsidR="00A131AD" w:rsidRPr="00155F80" w:rsidRDefault="00A80006" w:rsidP="00B37E7E">
      <w:pPr>
        <w:pStyle w:val="refererere"/>
      </w:pPr>
      <w:bookmarkStart w:id="324" w:name="_Toc173135557"/>
      <w:r>
        <w:t>Tabela</w:t>
      </w:r>
      <w:r w:rsidR="00EC077A">
        <w:t xml:space="preserve"> 16</w:t>
      </w:r>
      <w:r w:rsidR="00A131AD" w:rsidRPr="00155F80">
        <w:t xml:space="preserve">: Mentalni poremećaji i poremećaji ponašanja uzrokovani alkoholom i </w:t>
      </w:r>
      <w:r w:rsidR="00F0369C">
        <w:t>upotrebom</w:t>
      </w:r>
      <w:r w:rsidR="00A131AD" w:rsidRPr="00155F80">
        <w:t xml:space="preserve"> psihoaktivnih supstanci i alkoholna oboljenja jetre u Federaciji BiH, za </w:t>
      </w:r>
      <w:r w:rsidR="00F70FD4">
        <w:t>period</w:t>
      </w:r>
      <w:r w:rsidR="00CE0186">
        <w:t xml:space="preserve"> </w:t>
      </w:r>
      <w:r w:rsidR="00A131AD" w:rsidRPr="00155F80">
        <w:t>2010.- 2015.</w:t>
      </w:r>
      <w:bookmarkEnd w:id="324"/>
      <w:r w:rsidR="00A131AD" w:rsidRPr="00155F80">
        <w:t xml:space="preserve"> godina</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647"/>
        <w:gridCol w:w="649"/>
        <w:gridCol w:w="648"/>
        <w:gridCol w:w="649"/>
        <w:gridCol w:w="649"/>
        <w:gridCol w:w="650"/>
        <w:gridCol w:w="648"/>
        <w:gridCol w:w="650"/>
        <w:gridCol w:w="649"/>
        <w:gridCol w:w="649"/>
        <w:gridCol w:w="649"/>
        <w:gridCol w:w="649"/>
        <w:gridCol w:w="6"/>
      </w:tblGrid>
      <w:tr w:rsidR="00A131AD" w:rsidRPr="00A87C61" w:rsidTr="00A87C61">
        <w:trPr>
          <w:trHeight w:val="423"/>
        </w:trPr>
        <w:tc>
          <w:tcPr>
            <w:tcW w:w="1696"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6"/>
                <w:szCs w:val="16"/>
                <w:lang w:val="hr-HR"/>
              </w:rPr>
            </w:pPr>
          </w:p>
          <w:p w:rsidR="00A131AD" w:rsidRPr="00A87C61" w:rsidRDefault="00A131AD" w:rsidP="000C0138">
            <w:pPr>
              <w:pStyle w:val="NoSpacing"/>
              <w:spacing w:line="276" w:lineRule="auto"/>
              <w:ind w:left="113" w:right="113"/>
              <w:rPr>
                <w:sz w:val="16"/>
                <w:szCs w:val="16"/>
              </w:rPr>
            </w:pPr>
            <w:r w:rsidRPr="00A87C61">
              <w:rPr>
                <w:sz w:val="16"/>
                <w:szCs w:val="16"/>
              </w:rPr>
              <w:t>Oboljenja</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2010.</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2011.</w:t>
            </w:r>
          </w:p>
        </w:tc>
        <w:tc>
          <w:tcPr>
            <w:tcW w:w="12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2012.</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2013.</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2014.</w:t>
            </w:r>
          </w:p>
        </w:tc>
        <w:tc>
          <w:tcPr>
            <w:tcW w:w="129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2015.</w:t>
            </w:r>
          </w:p>
        </w:tc>
      </w:tr>
      <w:tr w:rsidR="00A131AD" w:rsidRPr="00A87C61" w:rsidTr="00A87C61">
        <w:trPr>
          <w:gridAfter w:val="1"/>
          <w:wAfter w:w="6" w:type="dxa"/>
          <w:cantSplit/>
          <w:trHeight w:val="1134"/>
        </w:trPr>
        <w:tc>
          <w:tcPr>
            <w:tcW w:w="1696" w:type="dxa"/>
            <w:vMerge/>
            <w:tcBorders>
              <w:top w:val="single" w:sz="4" w:space="0" w:color="auto"/>
              <w:left w:val="single" w:sz="4" w:space="0" w:color="auto"/>
              <w:bottom w:val="single" w:sz="4" w:space="0" w:color="auto"/>
              <w:right w:val="single" w:sz="4" w:space="0" w:color="auto"/>
            </w:tcBorders>
            <w:textDirection w:val="btLr"/>
            <w:vAlign w:val="center"/>
          </w:tcPr>
          <w:p w:rsidR="00A131AD" w:rsidRPr="00A87C61" w:rsidRDefault="00A131AD" w:rsidP="000C0138">
            <w:pPr>
              <w:pStyle w:val="NoSpacing"/>
              <w:spacing w:line="276" w:lineRule="auto"/>
              <w:ind w:left="113" w:right="113"/>
              <w:rPr>
                <w:sz w:val="16"/>
                <w:szCs w:val="16"/>
              </w:rPr>
            </w:pP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6"/>
                <w:szCs w:val="16"/>
              </w:rPr>
            </w:pPr>
            <w:r w:rsidRPr="00A87C61">
              <w:rPr>
                <w:sz w:val="16"/>
                <w:szCs w:val="16"/>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p>
          <w:p w:rsidR="00A131AD" w:rsidRPr="00A87C61" w:rsidRDefault="00A131AD" w:rsidP="000C0138">
            <w:pPr>
              <w:pStyle w:val="NoSpacing"/>
              <w:spacing w:line="276" w:lineRule="auto"/>
              <w:ind w:left="113" w:right="113"/>
              <w:rPr>
                <w:sz w:val="18"/>
                <w:szCs w:val="18"/>
              </w:rPr>
            </w:pPr>
            <w:r w:rsidRPr="00A87C61">
              <w:rPr>
                <w:sz w:val="18"/>
                <w:szCs w:val="18"/>
              </w:rP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p>
          <w:p w:rsidR="00A131AD" w:rsidRPr="00A87C61" w:rsidRDefault="00A131AD" w:rsidP="000C0138">
            <w:pPr>
              <w:pStyle w:val="NoSpacing"/>
              <w:spacing w:line="276" w:lineRule="auto"/>
              <w:ind w:left="113" w:right="113"/>
              <w:rPr>
                <w:sz w:val="18"/>
                <w:szCs w:val="18"/>
              </w:rPr>
            </w:pPr>
            <w:r w:rsidRPr="00A87C61">
              <w:rPr>
                <w:sz w:val="18"/>
                <w:szCs w:val="18"/>
              </w:rP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r w:rsidRPr="00A87C61">
              <w:rPr>
                <w:sz w:val="18"/>
                <w:szCs w:val="18"/>
              </w:rPr>
              <w:b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r>
      <w:tr w:rsidR="00A131AD" w:rsidRPr="00A87C61" w:rsidTr="00A87C61">
        <w:trPr>
          <w:gridAfter w:val="1"/>
          <w:wAfter w:w="6" w:type="dxa"/>
          <w:cantSplit/>
          <w:trHeight w:val="935"/>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rPr>
            </w:pPr>
            <w:r w:rsidRPr="00A87C61">
              <w:rPr>
                <w:sz w:val="16"/>
                <w:szCs w:val="16"/>
              </w:rPr>
              <w:t xml:space="preserve">Mentalni poremećaji i </w:t>
            </w:r>
          </w:p>
          <w:p w:rsidR="00A131AD" w:rsidRPr="00A87C61" w:rsidRDefault="00A131AD" w:rsidP="00A87C61">
            <w:pPr>
              <w:pStyle w:val="NoSpacing"/>
              <w:spacing w:line="276" w:lineRule="auto"/>
              <w:rPr>
                <w:sz w:val="16"/>
                <w:szCs w:val="16"/>
              </w:rPr>
            </w:pPr>
            <w:r w:rsidRPr="00A87C61">
              <w:rPr>
                <w:sz w:val="16"/>
                <w:szCs w:val="16"/>
              </w:rPr>
              <w:t xml:space="preserve">poremećaji ponašanja </w:t>
            </w:r>
          </w:p>
          <w:p w:rsidR="00A131AD" w:rsidRPr="00A87C61" w:rsidRDefault="00A131AD" w:rsidP="00A87C61">
            <w:pPr>
              <w:pStyle w:val="NoSpacing"/>
              <w:spacing w:line="276" w:lineRule="auto"/>
              <w:rPr>
                <w:sz w:val="16"/>
                <w:szCs w:val="16"/>
              </w:rPr>
            </w:pPr>
            <w:r w:rsidRPr="00A87C61">
              <w:rPr>
                <w:sz w:val="16"/>
                <w:szCs w:val="16"/>
              </w:rPr>
              <w:t>uzrokovanih alkoholom (F10)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2.518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2.885</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12,3</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2.827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12,1</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2.777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11,9</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2.686</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11,5</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2.277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9.8</w:t>
            </w:r>
          </w:p>
        </w:tc>
      </w:tr>
      <w:tr w:rsidR="00A131AD" w:rsidRPr="00A87C61" w:rsidTr="00A87C61">
        <w:trPr>
          <w:gridAfter w:val="1"/>
          <w:wAfter w:w="6" w:type="dxa"/>
          <w:cantSplit/>
          <w:trHeight w:val="1257"/>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lang w:val="pl-PL"/>
              </w:rPr>
            </w:pPr>
            <w:r w:rsidRPr="00A87C61">
              <w:rPr>
                <w:sz w:val="16"/>
                <w:szCs w:val="16"/>
                <w:lang w:val="pl-PL"/>
              </w:rPr>
              <w:t xml:space="preserve">Mentalni poremećaji i </w:t>
            </w:r>
          </w:p>
          <w:p w:rsidR="00A131AD" w:rsidRPr="00A87C61" w:rsidRDefault="00A131AD" w:rsidP="00A87C61">
            <w:pPr>
              <w:pStyle w:val="NoSpacing"/>
              <w:spacing w:line="276" w:lineRule="auto"/>
              <w:rPr>
                <w:sz w:val="16"/>
                <w:szCs w:val="16"/>
                <w:lang w:val="pl-PL"/>
              </w:rPr>
            </w:pPr>
            <w:r w:rsidRPr="00A87C61">
              <w:rPr>
                <w:sz w:val="16"/>
                <w:szCs w:val="16"/>
                <w:lang w:val="pl-PL"/>
              </w:rPr>
              <w:t xml:space="preserve">poremećaji ponašanja </w:t>
            </w:r>
          </w:p>
          <w:p w:rsidR="00A131AD" w:rsidRPr="00A87C61" w:rsidRDefault="00A131AD" w:rsidP="00A87C61">
            <w:pPr>
              <w:pStyle w:val="NoSpacing"/>
              <w:spacing w:line="276" w:lineRule="auto"/>
              <w:rPr>
                <w:sz w:val="16"/>
                <w:szCs w:val="16"/>
                <w:lang w:val="pl-PL"/>
              </w:rPr>
            </w:pPr>
            <w:r w:rsidRPr="00A87C61">
              <w:rPr>
                <w:sz w:val="16"/>
                <w:szCs w:val="16"/>
                <w:lang w:val="pl-PL"/>
              </w:rPr>
              <w:t xml:space="preserve">uzrokovanih </w:t>
            </w:r>
            <w:r w:rsidR="00F0369C">
              <w:rPr>
                <w:sz w:val="16"/>
                <w:szCs w:val="16"/>
                <w:lang w:val="pl-PL"/>
              </w:rPr>
              <w:t>upotrebom</w:t>
            </w:r>
          </w:p>
          <w:p w:rsidR="00A131AD" w:rsidRPr="00A87C61" w:rsidRDefault="00A131AD" w:rsidP="00A87C61">
            <w:pPr>
              <w:pStyle w:val="NoSpacing"/>
              <w:spacing w:line="276" w:lineRule="auto"/>
              <w:rPr>
                <w:sz w:val="16"/>
                <w:szCs w:val="16"/>
              </w:rPr>
            </w:pPr>
            <w:r w:rsidRPr="00A87C61">
              <w:rPr>
                <w:sz w:val="16"/>
                <w:szCs w:val="16"/>
              </w:rPr>
              <w:t>psihoaktivnih supstanci (F11-F19)</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1.398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6,0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1.633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1.942</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1.747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7,5</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1.888</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1.768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7,6</w:t>
            </w:r>
          </w:p>
        </w:tc>
      </w:tr>
      <w:tr w:rsidR="00A131AD" w:rsidRPr="00A87C61" w:rsidTr="00A87C61">
        <w:trPr>
          <w:gridAfter w:val="1"/>
          <w:wAfter w:w="6" w:type="dxa"/>
          <w:cantSplit/>
          <w:trHeight w:val="839"/>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rPr>
            </w:pPr>
            <w:r w:rsidRPr="00A87C61">
              <w:rPr>
                <w:sz w:val="16"/>
                <w:szCs w:val="16"/>
              </w:rPr>
              <w:t>Alkoholna oboljenja jetre (K70)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958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1.033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4,4</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87C61" w:rsidP="00A87C61">
            <w:pPr>
              <w:pStyle w:val="NoSpacing"/>
              <w:spacing w:line="276" w:lineRule="auto"/>
              <w:jc w:val="center"/>
              <w:rPr>
                <w:sz w:val="18"/>
                <w:szCs w:val="18"/>
              </w:rPr>
            </w:pPr>
            <w:r w:rsidRPr="00A87C61">
              <w:rPr>
                <w:sz w:val="18"/>
                <w:szCs w:val="18"/>
              </w:rPr>
              <w:t>861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3,7</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1.070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4,6</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800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3,4</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p>
          <w:p w:rsidR="00A131AD" w:rsidRPr="00A87C61" w:rsidRDefault="00A131AD" w:rsidP="00A87C61">
            <w:pPr>
              <w:pStyle w:val="NoSpacing"/>
              <w:spacing w:line="276" w:lineRule="auto"/>
              <w:jc w:val="center"/>
              <w:rPr>
                <w:sz w:val="18"/>
                <w:szCs w:val="18"/>
              </w:rPr>
            </w:pPr>
            <w:r w:rsidRPr="00A87C61">
              <w:rPr>
                <w:sz w:val="18"/>
                <w:szCs w:val="18"/>
              </w:rPr>
              <w:t>601</w:t>
            </w:r>
          </w:p>
          <w:p w:rsidR="00A131AD" w:rsidRPr="00A87C61" w:rsidRDefault="00A131AD" w:rsidP="00A87C61">
            <w:pPr>
              <w:pStyle w:val="NoSpacing"/>
              <w:spacing w:line="276" w:lineRule="auto"/>
              <w:jc w:val="center"/>
              <w:rPr>
                <w:sz w:val="18"/>
                <w:szCs w:val="18"/>
              </w:rPr>
            </w:pP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2,6</w:t>
            </w:r>
          </w:p>
        </w:tc>
      </w:tr>
    </w:tbl>
    <w:p w:rsidR="00A131AD" w:rsidRPr="00DE2289" w:rsidRDefault="00A131AD" w:rsidP="000C0138">
      <w:pPr>
        <w:tabs>
          <w:tab w:val="left" w:pos="9096"/>
        </w:tabs>
        <w:spacing w:line="276" w:lineRule="auto"/>
        <w:rPr>
          <w:rFonts w:ascii="Times New Roman" w:hAnsi="Times New Roman"/>
          <w:sz w:val="20"/>
          <w:szCs w:val="20"/>
        </w:rPr>
      </w:pPr>
      <w:r w:rsidRPr="00DE2289">
        <w:rPr>
          <w:rFonts w:ascii="Times New Roman" w:hAnsi="Times New Roman"/>
          <w:sz w:val="20"/>
          <w:szCs w:val="20"/>
        </w:rPr>
        <w:t xml:space="preserve">Izvor podataka: </w:t>
      </w:r>
      <w:r w:rsidR="000E56ED">
        <w:rPr>
          <w:rFonts w:ascii="Times New Roman" w:hAnsi="Times New Roman"/>
          <w:sz w:val="20"/>
          <w:szCs w:val="20"/>
        </w:rPr>
        <w:t>Izvještaj</w:t>
      </w:r>
      <w:r w:rsidRPr="00DE2289">
        <w:rPr>
          <w:rFonts w:ascii="Times New Roman" w:hAnsi="Times New Roman"/>
          <w:sz w:val="20"/>
          <w:szCs w:val="20"/>
        </w:rPr>
        <w:t xml:space="preserve"> oboljenja, stanja i </w:t>
      </w:r>
      <w:r w:rsidR="00FE3B0D">
        <w:rPr>
          <w:rFonts w:ascii="Times New Roman" w:hAnsi="Times New Roman"/>
          <w:sz w:val="20"/>
          <w:szCs w:val="20"/>
        </w:rPr>
        <w:t>ozljeda</w:t>
      </w:r>
      <w:r w:rsidRPr="00DE2289">
        <w:rPr>
          <w:rFonts w:ascii="Times New Roman" w:hAnsi="Times New Roman"/>
          <w:sz w:val="20"/>
          <w:szCs w:val="20"/>
        </w:rPr>
        <w:t xml:space="preserve"> utvrđeni</w:t>
      </w:r>
      <w:r w:rsidR="00FE3B0D">
        <w:rPr>
          <w:rFonts w:ascii="Times New Roman" w:hAnsi="Times New Roman"/>
          <w:sz w:val="20"/>
          <w:szCs w:val="20"/>
        </w:rPr>
        <w:t>h</w:t>
      </w:r>
      <w:r w:rsidRPr="00DE2289">
        <w:rPr>
          <w:rFonts w:ascii="Times New Roman" w:hAnsi="Times New Roman"/>
          <w:sz w:val="20"/>
          <w:szCs w:val="20"/>
        </w:rPr>
        <w:t xml:space="preserve"> u ambulantno-polikliničkoj djelatnosti</w:t>
      </w:r>
    </w:p>
    <w:p w:rsidR="00A131AD"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b/>
          <w:lang w:val="en-US"/>
        </w:rPr>
      </w:pPr>
      <w:r w:rsidRPr="00155F80">
        <w:rPr>
          <w:rFonts w:ascii="Times New Roman" w:eastAsia="Arial" w:hAnsi="Times New Roman"/>
          <w:b/>
          <w:color w:val="000000"/>
        </w:rPr>
        <w:t>Konzumacija opojnih droga</w:t>
      </w:r>
    </w:p>
    <w:p w:rsidR="00A131AD" w:rsidRPr="00155F80" w:rsidRDefault="00A131AD" w:rsidP="00250204">
      <w:pPr>
        <w:pStyle w:val="TEKST"/>
        <w:rPr>
          <w:rFonts w:eastAsia="Arial"/>
          <w:i/>
        </w:rPr>
      </w:pPr>
      <w:r w:rsidRPr="00155F80">
        <w:rPr>
          <w:rFonts w:eastAsia="Arial"/>
        </w:rPr>
        <w:t>Konzumacija</w:t>
      </w:r>
      <w:r w:rsidR="00A56E47">
        <w:rPr>
          <w:rFonts w:eastAsia="Arial"/>
        </w:rPr>
        <w:t xml:space="preserve"> </w:t>
      </w:r>
      <w:r w:rsidRPr="00155F80">
        <w:rPr>
          <w:rFonts w:eastAsia="Arial"/>
        </w:rPr>
        <w:t xml:space="preserve">opojnih droga, te bolest </w:t>
      </w:r>
      <w:r w:rsidR="00D21A46">
        <w:rPr>
          <w:rFonts w:eastAsia="Arial"/>
        </w:rPr>
        <w:t>zavisnost</w:t>
      </w:r>
      <w:r w:rsidRPr="00155F80">
        <w:rPr>
          <w:rFonts w:eastAsia="Arial"/>
        </w:rPr>
        <w:t xml:space="preserve">i o drogama kao njena posljedica, pogađaju sve društvene slojeve, zajednice i zemlje. Prate je i zarazne bolesti poput HIV-a, hepatitisa i spolno prenosivih bolesti, što nanosi ogromnu štetu, kako pojedincu, tako i </w:t>
      </w:r>
      <w:r w:rsidR="00F0369C">
        <w:rPr>
          <w:rFonts w:eastAsia="Arial"/>
        </w:rPr>
        <w:t>porodici</w:t>
      </w:r>
      <w:r w:rsidRPr="00155F80">
        <w:rPr>
          <w:rFonts w:eastAsia="Arial"/>
        </w:rPr>
        <w:t>, te cijeloj zajednici.</w:t>
      </w:r>
    </w:p>
    <w:p w:rsidR="00A131AD" w:rsidRPr="00155F80" w:rsidRDefault="00A131AD" w:rsidP="00250204">
      <w:pPr>
        <w:pStyle w:val="TEKST"/>
        <w:rPr>
          <w:i/>
        </w:rPr>
      </w:pPr>
      <w:r w:rsidRPr="00155F80">
        <w:t xml:space="preserve">Za procjenu korištenja opojnih sredstava na području Federacije BiH, posljednji </w:t>
      </w:r>
      <w:r w:rsidRPr="00155F80">
        <w:rPr>
          <w:rFonts w:eastAsia="Arial"/>
        </w:rPr>
        <w:t xml:space="preserve">dostupni su </w:t>
      </w:r>
      <w:r w:rsidR="002B489B">
        <w:rPr>
          <w:rFonts w:eastAsia="Arial"/>
        </w:rPr>
        <w:t>podaci</w:t>
      </w:r>
      <w:r w:rsidRPr="00155F80">
        <w:rPr>
          <w:rFonts w:eastAsia="Arial"/>
        </w:rPr>
        <w:t xml:space="preserve"> iz istraživanja koje je rađeno </w:t>
      </w:r>
      <w:r w:rsidRPr="00155F80">
        <w:t xml:space="preserve">kao dodatak MICS4 istraživanju, kojom prilikom je korišten upitnik Europskog centra za praćenje droga i </w:t>
      </w:r>
      <w:r w:rsidR="00D21A46">
        <w:t>zavisnost</w:t>
      </w:r>
      <w:r w:rsidRPr="00155F80">
        <w:t xml:space="preserve">i o drogama (EMCDDA), a primijenjena je metodologija samopopunjavanja. Anketirano je 6.177 ispitanika starosti 15-49 godina oba spola. </w:t>
      </w:r>
    </w:p>
    <w:p w:rsidR="009A5B2B" w:rsidRDefault="00A131AD" w:rsidP="00250204">
      <w:pPr>
        <w:pStyle w:val="TEKST"/>
      </w:pPr>
      <w:r w:rsidRPr="00155F80">
        <w:t xml:space="preserve">Prema rezultatima istraživanja u FBiH je 3,8% odraslog stanovništva probalo neku psihoaktivnu supstancu bilo kada </w:t>
      </w:r>
      <w:r w:rsidR="00F0369C">
        <w:t>tokom</w:t>
      </w:r>
      <w:r w:rsidRPr="00155F80">
        <w:t xml:space="preserve"> života, od toga 6,8% muškaraca i 0,9% žena. Psihoaktivne supstance probalo je najviše ispitanika starosti od 25 do 29 godine života (9,3%), a najmanje stanovnika iz </w:t>
      </w:r>
      <w:r w:rsidR="00D21A46">
        <w:t>grupe</w:t>
      </w:r>
      <w:r w:rsidRPr="00155F80">
        <w:t xml:space="preserve"> od 40 d</w:t>
      </w:r>
      <w:r w:rsidR="003230A0" w:rsidRPr="00155F80">
        <w:t>o 49 godina života.</w:t>
      </w:r>
    </w:p>
    <w:p w:rsidR="00B37E7E" w:rsidRPr="00155F80" w:rsidRDefault="00B37E7E" w:rsidP="00250204">
      <w:pPr>
        <w:pStyle w:val="TEKST"/>
      </w:pPr>
    </w:p>
    <w:p w:rsidR="00A131AD" w:rsidRPr="00155F80" w:rsidRDefault="00A131AD" w:rsidP="00B37E7E">
      <w:pPr>
        <w:pStyle w:val="refererere"/>
      </w:pPr>
      <w:r w:rsidRPr="00155F80">
        <w:t>Grafikon  84: P</w:t>
      </w:r>
      <w:r w:rsidR="00A56E47">
        <w:t>rocenat</w:t>
      </w:r>
      <w:r w:rsidRPr="00155F80">
        <w:t xml:space="preserve"> ispitanika starosti 15-49 godina koji su koristili droge bilo kada u životu,  prema spolu i starosti</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55A512E8" wp14:editId="38D32F8A">
            <wp:extent cx="5591810" cy="1789044"/>
            <wp:effectExtent l="0" t="0" r="8890" b="1905"/>
            <wp:docPr id="4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A131AD" w:rsidRPr="00A87C61" w:rsidRDefault="00A131AD" w:rsidP="00A87C61">
      <w:pPr>
        <w:spacing w:line="276" w:lineRule="auto"/>
        <w:rPr>
          <w:rFonts w:ascii="Times New Roman" w:hAnsi="Times New Roman"/>
          <w:lang w:val="bs-Latn-BA"/>
        </w:rPr>
      </w:pPr>
      <w:r w:rsidRPr="00155F80">
        <w:rPr>
          <w:rFonts w:ascii="Times New Roman" w:hAnsi="Times New Roman"/>
        </w:rPr>
        <w:t>Izvor</w:t>
      </w:r>
      <w:r w:rsidRPr="00155F80">
        <w:rPr>
          <w:rFonts w:ascii="Times New Roman" w:hAnsi="Times New Roman"/>
          <w:lang w:val="bs-Latn-BA"/>
        </w:rPr>
        <w:t xml:space="preserve">: </w:t>
      </w:r>
      <w:r w:rsidRPr="00155F80">
        <w:rPr>
          <w:rFonts w:ascii="Times New Roman" w:hAnsi="Times New Roman"/>
        </w:rPr>
        <w:t>Istra</w:t>
      </w:r>
      <w:r w:rsidRPr="00155F80">
        <w:rPr>
          <w:rFonts w:ascii="Times New Roman" w:hAnsi="Times New Roman"/>
          <w:lang w:val="bs-Latn-BA"/>
        </w:rPr>
        <w:t>ž</w:t>
      </w:r>
      <w:r w:rsidRPr="00155F80">
        <w:rPr>
          <w:rFonts w:ascii="Times New Roman" w:hAnsi="Times New Roman"/>
        </w:rPr>
        <w:t>ivanje</w:t>
      </w:r>
      <w:r w:rsidRPr="00155F80">
        <w:rPr>
          <w:rFonts w:ascii="Times New Roman" w:hAnsi="Times New Roman"/>
          <w:lang w:val="bs-Latn-BA"/>
        </w:rPr>
        <w:t xml:space="preserve"> </w:t>
      </w:r>
      <w:r w:rsidRPr="00155F80">
        <w:rPr>
          <w:rFonts w:ascii="Times New Roman" w:hAnsi="Times New Roman"/>
        </w:rPr>
        <w:t>vi</w:t>
      </w:r>
      <w:r w:rsidRPr="00155F80">
        <w:rPr>
          <w:rFonts w:ascii="Times New Roman" w:hAnsi="Times New Roman"/>
          <w:lang w:val="bs-Latn-BA"/>
        </w:rPr>
        <w:t>š</w:t>
      </w:r>
      <w:r w:rsidRPr="00155F80">
        <w:rPr>
          <w:rFonts w:ascii="Times New Roman" w:hAnsi="Times New Roman"/>
        </w:rPr>
        <w:t>estrukih</w:t>
      </w:r>
      <w:r w:rsidRPr="00155F80">
        <w:rPr>
          <w:rFonts w:ascii="Times New Roman" w:hAnsi="Times New Roman"/>
          <w:lang w:val="bs-Latn-BA"/>
        </w:rPr>
        <w:t xml:space="preserve"> </w:t>
      </w:r>
      <w:r w:rsidR="00CB080B">
        <w:rPr>
          <w:rFonts w:ascii="Times New Roman" w:hAnsi="Times New Roman"/>
        </w:rPr>
        <w:t>pokazatelja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MIC</w:t>
      </w:r>
      <w:r w:rsidRPr="00155F80">
        <w:rPr>
          <w:rFonts w:ascii="Times New Roman" w:hAnsi="Times New Roman"/>
          <w:lang w:val="bs-Latn-BA"/>
        </w:rPr>
        <w:t xml:space="preserve">4, 2011.-2012. </w:t>
      </w:r>
      <w:r w:rsidRPr="00155F80">
        <w:rPr>
          <w:rFonts w:ascii="Times New Roman" w:hAnsi="Times New Roman"/>
        </w:rPr>
        <w:t>god</w:t>
      </w:r>
      <w:r w:rsidR="00A87C61">
        <w:rPr>
          <w:rFonts w:ascii="Times New Roman" w:hAnsi="Times New Roman"/>
          <w:lang w:val="bs-Latn-BA"/>
        </w:rPr>
        <w:t xml:space="preserve">. </w:t>
      </w:r>
    </w:p>
    <w:p w:rsidR="00B37E7E" w:rsidRPr="00A87C61" w:rsidRDefault="00A131AD" w:rsidP="00250204">
      <w:pPr>
        <w:pStyle w:val="TEKST"/>
        <w:rPr>
          <w:color w:val="00B0F0"/>
        </w:rPr>
      </w:pPr>
      <w:r w:rsidRPr="00155F80">
        <w:t>Isto istraživanje je pokazalo da je među ispitanicima koji su koristili droge u posljednjih 12 mjeseci najčešće korišten kanabis/marihuana (38,2%), zatim amfetamin (3,9%), ekstazi (0,9%), LSD (0,5%), kokain (0,2%), te da su ih ispitanici muškog spola češće konzumirali nego žene.</w:t>
      </w:r>
      <w:r w:rsidR="00BD4229" w:rsidRPr="00155F80">
        <w:rPr>
          <w:color w:val="00B0F0"/>
        </w:rPr>
        <w:t xml:space="preserve"> </w:t>
      </w:r>
    </w:p>
    <w:p w:rsidR="00A131AD" w:rsidRPr="00155F80" w:rsidRDefault="00A131AD" w:rsidP="00B37E7E">
      <w:pPr>
        <w:pStyle w:val="refererere"/>
      </w:pPr>
      <w:r w:rsidRPr="00155F80">
        <w:t>Grafikon 85: P</w:t>
      </w:r>
      <w:r w:rsidR="00A56E47">
        <w:t>rocenat</w:t>
      </w:r>
      <w:r w:rsidRPr="00155F80">
        <w:t xml:space="preserve"> </w:t>
      </w:r>
      <w:r w:rsidR="00A80006">
        <w:t>ispitanika</w:t>
      </w:r>
      <w:r w:rsidRPr="00155F80">
        <w:t xml:space="preserve"> koji su koristili droge posljednjih 12 mjeseci, prema vrsti i spolu </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w:drawing>
          <wp:inline distT="0" distB="0" distL="0" distR="0" wp14:anchorId="18D39222" wp14:editId="0799E365">
            <wp:extent cx="5750560" cy="2560320"/>
            <wp:effectExtent l="0" t="0" r="2540" b="11430"/>
            <wp:docPr id="4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A131AD" w:rsidRPr="00155F80" w:rsidRDefault="00A131AD" w:rsidP="000C0138">
      <w:pPr>
        <w:spacing w:line="276" w:lineRule="auto"/>
        <w:rPr>
          <w:rFonts w:ascii="Times New Roman" w:hAnsi="Times New Roman"/>
          <w:lang w:val="bs-Latn-BA"/>
        </w:rPr>
      </w:pPr>
      <w:r w:rsidRPr="00155F80">
        <w:rPr>
          <w:rFonts w:ascii="Times New Roman" w:hAnsi="Times New Roman"/>
        </w:rPr>
        <w:t>Izvor</w:t>
      </w:r>
      <w:r w:rsidRPr="00155F80">
        <w:rPr>
          <w:rFonts w:ascii="Times New Roman" w:hAnsi="Times New Roman"/>
          <w:lang w:val="bs-Latn-BA"/>
        </w:rPr>
        <w:t xml:space="preserve">: </w:t>
      </w:r>
      <w:r w:rsidRPr="00155F80">
        <w:rPr>
          <w:rFonts w:ascii="Times New Roman" w:hAnsi="Times New Roman"/>
        </w:rPr>
        <w:t>Istra</w:t>
      </w:r>
      <w:r w:rsidRPr="00155F80">
        <w:rPr>
          <w:rFonts w:ascii="Times New Roman" w:hAnsi="Times New Roman"/>
          <w:lang w:val="bs-Latn-BA"/>
        </w:rPr>
        <w:t>ž</w:t>
      </w:r>
      <w:r w:rsidRPr="00155F80">
        <w:rPr>
          <w:rFonts w:ascii="Times New Roman" w:hAnsi="Times New Roman"/>
        </w:rPr>
        <w:t>ivanje</w:t>
      </w:r>
      <w:r w:rsidRPr="00155F80">
        <w:rPr>
          <w:rFonts w:ascii="Times New Roman" w:hAnsi="Times New Roman"/>
          <w:lang w:val="bs-Latn-BA"/>
        </w:rPr>
        <w:t xml:space="preserve"> </w:t>
      </w:r>
      <w:r w:rsidRPr="00155F80">
        <w:rPr>
          <w:rFonts w:ascii="Times New Roman" w:hAnsi="Times New Roman"/>
        </w:rPr>
        <w:t>vi</w:t>
      </w:r>
      <w:r w:rsidRPr="00155F80">
        <w:rPr>
          <w:rFonts w:ascii="Times New Roman" w:hAnsi="Times New Roman"/>
          <w:lang w:val="bs-Latn-BA"/>
        </w:rPr>
        <w:t>š</w:t>
      </w:r>
      <w:r w:rsidRPr="00155F80">
        <w:rPr>
          <w:rFonts w:ascii="Times New Roman" w:hAnsi="Times New Roman"/>
        </w:rPr>
        <w:t>estrukih</w:t>
      </w:r>
      <w:r w:rsidRPr="00155F80">
        <w:rPr>
          <w:rFonts w:ascii="Times New Roman" w:hAnsi="Times New Roman"/>
          <w:lang w:val="bs-Latn-BA"/>
        </w:rPr>
        <w:t xml:space="preserve"> </w:t>
      </w:r>
      <w:r w:rsidR="00CB080B">
        <w:rPr>
          <w:rFonts w:ascii="Times New Roman" w:hAnsi="Times New Roman"/>
        </w:rPr>
        <w:t>pokazatelja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MIC</w:t>
      </w:r>
      <w:r w:rsidRPr="00155F80">
        <w:rPr>
          <w:rFonts w:ascii="Times New Roman" w:hAnsi="Times New Roman"/>
          <w:lang w:val="bs-Latn-BA"/>
        </w:rPr>
        <w:t xml:space="preserve">4, 2011.-2012. </w:t>
      </w:r>
      <w:r w:rsidRPr="00155F80">
        <w:rPr>
          <w:rFonts w:ascii="Times New Roman" w:hAnsi="Times New Roman"/>
        </w:rPr>
        <w:t>god</w:t>
      </w:r>
      <w:r w:rsidRPr="00155F80">
        <w:rPr>
          <w:rFonts w:ascii="Times New Roman" w:hAnsi="Times New Roman"/>
          <w:lang w:val="bs-Latn-BA"/>
        </w:rPr>
        <w:t xml:space="preserve">. </w:t>
      </w:r>
    </w:p>
    <w:p w:rsidR="00A131AD" w:rsidRPr="00155F80" w:rsidRDefault="00A131AD" w:rsidP="000C0138">
      <w:pPr>
        <w:spacing w:line="276" w:lineRule="auto"/>
        <w:rPr>
          <w:rFonts w:ascii="Times New Roman" w:hAnsi="Times New Roman"/>
          <w:b/>
          <w:bCs/>
          <w:iCs/>
          <w:color w:val="000000"/>
          <w:lang w:val="bs-Latn-BA"/>
        </w:rPr>
      </w:pPr>
    </w:p>
    <w:p w:rsidR="00BD4229" w:rsidRPr="00DA3256" w:rsidRDefault="00BD4229" w:rsidP="000C0138">
      <w:pPr>
        <w:spacing w:line="276" w:lineRule="auto"/>
        <w:rPr>
          <w:rFonts w:ascii="Times New Roman" w:hAnsi="Times New Roman"/>
          <w:b/>
        </w:rPr>
      </w:pPr>
      <w:r w:rsidRPr="00DA3256">
        <w:rPr>
          <w:rFonts w:ascii="Times New Roman" w:hAnsi="Times New Roman"/>
        </w:rPr>
        <w:t xml:space="preserve">Prema </w:t>
      </w:r>
      <w:r w:rsidR="002B489B">
        <w:rPr>
          <w:rFonts w:ascii="Times New Roman" w:hAnsi="Times New Roman"/>
        </w:rPr>
        <w:t>podaci</w:t>
      </w:r>
      <w:r w:rsidRPr="00DA3256">
        <w:rPr>
          <w:rFonts w:ascii="Times New Roman" w:hAnsi="Times New Roman"/>
        </w:rPr>
        <w:t xml:space="preserve">ma iz Registra liječenih </w:t>
      </w:r>
      <w:r w:rsidR="00A80006">
        <w:rPr>
          <w:rFonts w:ascii="Times New Roman" w:hAnsi="Times New Roman"/>
        </w:rPr>
        <w:t>zavisnika</w:t>
      </w:r>
      <w:r w:rsidRPr="00DA3256">
        <w:rPr>
          <w:rFonts w:ascii="Times New Roman" w:hAnsi="Times New Roman"/>
        </w:rPr>
        <w:t xml:space="preserve"> F</w:t>
      </w:r>
      <w:r w:rsidR="00155F80" w:rsidRPr="00DA3256">
        <w:rPr>
          <w:rFonts w:ascii="Times New Roman" w:hAnsi="Times New Roman"/>
        </w:rPr>
        <w:t xml:space="preserve">ederacije </w:t>
      </w:r>
      <w:r w:rsidRPr="00DA3256">
        <w:rPr>
          <w:rFonts w:ascii="Times New Roman" w:hAnsi="Times New Roman"/>
        </w:rPr>
        <w:t>BiH do kraja 2015.</w:t>
      </w:r>
      <w:r w:rsidR="00155F80" w:rsidRPr="00DA3256">
        <w:rPr>
          <w:rFonts w:ascii="Times New Roman" w:hAnsi="Times New Roman"/>
        </w:rPr>
        <w:t xml:space="preserve"> </w:t>
      </w:r>
      <w:r w:rsidRPr="00DA3256">
        <w:rPr>
          <w:rFonts w:ascii="Times New Roman" w:hAnsi="Times New Roman"/>
        </w:rPr>
        <w:t xml:space="preserve">godine </w:t>
      </w:r>
      <w:r w:rsidR="00A80006">
        <w:rPr>
          <w:rFonts w:ascii="Times New Roman" w:hAnsi="Times New Roman"/>
        </w:rPr>
        <w:t>registrovano</w:t>
      </w:r>
      <w:r w:rsidRPr="00DA3256">
        <w:rPr>
          <w:rFonts w:ascii="Times New Roman" w:hAnsi="Times New Roman"/>
        </w:rPr>
        <w:t xml:space="preserve"> je 1.610 liječenih </w:t>
      </w:r>
      <w:r w:rsidR="00A80006">
        <w:rPr>
          <w:rFonts w:ascii="Times New Roman" w:hAnsi="Times New Roman"/>
        </w:rPr>
        <w:t>zavisnika</w:t>
      </w:r>
      <w:r w:rsidRPr="00DA3256">
        <w:rPr>
          <w:rFonts w:ascii="Times New Roman" w:hAnsi="Times New Roman"/>
        </w:rPr>
        <w:t>, od čega ih je 1.443 muškog, a 167 ženskog spola.</w:t>
      </w:r>
    </w:p>
    <w:p w:rsidR="00BD4229" w:rsidRDefault="00155F80" w:rsidP="000C0138">
      <w:pPr>
        <w:spacing w:line="276" w:lineRule="auto"/>
        <w:rPr>
          <w:rFonts w:ascii="Times New Roman" w:hAnsi="Times New Roman"/>
        </w:rPr>
      </w:pPr>
      <w:r w:rsidRPr="00DA3256">
        <w:rPr>
          <w:rFonts w:ascii="Times New Roman" w:hAnsi="Times New Roman"/>
        </w:rPr>
        <w:t>P</w:t>
      </w:r>
      <w:r w:rsidR="00BD4229" w:rsidRPr="00DA3256">
        <w:rPr>
          <w:rFonts w:ascii="Times New Roman" w:hAnsi="Times New Roman"/>
        </w:rPr>
        <w:t xml:space="preserve">rema starosti i spolu osoba koje su u tretmanu, najviše ih pripada starosnoj </w:t>
      </w:r>
      <w:r w:rsidR="00A80006">
        <w:rPr>
          <w:rFonts w:ascii="Times New Roman" w:hAnsi="Times New Roman"/>
        </w:rPr>
        <w:t>grupi</w:t>
      </w:r>
      <w:r w:rsidR="00BD4229" w:rsidRPr="00DA3256">
        <w:rPr>
          <w:rFonts w:ascii="Times New Roman" w:hAnsi="Times New Roman"/>
        </w:rPr>
        <w:t xml:space="preserve"> od 30-34 godine, te 35-39 godina. U</w:t>
      </w:r>
      <w:r w:rsidRPr="00DA3256">
        <w:rPr>
          <w:rFonts w:ascii="Times New Roman" w:hAnsi="Times New Roman"/>
        </w:rPr>
        <w:t xml:space="preserve">kupno je u toj </w:t>
      </w:r>
      <w:r w:rsidR="00A80006">
        <w:rPr>
          <w:rFonts w:ascii="Times New Roman" w:hAnsi="Times New Roman"/>
        </w:rPr>
        <w:t>starosnoj</w:t>
      </w:r>
      <w:r w:rsidRPr="00DA3256">
        <w:rPr>
          <w:rFonts w:ascii="Times New Roman" w:hAnsi="Times New Roman"/>
        </w:rPr>
        <w:t xml:space="preserve"> </w:t>
      </w:r>
      <w:r w:rsidR="00A80006">
        <w:rPr>
          <w:rFonts w:ascii="Times New Roman" w:hAnsi="Times New Roman"/>
        </w:rPr>
        <w:t>grupi</w:t>
      </w:r>
      <w:r w:rsidR="00BD4229" w:rsidRPr="00DA3256">
        <w:rPr>
          <w:rFonts w:ascii="Times New Roman" w:hAnsi="Times New Roman"/>
        </w:rPr>
        <w:t xml:space="preserve"> 492 </w:t>
      </w:r>
      <w:r w:rsidR="00A80006">
        <w:rPr>
          <w:rFonts w:ascii="Times New Roman" w:hAnsi="Times New Roman"/>
        </w:rPr>
        <w:t>registrovanih</w:t>
      </w:r>
      <w:r w:rsidR="00BD4229" w:rsidRPr="00DA3256">
        <w:rPr>
          <w:rFonts w:ascii="Times New Roman" w:hAnsi="Times New Roman"/>
        </w:rPr>
        <w:t xml:space="preserve"> </w:t>
      </w:r>
      <w:r w:rsidR="00A80006">
        <w:rPr>
          <w:rFonts w:ascii="Times New Roman" w:hAnsi="Times New Roman"/>
        </w:rPr>
        <w:t>zavisnika</w:t>
      </w:r>
      <w:r w:rsidR="00BD4229" w:rsidRPr="00DA3256">
        <w:rPr>
          <w:rFonts w:ascii="Times New Roman" w:hAnsi="Times New Roman"/>
        </w:rPr>
        <w:t xml:space="preserve"> na tretmanu. Unutar </w:t>
      </w:r>
      <w:r w:rsidR="00A80006">
        <w:rPr>
          <w:rFonts w:ascii="Times New Roman" w:hAnsi="Times New Roman"/>
        </w:rPr>
        <w:t>starosne</w:t>
      </w:r>
      <w:r w:rsidR="00BD4229" w:rsidRPr="00DA3256">
        <w:rPr>
          <w:rFonts w:ascii="Times New Roman" w:hAnsi="Times New Roman"/>
        </w:rPr>
        <w:t xml:space="preserve"> </w:t>
      </w:r>
      <w:r w:rsidR="00D21A46">
        <w:rPr>
          <w:rFonts w:ascii="Times New Roman" w:hAnsi="Times New Roman"/>
        </w:rPr>
        <w:t>grupe</w:t>
      </w:r>
      <w:r w:rsidR="00BD4229" w:rsidRPr="00DA3256">
        <w:rPr>
          <w:rFonts w:ascii="Times New Roman" w:hAnsi="Times New Roman"/>
        </w:rPr>
        <w:t xml:space="preserve"> od 35-39</w:t>
      </w:r>
      <w:r w:rsidRPr="00DA3256">
        <w:rPr>
          <w:rFonts w:ascii="Times New Roman" w:hAnsi="Times New Roman"/>
        </w:rPr>
        <w:t xml:space="preserve"> godina ukupno je na tretmanu u</w:t>
      </w:r>
      <w:r w:rsidR="00BD4229" w:rsidRPr="00DA3256">
        <w:rPr>
          <w:rFonts w:ascii="Times New Roman" w:hAnsi="Times New Roman"/>
        </w:rPr>
        <w:t xml:space="preserve"> 2015.</w:t>
      </w:r>
      <w:r w:rsidRPr="00DA3256">
        <w:rPr>
          <w:rFonts w:ascii="Times New Roman" w:hAnsi="Times New Roman"/>
        </w:rPr>
        <w:t xml:space="preserve"> godini</w:t>
      </w:r>
      <w:r w:rsidR="00BD4229" w:rsidRPr="00DA3256">
        <w:rPr>
          <w:rFonts w:ascii="Times New Roman" w:hAnsi="Times New Roman"/>
        </w:rPr>
        <w:t xml:space="preserve"> </w:t>
      </w:r>
      <w:r w:rsidR="00A80006">
        <w:rPr>
          <w:rFonts w:ascii="Times New Roman" w:hAnsi="Times New Roman"/>
        </w:rPr>
        <w:t>registrovano</w:t>
      </w:r>
      <w:r w:rsidR="00BD4229" w:rsidRPr="00DA3256">
        <w:rPr>
          <w:rFonts w:ascii="Times New Roman" w:hAnsi="Times New Roman"/>
        </w:rPr>
        <w:t xml:space="preserve"> 437 osoba te je u mlađoj </w:t>
      </w:r>
      <w:r w:rsidR="00A80006">
        <w:rPr>
          <w:rFonts w:ascii="Times New Roman" w:hAnsi="Times New Roman"/>
        </w:rPr>
        <w:t>starosnoj</w:t>
      </w:r>
      <w:r w:rsidR="00BD4229" w:rsidRPr="00DA3256">
        <w:rPr>
          <w:rFonts w:ascii="Times New Roman" w:hAnsi="Times New Roman"/>
        </w:rPr>
        <w:t xml:space="preserve"> </w:t>
      </w:r>
      <w:r w:rsidR="00A80006">
        <w:rPr>
          <w:rFonts w:ascii="Times New Roman" w:hAnsi="Times New Roman"/>
        </w:rPr>
        <w:t>grupi</w:t>
      </w:r>
      <w:r w:rsidR="00BD4229" w:rsidRPr="00DA3256">
        <w:rPr>
          <w:rFonts w:ascii="Times New Roman" w:hAnsi="Times New Roman"/>
        </w:rPr>
        <w:t xml:space="preserve"> od 25-29 godini na tretmanu 158 osoba.</w:t>
      </w:r>
    </w:p>
    <w:p w:rsidR="003066C2" w:rsidRPr="00DA3256" w:rsidRDefault="003066C2" w:rsidP="000C0138">
      <w:pPr>
        <w:spacing w:line="276" w:lineRule="auto"/>
        <w:rPr>
          <w:rFonts w:ascii="Times New Roman" w:hAnsi="Times New Roman"/>
          <w:b/>
        </w:rPr>
      </w:pPr>
    </w:p>
    <w:p w:rsidR="00BD4229" w:rsidRDefault="00BD4229" w:rsidP="000C0138">
      <w:pPr>
        <w:spacing w:line="276" w:lineRule="auto"/>
        <w:rPr>
          <w:rFonts w:ascii="Times New Roman" w:hAnsi="Times New Roman"/>
        </w:rPr>
      </w:pPr>
      <w:r w:rsidRPr="00DA3256">
        <w:rPr>
          <w:rFonts w:ascii="Times New Roman" w:hAnsi="Times New Roman"/>
        </w:rPr>
        <w:t xml:space="preserve">Od prijavljenih heroinskih </w:t>
      </w:r>
      <w:r w:rsidR="00A80006">
        <w:rPr>
          <w:rFonts w:ascii="Times New Roman" w:hAnsi="Times New Roman"/>
        </w:rPr>
        <w:t>zavisnika</w:t>
      </w:r>
      <w:r w:rsidRPr="00DA3256">
        <w:rPr>
          <w:rFonts w:ascii="Times New Roman" w:hAnsi="Times New Roman"/>
        </w:rPr>
        <w:t xml:space="preserve"> njih 130-oro je prvi put konzumiralo heroin u dobi od 30-34 godine, a 49 </w:t>
      </w:r>
      <w:r w:rsidR="00A80006">
        <w:rPr>
          <w:rFonts w:ascii="Times New Roman" w:hAnsi="Times New Roman"/>
        </w:rPr>
        <w:t>zavisnika</w:t>
      </w:r>
      <w:r w:rsidRPr="00DA3256">
        <w:rPr>
          <w:rFonts w:ascii="Times New Roman" w:hAnsi="Times New Roman"/>
        </w:rPr>
        <w:t xml:space="preserve"> u dobi od 25-29 godina.</w:t>
      </w:r>
    </w:p>
    <w:p w:rsidR="003066C2" w:rsidRPr="00DA3256" w:rsidRDefault="003066C2" w:rsidP="000C0138">
      <w:pPr>
        <w:spacing w:line="276" w:lineRule="auto"/>
        <w:rPr>
          <w:rFonts w:ascii="Times New Roman" w:hAnsi="Times New Roman"/>
          <w:b/>
        </w:rPr>
      </w:pPr>
    </w:p>
    <w:p w:rsidR="00BD4229" w:rsidRDefault="00BD4229" w:rsidP="000C0138">
      <w:pPr>
        <w:spacing w:line="276" w:lineRule="auto"/>
        <w:rPr>
          <w:rFonts w:ascii="Times New Roman" w:hAnsi="Times New Roman"/>
        </w:rPr>
      </w:pPr>
      <w:r w:rsidRPr="00DA3256">
        <w:rPr>
          <w:rFonts w:ascii="Times New Roman" w:hAnsi="Times New Roman"/>
        </w:rPr>
        <w:t xml:space="preserve">Što se tiče zdravlja liječenih </w:t>
      </w:r>
      <w:r w:rsidR="00A80006">
        <w:rPr>
          <w:rFonts w:ascii="Times New Roman" w:hAnsi="Times New Roman"/>
        </w:rPr>
        <w:t>zavisnika</w:t>
      </w:r>
      <w:r w:rsidRPr="00DA3256">
        <w:rPr>
          <w:rFonts w:ascii="Times New Roman" w:hAnsi="Times New Roman"/>
        </w:rPr>
        <w:t xml:space="preserve"> i komorbiditeta sa drugim poremećajima/bolestima, u 2015.godini evidentirano je 33 </w:t>
      </w:r>
      <w:r w:rsidR="00A80006">
        <w:rPr>
          <w:rFonts w:ascii="Times New Roman" w:hAnsi="Times New Roman"/>
        </w:rPr>
        <w:t>zavisnika</w:t>
      </w:r>
      <w:r w:rsidR="00155F80" w:rsidRPr="00DA3256">
        <w:rPr>
          <w:rFonts w:ascii="Times New Roman" w:hAnsi="Times New Roman"/>
        </w:rPr>
        <w:t xml:space="preserve"> </w:t>
      </w:r>
      <w:r w:rsidRPr="00DA3256">
        <w:rPr>
          <w:rFonts w:ascii="Times New Roman" w:hAnsi="Times New Roman"/>
        </w:rPr>
        <w:t xml:space="preserve">pozitivnih na HVB (31 muškarac i 2 žene) i 113 </w:t>
      </w:r>
      <w:r w:rsidR="00A80006">
        <w:rPr>
          <w:rFonts w:ascii="Times New Roman" w:hAnsi="Times New Roman"/>
        </w:rPr>
        <w:t>zavisnika</w:t>
      </w:r>
      <w:r w:rsidR="00F13BC4" w:rsidRPr="00DA3256">
        <w:rPr>
          <w:rFonts w:ascii="Times New Roman" w:hAnsi="Times New Roman"/>
        </w:rPr>
        <w:t xml:space="preserve"> </w:t>
      </w:r>
      <w:r w:rsidRPr="00DA3256">
        <w:rPr>
          <w:rFonts w:ascii="Times New Roman" w:hAnsi="Times New Roman"/>
        </w:rPr>
        <w:t xml:space="preserve">pozitivnih na HVC (105 muškarca i 8 žena). </w:t>
      </w:r>
    </w:p>
    <w:p w:rsidR="003066C2" w:rsidRPr="00DA3256" w:rsidRDefault="003066C2" w:rsidP="000C0138">
      <w:pPr>
        <w:spacing w:line="276" w:lineRule="auto"/>
        <w:rPr>
          <w:rFonts w:ascii="Times New Roman" w:hAnsi="Times New Roman"/>
          <w:b/>
        </w:rPr>
      </w:pPr>
    </w:p>
    <w:p w:rsidR="00BD4229" w:rsidRPr="00DA3256" w:rsidRDefault="00BD4229" w:rsidP="000C0138">
      <w:pPr>
        <w:spacing w:line="276" w:lineRule="auto"/>
        <w:rPr>
          <w:rFonts w:ascii="Times New Roman" w:hAnsi="Times New Roman"/>
          <w:b/>
        </w:rPr>
      </w:pPr>
      <w:r w:rsidRPr="00DA3256">
        <w:rPr>
          <w:rFonts w:ascii="Times New Roman" w:hAnsi="Times New Roman"/>
        </w:rPr>
        <w:t xml:space="preserve">Pored </w:t>
      </w:r>
      <w:r w:rsidR="00D21A46">
        <w:rPr>
          <w:rFonts w:ascii="Times New Roman" w:hAnsi="Times New Roman"/>
        </w:rPr>
        <w:t>zavisnost</w:t>
      </w:r>
      <w:r w:rsidRPr="00DA3256">
        <w:rPr>
          <w:rFonts w:ascii="Times New Roman" w:hAnsi="Times New Roman"/>
        </w:rPr>
        <w:t xml:space="preserve">i o drogama, kod 37 </w:t>
      </w:r>
      <w:r w:rsidR="00A80006">
        <w:rPr>
          <w:rFonts w:ascii="Times New Roman" w:hAnsi="Times New Roman"/>
        </w:rPr>
        <w:t>registrovanih</w:t>
      </w:r>
      <w:r w:rsidRPr="00DA3256">
        <w:rPr>
          <w:rFonts w:ascii="Times New Roman" w:hAnsi="Times New Roman"/>
        </w:rPr>
        <w:t xml:space="preserve"> osoba evidentiran je i alkoholizam</w:t>
      </w:r>
      <w:r w:rsidR="00F13BC4" w:rsidRPr="00DA3256">
        <w:rPr>
          <w:rFonts w:ascii="Times New Roman" w:hAnsi="Times New Roman"/>
        </w:rPr>
        <w:t>,</w:t>
      </w:r>
      <w:r w:rsidRPr="00DA3256">
        <w:rPr>
          <w:rFonts w:ascii="Times New Roman" w:hAnsi="Times New Roman"/>
        </w:rPr>
        <w:t xml:space="preserve"> te kod 20 osoba i druga vrsta </w:t>
      </w:r>
      <w:r w:rsidR="00D21A46">
        <w:rPr>
          <w:rFonts w:ascii="Times New Roman" w:hAnsi="Times New Roman"/>
        </w:rPr>
        <w:t>zavisnost</w:t>
      </w:r>
      <w:r w:rsidRPr="00DA3256">
        <w:rPr>
          <w:rFonts w:ascii="Times New Roman" w:hAnsi="Times New Roman"/>
        </w:rPr>
        <w:t xml:space="preserve">i o opojnim sredstvima. Pored ovoga, kod 8 liječenih </w:t>
      </w:r>
      <w:r w:rsidR="00A80006">
        <w:rPr>
          <w:rFonts w:ascii="Times New Roman" w:hAnsi="Times New Roman"/>
        </w:rPr>
        <w:t>zavisnika</w:t>
      </w:r>
      <w:r w:rsidRPr="00DA3256">
        <w:rPr>
          <w:rFonts w:ascii="Times New Roman" w:hAnsi="Times New Roman"/>
        </w:rPr>
        <w:t xml:space="preserve"> je registrirana depresija, te kod 5 i pokušaj suicida.</w:t>
      </w:r>
    </w:p>
    <w:p w:rsidR="00BD4229" w:rsidRPr="00155F80" w:rsidRDefault="00BD4229" w:rsidP="000C0138">
      <w:pPr>
        <w:spacing w:line="276" w:lineRule="auto"/>
        <w:rPr>
          <w:rFonts w:ascii="Times New Roman" w:hAnsi="Times New Roman"/>
          <w:b/>
          <w:bCs/>
          <w:iCs/>
          <w:color w:val="000000"/>
          <w:lang w:val="bs-Latn-BA"/>
        </w:rPr>
      </w:pPr>
    </w:p>
    <w:p w:rsidR="00A131AD" w:rsidRPr="00155F80" w:rsidRDefault="00A131AD" w:rsidP="000C0138">
      <w:pPr>
        <w:spacing w:line="276" w:lineRule="auto"/>
        <w:rPr>
          <w:rFonts w:ascii="Times New Roman" w:hAnsi="Times New Roman"/>
          <w:b/>
          <w:bCs/>
          <w:iCs/>
          <w:color w:val="000000"/>
          <w:lang w:val="hr-HR"/>
        </w:rPr>
      </w:pPr>
      <w:r w:rsidRPr="00155F80">
        <w:rPr>
          <w:rFonts w:ascii="Times New Roman" w:hAnsi="Times New Roman"/>
          <w:b/>
          <w:bCs/>
          <w:iCs/>
          <w:color w:val="000000"/>
          <w:lang w:val="hr-HR"/>
        </w:rPr>
        <w:t>Injekci</w:t>
      </w:r>
      <w:r w:rsidR="00A56E47">
        <w:rPr>
          <w:rFonts w:ascii="Times New Roman" w:hAnsi="Times New Roman"/>
          <w:b/>
          <w:bCs/>
          <w:iCs/>
          <w:color w:val="000000"/>
          <w:lang w:val="hr-HR"/>
        </w:rPr>
        <w:t>jski</w:t>
      </w:r>
      <w:r w:rsidRPr="00155F80">
        <w:rPr>
          <w:rFonts w:ascii="Times New Roman" w:hAnsi="Times New Roman"/>
          <w:b/>
          <w:bCs/>
          <w:iCs/>
          <w:color w:val="000000"/>
          <w:lang w:val="hr-HR"/>
        </w:rPr>
        <w:t xml:space="preserve"> korisnici droga (IKD)</w:t>
      </w:r>
    </w:p>
    <w:p w:rsidR="00E05270" w:rsidRPr="00662AE4" w:rsidRDefault="00A131AD" w:rsidP="00250204">
      <w:pPr>
        <w:pStyle w:val="TEKST"/>
        <w:rPr>
          <w:i/>
        </w:rPr>
      </w:pPr>
      <w:r w:rsidRPr="00155F80">
        <w:t xml:space="preserve">Usporedni </w:t>
      </w:r>
      <w:r w:rsidR="002B489B">
        <w:t>podaci</w:t>
      </w:r>
      <w:r w:rsidRPr="00155F80">
        <w:t xml:space="preserve"> četiri BSS studije provedene 2007., 2009. i 2012. i 2015.  godine među injekci</w:t>
      </w:r>
      <w:r w:rsidR="00A56E47">
        <w:t>jskim</w:t>
      </w:r>
      <w:r w:rsidRPr="00155F80">
        <w:t xml:space="preserve"> korisnicima droga u BiH u tri grada (Sarajevo, Zenica, Banjaluka), te u 2012. godini u Mostaru i Bijeljini, pokazuju da je hepatitis C virusna infekcija konstantan rizik među injekci</w:t>
      </w:r>
      <w:r w:rsidR="00A56E47">
        <w:t>jskim</w:t>
      </w:r>
      <w:r w:rsidRPr="00155F80">
        <w:t xml:space="preserve"> korisnicima droga, što sugerira potrebu njihovog boljeg obuhvata, posebno testiranjem na HCV.</w:t>
      </w:r>
    </w:p>
    <w:p w:rsidR="00E05270" w:rsidRDefault="00E05270" w:rsidP="000C0138">
      <w:pPr>
        <w:spacing w:line="276" w:lineRule="auto"/>
        <w:jc w:val="left"/>
        <w:rPr>
          <w:rFonts w:ascii="Times New Roman" w:hAnsi="Times New Roman"/>
          <w:iCs/>
        </w:rPr>
      </w:pPr>
    </w:p>
    <w:p w:rsidR="003066C2" w:rsidRDefault="003066C2" w:rsidP="00B37E7E">
      <w:pPr>
        <w:pStyle w:val="refererere"/>
      </w:pPr>
    </w:p>
    <w:p w:rsidR="0050445F" w:rsidRDefault="0050445F" w:rsidP="00B37E7E">
      <w:pPr>
        <w:pStyle w:val="refererere"/>
      </w:pPr>
    </w:p>
    <w:p w:rsidR="003066C2" w:rsidRDefault="003066C2" w:rsidP="00B37E7E">
      <w:pPr>
        <w:pStyle w:val="refererere"/>
      </w:pPr>
    </w:p>
    <w:p w:rsidR="00A131AD" w:rsidRPr="00155F80" w:rsidRDefault="00A131AD" w:rsidP="00B37E7E">
      <w:pPr>
        <w:pStyle w:val="refererere"/>
      </w:pPr>
      <w:r w:rsidRPr="00155F80">
        <w:t>Grafikon</w:t>
      </w:r>
      <w:r w:rsidRPr="00155F80">
        <w:rPr>
          <w:lang w:val="hr-HR"/>
        </w:rPr>
        <w:t xml:space="preserve"> 86: </w:t>
      </w:r>
      <w:r w:rsidRPr="00155F80">
        <w:t>Seroprevalenca</w:t>
      </w:r>
      <w:r w:rsidRPr="00155F80">
        <w:rPr>
          <w:lang w:val="hr-HR"/>
        </w:rPr>
        <w:t xml:space="preserve"> </w:t>
      </w:r>
      <w:r w:rsidRPr="00155F80">
        <w:t>HIV</w:t>
      </w:r>
      <w:r w:rsidRPr="00155F80">
        <w:rPr>
          <w:lang w:val="hr-HR"/>
        </w:rPr>
        <w:t>/</w:t>
      </w:r>
      <w:r w:rsidRPr="00155F80">
        <w:t>SPI</w:t>
      </w:r>
      <w:r w:rsidRPr="00155F80">
        <w:rPr>
          <w:lang w:val="hr-HR"/>
        </w:rPr>
        <w:t xml:space="preserve"> </w:t>
      </w:r>
      <w:r w:rsidRPr="00155F80">
        <w:t>me</w:t>
      </w:r>
      <w:r w:rsidRPr="00155F80">
        <w:rPr>
          <w:lang w:val="hr-HR"/>
        </w:rPr>
        <w:t>đ</w:t>
      </w:r>
      <w:r w:rsidRPr="00155F80">
        <w:t>u</w:t>
      </w:r>
      <w:r w:rsidRPr="00155F80">
        <w:rPr>
          <w:lang w:val="hr-HR"/>
        </w:rPr>
        <w:t xml:space="preserve"> </w:t>
      </w:r>
      <w:r w:rsidRPr="00155F80">
        <w:t>injekci</w:t>
      </w:r>
      <w:r w:rsidR="00A56E47">
        <w:t>jskim</w:t>
      </w:r>
      <w:r w:rsidRPr="00155F80">
        <w:rPr>
          <w:lang w:val="hr-HR"/>
        </w:rPr>
        <w:t xml:space="preserve"> </w:t>
      </w:r>
      <w:r w:rsidRPr="00155F80">
        <w:t>korisnicima</w:t>
      </w:r>
      <w:r w:rsidRPr="00155F80">
        <w:rPr>
          <w:lang w:val="hr-HR"/>
        </w:rPr>
        <w:t xml:space="preserve"> </w:t>
      </w:r>
      <w:r w:rsidRPr="00155F80">
        <w:t>droga</w:t>
      </w:r>
      <w:r w:rsidRPr="00155F80">
        <w:rPr>
          <w:lang w:val="hr-HR"/>
        </w:rPr>
        <w:t xml:space="preserve">, </w:t>
      </w:r>
      <w:r w:rsidRPr="00155F80">
        <w:t>po</w:t>
      </w:r>
      <w:r w:rsidRPr="00155F80">
        <w:rPr>
          <w:lang w:val="hr-HR"/>
        </w:rPr>
        <w:t xml:space="preserve"> </w:t>
      </w:r>
      <w:r w:rsidRPr="00155F80">
        <w:t>godinama</w:t>
      </w:r>
      <w:r w:rsidRPr="00155F80">
        <w:rPr>
          <w:lang w:val="hr-HR"/>
        </w:rPr>
        <w:t xml:space="preserve"> </w:t>
      </w:r>
      <w:r w:rsidRPr="00155F80">
        <w:t>istra</w:t>
      </w:r>
      <w:r w:rsidRPr="00155F80">
        <w:rPr>
          <w:lang w:val="hr-HR"/>
        </w:rPr>
        <w:t>ž</w:t>
      </w:r>
      <w:r w:rsidRPr="00155F80">
        <w:t>ivanja</w:t>
      </w: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en-GB"/>
        </w:rPr>
        <mc:AlternateContent>
          <mc:Choice Requires="wpc">
            <w:drawing>
              <wp:inline distT="0" distB="0" distL="0" distR="0" wp14:anchorId="35B54048" wp14:editId="056FD28A">
                <wp:extent cx="5760720" cy="2381250"/>
                <wp:effectExtent l="0" t="0" r="0" b="0"/>
                <wp:docPr id="44"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5" name="Picture 45"/>
                          <pic:cNvPicPr>
                            <a:picLocks noChangeAspect="1"/>
                          </pic:cNvPicPr>
                        </pic:nvPicPr>
                        <pic:blipFill>
                          <a:blip r:embed="rId98"/>
                          <a:stretch>
                            <a:fillRect/>
                          </a:stretch>
                        </pic:blipFill>
                        <pic:spPr>
                          <a:xfrm>
                            <a:off x="0" y="59376"/>
                            <a:ext cx="5749820" cy="2291937"/>
                          </a:xfrm>
                          <a:prstGeom prst="rect">
                            <a:avLst/>
                          </a:prstGeom>
                        </pic:spPr>
                      </pic:pic>
                    </wpc:wpc>
                  </a:graphicData>
                </a:graphic>
              </wp:inline>
            </w:drawing>
          </mc:Choice>
          <mc:Fallback>
            <w:pict>
              <v:group w14:anchorId="0F7EDB6F" id="Canvas 44" o:spid="_x0000_s1026" editas="canvas" style="width:453.6pt;height:187.5pt;mso-position-horizontal-relative:char;mso-position-vertical-relative:line" coordsize="57607,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23812;visibility:visible;mso-wrap-style:square">
                  <v:fill o:detectmouseclick="t"/>
                  <v:path o:connecttype="none"/>
                </v:shape>
                <v:shape id="Picture 45" o:spid="_x0000_s1028" type="#_x0000_t75" style="position:absolute;top:593;width:57498;height:2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kw//DAAAA2wAAAA8AAABkcnMvZG93bnJldi54bWxEj81qwzAQhO+FvIPYQG+NnJ+W1LUcQiDQ&#10;XFqahPS6WFvLxFoZSXGct48KhR6HmfmGKVaDbUVPPjSOFUwnGQjiyumGawXHw/ZpCSJEZI2tY1Jw&#10;owCrcvRQYK7dlb+o38daJAiHHBWYGLtcylAZshgmriNO3o/zFmOSvpba4zXBbStnWfYiLTacFgx2&#10;tDFUnfcXqyBzc4M832HPp48ww+/+9dNLpR7Hw/oNRKQh/of/2u9aweIZfr+kHy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6TD/8MAAADbAAAADwAAAAAAAAAAAAAAAACf&#10;AgAAZHJzL2Rvd25yZXYueG1sUEsFBgAAAAAEAAQA9wAAAI8DAAAAAA==&#10;">
                  <v:imagedata r:id="rId99" o:title=""/>
                  <v:path arrowok="t"/>
                </v:shape>
                <w10:anchorlock/>
              </v:group>
            </w:pict>
          </mc:Fallback>
        </mc:AlternateContent>
      </w:r>
    </w:p>
    <w:p w:rsidR="00A131AD" w:rsidRDefault="00A131AD" w:rsidP="00250204">
      <w:pPr>
        <w:pStyle w:val="TEKST"/>
      </w:pPr>
      <w:r w:rsidRPr="00155F80">
        <w:t>HIV prevalenc</w:t>
      </w:r>
      <w:r w:rsidR="00A56E47">
        <w:t>ij</w:t>
      </w:r>
      <w:r w:rsidRPr="00155F80">
        <w:t>a je jos uvijek niska u ovoj populaciji. Primjetan je napredak u prevenciji HIV-a među injekci</w:t>
      </w:r>
      <w:r w:rsidR="00A56E47">
        <w:t>jskim</w:t>
      </w:r>
      <w:r w:rsidRPr="00155F80">
        <w:t xml:space="preserve"> korisnicima droga (porast koristenja usluga „smanjenja štete“). Napredak je vidljiv u reduciranju rizične prakse injektiranja droga, ali ne i rizičnog seksualnog ponašanja (korištenje kondoma, znanje o transmisiji HIV-a). Zbog toga, neophodno je nastaviti kontinuirane programe prevencije HIV-a u ovoj populaciji s ciljem redu</w:t>
      </w:r>
      <w:r w:rsidR="00A56E47">
        <w:t>ciranja</w:t>
      </w:r>
      <w:r w:rsidRPr="00155F80">
        <w:t xml:space="preserve"> rizičnog ponašanja koje se najviše odnosi na upor</w:t>
      </w:r>
      <w:r w:rsidR="00A56E47">
        <w:t>a</w:t>
      </w:r>
      <w:r w:rsidRPr="00155F80">
        <w:t>bu nesterilnog pribora za injektiranje droga i nekorištenje kondoma pri seksualnim odnosima</w:t>
      </w:r>
      <w:r w:rsidRPr="00F83CAD">
        <w:t>. (</w:t>
      </w:r>
      <w:r w:rsidR="00AA0D77" w:rsidRPr="00F83CAD">
        <w:t>11</w:t>
      </w:r>
      <w:r w:rsidRPr="00F83CAD">
        <w:t>)</w:t>
      </w:r>
    </w:p>
    <w:p w:rsidR="004975B7" w:rsidRPr="00155F80" w:rsidRDefault="004975B7" w:rsidP="00250204">
      <w:pPr>
        <w:pStyle w:val="TEKST"/>
        <w:rPr>
          <w:i/>
        </w:rPr>
      </w:pPr>
    </w:p>
    <w:p w:rsidR="00A131AD" w:rsidRDefault="00A131AD" w:rsidP="000C0138">
      <w:pPr>
        <w:spacing w:line="276" w:lineRule="auto"/>
        <w:rPr>
          <w:rFonts w:ascii="Times New Roman" w:hAnsi="Times New Roman"/>
          <w:lang w:val="bs-Latn-BA"/>
        </w:rPr>
      </w:pPr>
    </w:p>
    <w:p w:rsidR="00A131AD" w:rsidRPr="00155F80" w:rsidRDefault="00301140" w:rsidP="000C0138">
      <w:pPr>
        <w:pStyle w:val="Poglavlje2"/>
        <w:spacing w:line="276" w:lineRule="auto"/>
      </w:pPr>
      <w:bookmarkStart w:id="325" w:name="_Toc392229079"/>
      <w:bookmarkStart w:id="326" w:name="_Toc460929209"/>
      <w:r>
        <w:t>4.2</w:t>
      </w:r>
      <w:r w:rsidRPr="00155F80">
        <w:t xml:space="preserve"> </w:t>
      </w:r>
      <w:r w:rsidR="00CB080B">
        <w:t>OKOLIŠ</w:t>
      </w:r>
      <w:r w:rsidRPr="00155F80">
        <w:t xml:space="preserve"> I ZDRAVLJE</w:t>
      </w:r>
      <w:bookmarkEnd w:id="325"/>
      <w:bookmarkEnd w:id="326"/>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Č</w:t>
      </w:r>
      <w:r w:rsidRPr="00155F80">
        <w:rPr>
          <w:rFonts w:ascii="Times New Roman" w:hAnsi="Times New Roman"/>
        </w:rPr>
        <w:t>ovjek</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svakodnevno</w:t>
      </w:r>
      <w:r w:rsidRPr="00155F80">
        <w:rPr>
          <w:rFonts w:ascii="Times New Roman" w:hAnsi="Times New Roman"/>
          <w:lang w:val="hr-HR"/>
        </w:rPr>
        <w:t xml:space="preserve"> </w:t>
      </w:r>
      <w:r w:rsidRPr="00155F80">
        <w:rPr>
          <w:rFonts w:ascii="Times New Roman" w:hAnsi="Times New Roman"/>
        </w:rPr>
        <w:t>pod</w:t>
      </w:r>
      <w:r w:rsidRPr="00155F80">
        <w:rPr>
          <w:rFonts w:ascii="Times New Roman" w:hAnsi="Times New Roman"/>
          <w:lang w:val="hr-HR"/>
        </w:rPr>
        <w:t xml:space="preserve"> </w:t>
      </w:r>
      <w:r w:rsidR="00512E30">
        <w:rPr>
          <w:rFonts w:ascii="Times New Roman" w:hAnsi="Times New Roman"/>
        </w:rPr>
        <w:t>uticaj</w:t>
      </w:r>
      <w:r w:rsidRPr="00155F80">
        <w:rPr>
          <w:rFonts w:ascii="Times New Roman" w:hAnsi="Times New Roman"/>
        </w:rPr>
        <w:t>em</w:t>
      </w:r>
      <w:r w:rsidRPr="00155F80">
        <w:rPr>
          <w:rFonts w:ascii="Times New Roman" w:hAnsi="Times New Roman"/>
          <w:lang w:val="hr-HR"/>
        </w:rPr>
        <w:t xml:space="preserve"> </w:t>
      </w:r>
      <w:r w:rsidRPr="00155F80">
        <w:rPr>
          <w:rFonts w:ascii="Times New Roman" w:hAnsi="Times New Roman"/>
        </w:rPr>
        <w:t>razli</w:t>
      </w:r>
      <w:r w:rsidRPr="00155F80">
        <w:rPr>
          <w:rFonts w:ascii="Times New Roman" w:hAnsi="Times New Roman"/>
          <w:lang w:val="hr-HR"/>
        </w:rPr>
        <w:t>č</w:t>
      </w:r>
      <w:r w:rsidRPr="00155F80">
        <w:rPr>
          <w:rFonts w:ascii="Times New Roman" w:hAnsi="Times New Roman"/>
        </w:rPr>
        <w:t>itih</w:t>
      </w:r>
      <w:r w:rsidRPr="00155F80">
        <w:rPr>
          <w:rFonts w:ascii="Times New Roman" w:hAnsi="Times New Roman"/>
          <w:lang w:val="hr-HR"/>
        </w:rPr>
        <w:t xml:space="preserve"> </w:t>
      </w:r>
      <w:r w:rsidR="00CB080B">
        <w:rPr>
          <w:rFonts w:ascii="Times New Roman" w:hAnsi="Times New Roman"/>
          <w:lang w:val="hr-HR"/>
        </w:rPr>
        <w:t>okoliš</w:t>
      </w:r>
      <w:r w:rsidR="009F64E0">
        <w:rPr>
          <w:rFonts w:ascii="Times New Roman" w:hAnsi="Times New Roman"/>
          <w:lang w:val="hr-HR"/>
        </w:rPr>
        <w:t xml:space="preserve">nih </w:t>
      </w:r>
      <w:r w:rsidR="00D21A46">
        <w:rPr>
          <w:rFonts w:ascii="Times New Roman" w:hAnsi="Times New Roman"/>
          <w:lang w:val="hr-HR"/>
        </w:rPr>
        <w:t>faktor</w:t>
      </w:r>
      <w:r w:rsidR="009F64E0">
        <w:rPr>
          <w:rFonts w:ascii="Times New Roman" w:hAnsi="Times New Roman"/>
          <w:lang w:val="hr-HR"/>
        </w:rPr>
        <w:t>a</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zna</w:t>
      </w:r>
      <w:r w:rsidRPr="00155F80">
        <w:rPr>
          <w:rFonts w:ascii="Times New Roman" w:hAnsi="Times New Roman"/>
          <w:lang w:val="hr-HR"/>
        </w:rPr>
        <w:t>č</w:t>
      </w:r>
      <w:r w:rsidRPr="00155F80">
        <w:rPr>
          <w:rFonts w:ascii="Times New Roman" w:hAnsi="Times New Roman"/>
        </w:rPr>
        <w:t>ajno</w:t>
      </w:r>
      <w:r w:rsidRPr="00155F80">
        <w:rPr>
          <w:rFonts w:ascii="Times New Roman" w:hAnsi="Times New Roman"/>
          <w:lang w:val="hr-HR"/>
        </w:rPr>
        <w:t xml:space="preserve"> </w:t>
      </w:r>
      <w:r w:rsidRPr="00155F80">
        <w:rPr>
          <w:rFonts w:ascii="Times New Roman" w:hAnsi="Times New Roman"/>
        </w:rPr>
        <w:t>mogu</w:t>
      </w:r>
      <w:r w:rsidRPr="00155F80">
        <w:rPr>
          <w:rFonts w:ascii="Times New Roman" w:hAnsi="Times New Roman"/>
          <w:lang w:val="hr-HR"/>
        </w:rPr>
        <w:t xml:space="preserve"> </w:t>
      </w:r>
      <w:r w:rsidR="00512E30">
        <w:rPr>
          <w:rFonts w:ascii="Times New Roman" w:hAnsi="Times New Roman"/>
        </w:rPr>
        <w:t>uticati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njegovo</w:t>
      </w:r>
      <w:r w:rsidRPr="00155F80">
        <w:rPr>
          <w:rFonts w:ascii="Times New Roman" w:hAnsi="Times New Roman"/>
          <w:lang w:val="hr-HR"/>
        </w:rPr>
        <w:t xml:space="preserve"> </w:t>
      </w:r>
      <w:r w:rsidRPr="00155F80">
        <w:rPr>
          <w:rFonts w:ascii="Times New Roman" w:hAnsi="Times New Roman"/>
        </w:rPr>
        <w:t>zdravlje</w:t>
      </w:r>
      <w:r w:rsidRPr="00155F80">
        <w:rPr>
          <w:rFonts w:ascii="Times New Roman" w:hAnsi="Times New Roman"/>
          <w:lang w:val="hr-HR"/>
        </w:rPr>
        <w:t>. Rizi</w:t>
      </w:r>
      <w:r w:rsidR="009F64E0">
        <w:rPr>
          <w:rFonts w:ascii="Times New Roman" w:hAnsi="Times New Roman"/>
          <w:lang w:val="hr-HR"/>
        </w:rPr>
        <w:t xml:space="preserve">čnim </w:t>
      </w:r>
      <w:r w:rsidR="00D21A46">
        <w:rPr>
          <w:rFonts w:ascii="Times New Roman" w:hAnsi="Times New Roman"/>
          <w:lang w:val="hr-HR"/>
        </w:rPr>
        <w:t>faktori</w:t>
      </w:r>
      <w:r w:rsidR="009F64E0">
        <w:rPr>
          <w:rFonts w:ascii="Times New Roman" w:hAnsi="Times New Roman"/>
          <w:lang w:val="hr-HR"/>
        </w:rPr>
        <w:t>ma</w:t>
      </w:r>
      <w:r w:rsidRPr="00155F80">
        <w:rPr>
          <w:rFonts w:ascii="Times New Roman" w:hAnsi="Times New Roman"/>
          <w:lang w:val="hr-HR"/>
        </w:rPr>
        <w:t xml:space="preserve"> </w:t>
      </w:r>
      <w:r w:rsidR="00526FD0">
        <w:rPr>
          <w:rFonts w:ascii="Times New Roman" w:hAnsi="Times New Roman"/>
          <w:lang w:val="hr-HR"/>
        </w:rPr>
        <w:t>okoline</w:t>
      </w:r>
      <w:r w:rsidRPr="00155F80">
        <w:rPr>
          <w:rFonts w:ascii="Times New Roman" w:hAnsi="Times New Roman"/>
          <w:lang w:val="hr-HR"/>
        </w:rPr>
        <w:t xml:space="preserve"> su kontinuirano izložene sve populaci</w:t>
      </w:r>
      <w:r w:rsidR="009F64E0">
        <w:rPr>
          <w:rFonts w:ascii="Times New Roman" w:hAnsi="Times New Roman"/>
          <w:lang w:val="hr-HR"/>
        </w:rPr>
        <w:t>jske</w:t>
      </w:r>
      <w:r w:rsidRPr="00155F80">
        <w:rPr>
          <w:rFonts w:ascii="Times New Roman" w:hAnsi="Times New Roman"/>
          <w:lang w:val="hr-HR"/>
        </w:rPr>
        <w:t xml:space="preserve"> grupe. Naročito su ugroženi djeca, trudnice, </w:t>
      </w:r>
      <w:r w:rsidR="00512E30">
        <w:rPr>
          <w:rFonts w:ascii="Times New Roman" w:hAnsi="Times New Roman"/>
          <w:lang w:val="hr-HR"/>
        </w:rPr>
        <w:t>hronični</w:t>
      </w:r>
      <w:r w:rsidRPr="00155F80">
        <w:rPr>
          <w:rFonts w:ascii="Times New Roman" w:hAnsi="Times New Roman"/>
          <w:lang w:val="hr-HR"/>
        </w:rPr>
        <w:t xml:space="preserve"> bolesnici i stariji ljudi, jer su pod većim zdravstvenim rizikom zbog </w:t>
      </w:r>
      <w:r w:rsidR="00FE3B0D">
        <w:rPr>
          <w:rFonts w:ascii="Times New Roman" w:hAnsi="Times New Roman"/>
          <w:lang w:val="hr-HR"/>
        </w:rPr>
        <w:t>onečišćenog</w:t>
      </w:r>
      <w:r w:rsidRPr="00155F80">
        <w:rPr>
          <w:rFonts w:ascii="Times New Roman" w:hAnsi="Times New Roman"/>
          <w:lang w:val="hr-HR"/>
        </w:rPr>
        <w:t xml:space="preserve"> </w:t>
      </w:r>
      <w:r w:rsidR="00FE3B0D">
        <w:rPr>
          <w:rFonts w:ascii="Times New Roman" w:hAnsi="Times New Roman"/>
          <w:lang w:val="hr-HR"/>
        </w:rPr>
        <w:t>zraka</w:t>
      </w:r>
      <w:r w:rsidRPr="00155F80">
        <w:rPr>
          <w:rFonts w:ascii="Times New Roman" w:hAnsi="Times New Roman"/>
          <w:lang w:val="hr-HR"/>
        </w:rPr>
        <w:t xml:space="preserve">, vode i zemljišta, kontaminirane hrane, buke, </w:t>
      </w:r>
      <w:r w:rsidR="009F64E0">
        <w:rPr>
          <w:rFonts w:ascii="Times New Roman" w:hAnsi="Times New Roman"/>
          <w:lang w:val="hr-HR"/>
        </w:rPr>
        <w:t>i</w:t>
      </w:r>
      <w:r w:rsidRPr="00155F80">
        <w:rPr>
          <w:rFonts w:ascii="Times New Roman" w:hAnsi="Times New Roman"/>
          <w:lang w:val="hr-HR"/>
        </w:rPr>
        <w:t xml:space="preserve">onizirajućeg zračenja, UV zračenja, i loših stambenih i radnih </w:t>
      </w:r>
      <w:r w:rsidR="00F70FD4">
        <w:rPr>
          <w:rFonts w:ascii="Times New Roman" w:hAnsi="Times New Roman"/>
          <w:lang w:val="hr-HR"/>
        </w:rPr>
        <w:t>uslov</w:t>
      </w:r>
      <w:r w:rsidR="009F64E0">
        <w:rPr>
          <w:rFonts w:ascii="Times New Roman" w:hAnsi="Times New Roman"/>
          <w:lang w:val="hr-HR"/>
        </w:rPr>
        <w:t>a</w:t>
      </w:r>
      <w:r w:rsidRPr="00155F80">
        <w:rPr>
          <w:rFonts w:ascii="Times New Roman" w:hAnsi="Times New Roman"/>
          <w:lang w:val="hr-HR"/>
        </w:rPr>
        <w:t xml:space="preserve">.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Na području Federacije Bosne i Hercegovine ne postoji jedinstven registar vodoopskrbnih objekata, što onemogućava potpuni uvid u </w:t>
      </w:r>
      <w:r w:rsidR="00512E30">
        <w:rPr>
          <w:rFonts w:ascii="Times New Roman" w:hAnsi="Times New Roman"/>
          <w:lang w:val="hr-HR"/>
        </w:rPr>
        <w:t>sistem</w:t>
      </w:r>
      <w:r w:rsidRPr="00155F80">
        <w:rPr>
          <w:rFonts w:ascii="Times New Roman" w:hAnsi="Times New Roman"/>
          <w:lang w:val="hr-HR"/>
        </w:rPr>
        <w:t xml:space="preserve"> vodosnabdijevanja, kao i donošenje mjera u cilju </w:t>
      </w:r>
      <w:r w:rsidR="00512E30">
        <w:rPr>
          <w:rFonts w:ascii="Times New Roman" w:hAnsi="Times New Roman"/>
          <w:lang w:val="hr-HR"/>
        </w:rPr>
        <w:t>obolijevanje</w:t>
      </w:r>
      <w:r w:rsidRPr="00155F80">
        <w:rPr>
          <w:rFonts w:ascii="Times New Roman" w:hAnsi="Times New Roman"/>
          <w:lang w:val="hr-HR"/>
        </w:rPr>
        <w:t xml:space="preserve">jšanja </w:t>
      </w:r>
      <w:r w:rsidR="00F70FD4">
        <w:rPr>
          <w:rFonts w:ascii="Times New Roman" w:hAnsi="Times New Roman"/>
          <w:lang w:val="hr-HR"/>
        </w:rPr>
        <w:t>vodosnabdijevanja</w:t>
      </w:r>
      <w:r w:rsidRPr="00155F80">
        <w:rPr>
          <w:rFonts w:ascii="Times New Roman" w:hAnsi="Times New Roman"/>
          <w:lang w:val="hr-HR"/>
        </w:rPr>
        <w:t>. Javno-zdravstvena kontrola vode za piće nije u potpunosti zadovoljavajuća. Lokalni vodovodi uglavnom imaju defini</w:t>
      </w:r>
      <w:r w:rsidR="00A305C2">
        <w:rPr>
          <w:rFonts w:ascii="Times New Roman" w:hAnsi="Times New Roman"/>
          <w:lang w:val="hr-HR"/>
        </w:rPr>
        <w:t>r</w:t>
      </w:r>
      <w:r w:rsidRPr="00155F80">
        <w:rPr>
          <w:rFonts w:ascii="Times New Roman" w:hAnsi="Times New Roman"/>
          <w:lang w:val="hr-HR"/>
        </w:rPr>
        <w:t xml:space="preserve">anu samo prvu zonu sanitarne zaštite, dok se u većini individualnih lokalnih objekata </w:t>
      </w:r>
      <w:r w:rsidR="00F70FD4">
        <w:rPr>
          <w:rFonts w:ascii="Times New Roman" w:hAnsi="Times New Roman"/>
          <w:lang w:val="hr-HR"/>
        </w:rPr>
        <w:t>vodosnabdijevanja</w:t>
      </w:r>
      <w:r w:rsidRPr="00155F80">
        <w:rPr>
          <w:rFonts w:ascii="Times New Roman" w:hAnsi="Times New Roman"/>
          <w:lang w:val="hr-HR"/>
        </w:rPr>
        <w:t xml:space="preserve"> (bunari, izvori, cisterne, čatrnje), voda za piće ne kontroliše na zdravstvenu ispravnost, a zone sanitarne zaštite nisu defini</w:t>
      </w:r>
      <w:r w:rsidR="00A305C2">
        <w:rPr>
          <w:rFonts w:ascii="Times New Roman" w:hAnsi="Times New Roman"/>
          <w:lang w:val="hr-HR"/>
        </w:rPr>
        <w:t>r</w:t>
      </w:r>
      <w:r w:rsidRPr="00155F80">
        <w:rPr>
          <w:rFonts w:ascii="Times New Roman" w:hAnsi="Times New Roman"/>
          <w:lang w:val="hr-HR"/>
        </w:rPr>
        <w:t xml:space="preserve">ane. Kada uzmemo u obzir da se u individualnim lokalnim objektima </w:t>
      </w:r>
      <w:r w:rsidR="00F70FD4">
        <w:rPr>
          <w:rFonts w:ascii="Times New Roman" w:hAnsi="Times New Roman"/>
          <w:lang w:val="hr-HR"/>
        </w:rPr>
        <w:t>vodosnabdijevanja</w:t>
      </w:r>
      <w:r w:rsidRPr="00155F80">
        <w:rPr>
          <w:rStyle w:val="Emphasis"/>
          <w:rFonts w:ascii="Times New Roman" w:hAnsi="Times New Roman"/>
          <w:i w:val="0"/>
          <w:iCs w:val="0"/>
          <w:lang w:val="hr-HR"/>
        </w:rPr>
        <w:t xml:space="preserve"> </w:t>
      </w:r>
      <w:r w:rsidR="00A305C2">
        <w:rPr>
          <w:rStyle w:val="Emphasis"/>
          <w:rFonts w:ascii="Times New Roman" w:hAnsi="Times New Roman"/>
          <w:i w:val="0"/>
          <w:iCs w:val="0"/>
        </w:rPr>
        <w:t>k</w:t>
      </w:r>
      <w:r w:rsidRPr="00155F80">
        <w:rPr>
          <w:rStyle w:val="Emphasis"/>
          <w:rFonts w:ascii="Times New Roman" w:hAnsi="Times New Roman"/>
          <w:i w:val="0"/>
          <w:iCs w:val="0"/>
        </w:rPr>
        <w:t>loriranje</w:t>
      </w:r>
      <w:r w:rsidRPr="00155F80">
        <w:rPr>
          <w:rStyle w:val="Emphasis"/>
          <w:rFonts w:ascii="Times New Roman" w:hAnsi="Times New Roman"/>
          <w:i w:val="0"/>
          <w:iCs w:val="0"/>
          <w:lang w:val="hr-HR"/>
        </w:rPr>
        <w:t xml:space="preserve"> uglavnom </w:t>
      </w:r>
      <w:r w:rsidRPr="00155F80">
        <w:rPr>
          <w:rStyle w:val="Emphasis"/>
          <w:rFonts w:ascii="Times New Roman" w:hAnsi="Times New Roman"/>
          <w:i w:val="0"/>
          <w:iCs w:val="0"/>
        </w:rPr>
        <w:t>ne</w:t>
      </w:r>
      <w:r w:rsidRPr="00155F80">
        <w:rPr>
          <w:rStyle w:val="Emphasis"/>
          <w:rFonts w:ascii="Times New Roman" w:hAnsi="Times New Roman"/>
          <w:i w:val="0"/>
          <w:iCs w:val="0"/>
          <w:lang w:val="hr-HR"/>
        </w:rPr>
        <w:t xml:space="preserve"> </w:t>
      </w:r>
      <w:r w:rsidR="00A305C2">
        <w:rPr>
          <w:rStyle w:val="Emphasis"/>
          <w:rFonts w:ascii="Times New Roman" w:hAnsi="Times New Roman"/>
          <w:i w:val="0"/>
          <w:iCs w:val="0"/>
        </w:rPr>
        <w:t>obavlja</w:t>
      </w:r>
      <w:r w:rsidRPr="00155F80">
        <w:rPr>
          <w:rFonts w:ascii="Times New Roman" w:hAnsi="Times New Roman"/>
          <w:lang w:val="hr-HR"/>
        </w:rPr>
        <w:t xml:space="preserve">, jasno je zašto se </w:t>
      </w:r>
      <w:r w:rsidR="00F70FD4">
        <w:rPr>
          <w:rFonts w:ascii="Times New Roman" w:hAnsi="Times New Roman"/>
          <w:lang w:val="hr-HR"/>
        </w:rPr>
        <w:t>vodosnabdijevanje</w:t>
      </w:r>
      <w:r w:rsidRPr="00155F80">
        <w:rPr>
          <w:rFonts w:ascii="Times New Roman" w:hAnsi="Times New Roman"/>
          <w:lang w:val="hr-HR"/>
        </w:rPr>
        <w:t xml:space="preserve"> smatra jednim od glavnih problema javnog zdravstva. </w:t>
      </w:r>
    </w:p>
    <w:p w:rsidR="00A131AD" w:rsidRPr="00155F80" w:rsidRDefault="00A131AD" w:rsidP="000C0138">
      <w:pPr>
        <w:spacing w:line="276" w:lineRule="auto"/>
        <w:rPr>
          <w:rStyle w:val="Emphasis"/>
          <w:rFonts w:ascii="Times New Roman" w:hAnsi="Times New Roman"/>
          <w:i w:val="0"/>
          <w:iCs w:val="0"/>
          <w:lang w:val="bs-Latn-BA"/>
        </w:rPr>
      </w:pPr>
      <w:r w:rsidRPr="00155F80">
        <w:rPr>
          <w:rStyle w:val="Emphasis"/>
          <w:rFonts w:ascii="Times New Roman" w:hAnsi="Times New Roman"/>
          <w:i w:val="0"/>
          <w:iCs w:val="0"/>
        </w:rPr>
        <w:t xml:space="preserve">Ne postoji definirana entitetska mreža za monitoring kvaliteta zraka. Parametre </w:t>
      </w:r>
      <w:r w:rsidR="00FE3B0D">
        <w:rPr>
          <w:rStyle w:val="Emphasis"/>
          <w:rFonts w:ascii="Times New Roman" w:hAnsi="Times New Roman"/>
          <w:i w:val="0"/>
          <w:iCs w:val="0"/>
        </w:rPr>
        <w:t>onečišćenja zraka</w:t>
      </w:r>
      <w:r w:rsidRPr="00155F80">
        <w:rPr>
          <w:rStyle w:val="Emphasis"/>
          <w:rFonts w:ascii="Times New Roman" w:hAnsi="Times New Roman"/>
          <w:i w:val="0"/>
          <w:iCs w:val="0"/>
        </w:rPr>
        <w:t xml:space="preserve"> prati Federalni hidrometeorološki zavod, ali broj njegovih stanica je nedostatan za prikupljanje podataka o kvalitetu zraka na području cijele Federacije BiH. U 2013. godini, Federalno ministarstvo </w:t>
      </w:r>
      <w:r w:rsidR="00526FD0">
        <w:rPr>
          <w:rStyle w:val="Emphasis"/>
          <w:rFonts w:ascii="Times New Roman" w:hAnsi="Times New Roman"/>
          <w:i w:val="0"/>
          <w:iCs w:val="0"/>
        </w:rPr>
        <w:t>okoline</w:t>
      </w:r>
      <w:r w:rsidRPr="00155F80">
        <w:rPr>
          <w:rStyle w:val="Emphasis"/>
          <w:rFonts w:ascii="Times New Roman" w:hAnsi="Times New Roman"/>
          <w:i w:val="0"/>
          <w:iCs w:val="0"/>
        </w:rPr>
        <w:t xml:space="preserve"> i turizma i Federalni hidrometeorološki zavod, uspostavili su dvije nove stanice za monitoring kvaliteta zraka u Jajcu i Zenici. Ovim je u Jajcu uspostavljen monitoring kvaliteta zraka nakon više od 20 godina. </w:t>
      </w:r>
      <w:r w:rsidR="00F0369C">
        <w:rPr>
          <w:rFonts w:ascii="Times New Roman" w:hAnsi="Times New Roman"/>
        </w:rPr>
        <w:t>Tokom</w:t>
      </w:r>
      <w:r w:rsidRPr="00155F80">
        <w:rPr>
          <w:rFonts w:ascii="Times New Roman" w:hAnsi="Times New Roman"/>
          <w:lang w:val="bs-Latn-BA"/>
        </w:rPr>
        <w:t xml:space="preserve"> 2015. </w:t>
      </w:r>
      <w:r w:rsidRPr="00155F80">
        <w:rPr>
          <w:rFonts w:ascii="Times New Roman" w:hAnsi="Times New Roman"/>
        </w:rPr>
        <w:t>godine</w:t>
      </w:r>
      <w:r w:rsidRPr="00155F80">
        <w:rPr>
          <w:rFonts w:ascii="Times New Roman" w:hAnsi="Times New Roman"/>
          <w:lang w:val="bs-Latn-BA"/>
        </w:rPr>
        <w:t xml:space="preserve"> </w:t>
      </w:r>
      <w:r w:rsidR="00F0369C">
        <w:rPr>
          <w:rFonts w:ascii="Times New Roman" w:hAnsi="Times New Roman"/>
        </w:rPr>
        <w:t>realizovan</w:t>
      </w:r>
      <w:r w:rsidR="00A305C2">
        <w:rPr>
          <w:rFonts w:ascii="Times New Roman" w:hAnsi="Times New Roman"/>
        </w:rPr>
        <w:t>o</w:t>
      </w:r>
      <w:r w:rsidRPr="00155F80">
        <w:rPr>
          <w:rFonts w:ascii="Times New Roman" w:hAnsi="Times New Roman"/>
          <w:lang w:val="bs-Latn-BA"/>
        </w:rPr>
        <w:t xml:space="preserve"> </w:t>
      </w:r>
      <w:r w:rsidRPr="00155F80">
        <w:rPr>
          <w:rFonts w:ascii="Times New Roman" w:hAnsi="Times New Roman"/>
        </w:rPr>
        <w:t>je</w:t>
      </w:r>
      <w:r w:rsidRPr="00155F80">
        <w:rPr>
          <w:rFonts w:ascii="Times New Roman" w:hAnsi="Times New Roman"/>
          <w:lang w:val="bs-Latn-BA"/>
        </w:rPr>
        <w:t xml:space="preserve"> </w:t>
      </w:r>
      <w:r w:rsidRPr="00155F80">
        <w:rPr>
          <w:rFonts w:ascii="Times New Roman" w:hAnsi="Times New Roman"/>
        </w:rPr>
        <w:t>nekoliko</w:t>
      </w:r>
      <w:r w:rsidRPr="00155F80">
        <w:rPr>
          <w:rFonts w:ascii="Times New Roman" w:hAnsi="Times New Roman"/>
          <w:lang w:val="bs-Latn-BA"/>
        </w:rPr>
        <w:t xml:space="preserve"> </w:t>
      </w:r>
      <w:r w:rsidR="00A305C2">
        <w:rPr>
          <w:rFonts w:ascii="Times New Roman" w:hAnsi="Times New Roman"/>
        </w:rPr>
        <w:t>važnih</w:t>
      </w:r>
      <w:r w:rsidRPr="00155F80">
        <w:rPr>
          <w:rFonts w:ascii="Times New Roman" w:hAnsi="Times New Roman"/>
          <w:lang w:val="bs-Latn-BA"/>
        </w:rPr>
        <w:t xml:space="preserve"> </w:t>
      </w:r>
      <w:r w:rsidRPr="00155F80">
        <w:rPr>
          <w:rFonts w:ascii="Times New Roman" w:hAnsi="Times New Roman"/>
        </w:rPr>
        <w:t>projekata</w:t>
      </w:r>
      <w:r w:rsidRPr="00155F80">
        <w:rPr>
          <w:rFonts w:ascii="Times New Roman" w:hAnsi="Times New Roman"/>
          <w:lang w:val="bs-Latn-BA"/>
        </w:rPr>
        <w:t xml:space="preserve"> </w:t>
      </w:r>
      <w:r w:rsidRPr="00155F80">
        <w:rPr>
          <w:rFonts w:ascii="Times New Roman" w:hAnsi="Times New Roman"/>
        </w:rPr>
        <w:t>koji</w:t>
      </w:r>
      <w:r w:rsidRPr="00155F80">
        <w:rPr>
          <w:rFonts w:ascii="Times New Roman" w:hAnsi="Times New Roman"/>
          <w:lang w:val="bs-Latn-BA"/>
        </w:rPr>
        <w:t xml:space="preserve"> </w:t>
      </w:r>
      <w:r w:rsidRPr="00155F80">
        <w:rPr>
          <w:rFonts w:ascii="Times New Roman" w:hAnsi="Times New Roman"/>
        </w:rPr>
        <w:t>se</w:t>
      </w:r>
      <w:r w:rsidRPr="00155F80">
        <w:rPr>
          <w:rFonts w:ascii="Times New Roman" w:hAnsi="Times New Roman"/>
          <w:lang w:val="bs-Latn-BA"/>
        </w:rPr>
        <w:t xml:space="preserve"> </w:t>
      </w:r>
      <w:r w:rsidRPr="00155F80">
        <w:rPr>
          <w:rFonts w:ascii="Times New Roman" w:hAnsi="Times New Roman"/>
        </w:rPr>
        <w:t>odnose</w:t>
      </w:r>
      <w:r w:rsidRPr="00155F80">
        <w:rPr>
          <w:rFonts w:ascii="Times New Roman" w:hAnsi="Times New Roman"/>
          <w:lang w:val="bs-Latn-BA"/>
        </w:rPr>
        <w:t xml:space="preserve"> </w:t>
      </w:r>
      <w:r w:rsidRPr="00155F80">
        <w:rPr>
          <w:rFonts w:ascii="Times New Roman" w:hAnsi="Times New Roman"/>
        </w:rPr>
        <w:t>na</w:t>
      </w:r>
      <w:r w:rsidRPr="00155F80">
        <w:rPr>
          <w:rFonts w:ascii="Times New Roman" w:hAnsi="Times New Roman"/>
          <w:lang w:val="bs-Latn-BA"/>
        </w:rPr>
        <w:t xml:space="preserve"> </w:t>
      </w:r>
      <w:r w:rsidRPr="00155F80">
        <w:rPr>
          <w:rFonts w:ascii="Times New Roman" w:hAnsi="Times New Roman"/>
        </w:rPr>
        <w:t>monitoring</w:t>
      </w:r>
      <w:r w:rsidRPr="00155F80">
        <w:rPr>
          <w:rFonts w:ascii="Times New Roman" w:hAnsi="Times New Roman"/>
          <w:lang w:val="bs-Latn-BA"/>
        </w:rPr>
        <w:t xml:space="preserve"> </w:t>
      </w:r>
      <w:r w:rsidRPr="00155F80">
        <w:rPr>
          <w:rFonts w:ascii="Times New Roman" w:hAnsi="Times New Roman"/>
        </w:rPr>
        <w:t>kvaliteta</w:t>
      </w:r>
      <w:r w:rsidRPr="00155F80">
        <w:rPr>
          <w:rFonts w:ascii="Times New Roman" w:hAnsi="Times New Roman"/>
          <w:lang w:val="bs-Latn-BA"/>
        </w:rPr>
        <w:t xml:space="preserve"> </w:t>
      </w:r>
      <w:r w:rsidRPr="00155F80">
        <w:rPr>
          <w:rFonts w:ascii="Times New Roman" w:hAnsi="Times New Roman"/>
        </w:rPr>
        <w:t>zraka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Mre</w:t>
      </w:r>
      <w:r w:rsidRPr="00155F80">
        <w:rPr>
          <w:rFonts w:ascii="Times New Roman" w:hAnsi="Times New Roman"/>
          <w:lang w:val="bs-Latn-BA"/>
        </w:rPr>
        <w:t>ž</w:t>
      </w:r>
      <w:r w:rsidRPr="00155F80">
        <w:rPr>
          <w:rFonts w:ascii="Times New Roman" w:hAnsi="Times New Roman"/>
        </w:rPr>
        <w:t>a</w:t>
      </w:r>
      <w:r w:rsidRPr="00155F80">
        <w:rPr>
          <w:rFonts w:ascii="Times New Roman" w:hAnsi="Times New Roman"/>
          <w:lang w:val="bs-Latn-BA"/>
        </w:rPr>
        <w:t xml:space="preserve"> </w:t>
      </w:r>
      <w:r w:rsidRPr="00155F80">
        <w:rPr>
          <w:rFonts w:ascii="Times New Roman" w:hAnsi="Times New Roman"/>
        </w:rPr>
        <w:t>stanica</w:t>
      </w:r>
      <w:r w:rsidRPr="00155F80">
        <w:rPr>
          <w:rFonts w:ascii="Times New Roman" w:hAnsi="Times New Roman"/>
          <w:lang w:val="bs-Latn-BA"/>
        </w:rPr>
        <w:t xml:space="preserve"> </w:t>
      </w:r>
      <w:r w:rsidRPr="00155F80">
        <w:rPr>
          <w:rFonts w:ascii="Times New Roman" w:hAnsi="Times New Roman"/>
        </w:rPr>
        <w:t>za</w:t>
      </w:r>
      <w:r w:rsidRPr="00155F80">
        <w:rPr>
          <w:rFonts w:ascii="Times New Roman" w:hAnsi="Times New Roman"/>
          <w:lang w:val="bs-Latn-BA"/>
        </w:rPr>
        <w:t xml:space="preserve"> </w:t>
      </w:r>
      <w:r w:rsidRPr="00155F80">
        <w:rPr>
          <w:rFonts w:ascii="Times New Roman" w:hAnsi="Times New Roman"/>
        </w:rPr>
        <w:t>monitoring</w:t>
      </w:r>
      <w:r w:rsidRPr="00155F80">
        <w:rPr>
          <w:rFonts w:ascii="Times New Roman" w:hAnsi="Times New Roman"/>
          <w:lang w:val="bs-Latn-BA"/>
        </w:rPr>
        <w:t xml:space="preserve"> </w:t>
      </w:r>
      <w:r w:rsidRPr="00155F80">
        <w:rPr>
          <w:rFonts w:ascii="Times New Roman" w:hAnsi="Times New Roman"/>
        </w:rPr>
        <w:t>kvaliteta</w:t>
      </w:r>
      <w:r w:rsidRPr="00155F80">
        <w:rPr>
          <w:rFonts w:ascii="Times New Roman" w:hAnsi="Times New Roman"/>
          <w:lang w:val="bs-Latn-BA"/>
        </w:rPr>
        <w:t xml:space="preserve"> </w:t>
      </w:r>
      <w:r w:rsidRPr="00155F80">
        <w:rPr>
          <w:rFonts w:ascii="Times New Roman" w:hAnsi="Times New Roman"/>
        </w:rPr>
        <w:t>zraka</w:t>
      </w:r>
      <w:r w:rsidRPr="00155F80">
        <w:rPr>
          <w:rFonts w:ascii="Times New Roman" w:hAnsi="Times New Roman"/>
          <w:lang w:val="bs-Latn-BA"/>
        </w:rPr>
        <w:t xml:space="preserve"> </w:t>
      </w:r>
      <w:r w:rsidRPr="00155F80">
        <w:rPr>
          <w:rFonts w:ascii="Times New Roman" w:hAnsi="Times New Roman"/>
        </w:rPr>
        <w:t>je</w:t>
      </w:r>
      <w:r w:rsidRPr="00155F80">
        <w:rPr>
          <w:rFonts w:ascii="Times New Roman" w:hAnsi="Times New Roman"/>
          <w:lang w:val="bs-Latn-BA"/>
        </w:rPr>
        <w:t xml:space="preserve"> </w:t>
      </w:r>
      <w:r w:rsidRPr="00155F80">
        <w:rPr>
          <w:rFonts w:ascii="Times New Roman" w:hAnsi="Times New Roman"/>
        </w:rPr>
        <w:t>pro</w:t>
      </w:r>
      <w:r w:rsidRPr="00155F80">
        <w:rPr>
          <w:rFonts w:ascii="Times New Roman" w:hAnsi="Times New Roman"/>
          <w:lang w:val="bs-Latn-BA"/>
        </w:rPr>
        <w:t>š</w:t>
      </w:r>
      <w:r w:rsidRPr="00155F80">
        <w:rPr>
          <w:rFonts w:ascii="Times New Roman" w:hAnsi="Times New Roman"/>
        </w:rPr>
        <w:t>irena</w:t>
      </w:r>
      <w:r w:rsidRPr="00155F80">
        <w:rPr>
          <w:rFonts w:ascii="Times New Roman" w:hAnsi="Times New Roman"/>
          <w:lang w:val="bs-Latn-BA"/>
        </w:rPr>
        <w:t xml:space="preserve"> </w:t>
      </w:r>
      <w:r w:rsidRPr="00155F80">
        <w:rPr>
          <w:rFonts w:ascii="Times New Roman" w:hAnsi="Times New Roman"/>
        </w:rPr>
        <w:t>uspostav</w:t>
      </w:r>
      <w:r w:rsidR="00A305C2">
        <w:rPr>
          <w:rFonts w:ascii="Times New Roman" w:hAnsi="Times New Roman"/>
        </w:rPr>
        <w:t>o</w:t>
      </w:r>
      <w:r w:rsidRPr="00155F80">
        <w:rPr>
          <w:rFonts w:ascii="Times New Roman" w:hAnsi="Times New Roman"/>
        </w:rPr>
        <w:t>m</w:t>
      </w:r>
      <w:r w:rsidRPr="00155F80">
        <w:rPr>
          <w:rFonts w:ascii="Times New Roman" w:hAnsi="Times New Roman"/>
          <w:lang w:val="bs-Latn-BA"/>
        </w:rPr>
        <w:t xml:space="preserve"> </w:t>
      </w:r>
      <w:r w:rsidRPr="00155F80">
        <w:rPr>
          <w:rFonts w:ascii="Times New Roman" w:hAnsi="Times New Roman"/>
        </w:rPr>
        <w:t>stanice</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Gora</w:t>
      </w:r>
      <w:r w:rsidRPr="00155F80">
        <w:rPr>
          <w:rFonts w:ascii="Times New Roman" w:hAnsi="Times New Roman"/>
          <w:lang w:val="bs-Latn-BA"/>
        </w:rPr>
        <w:t>ž</w:t>
      </w:r>
      <w:r w:rsidRPr="00155F80">
        <w:rPr>
          <w:rFonts w:ascii="Times New Roman" w:hAnsi="Times New Roman"/>
        </w:rPr>
        <w:t>du</w:t>
      </w:r>
      <w:r w:rsidRPr="00155F80">
        <w:rPr>
          <w:rFonts w:ascii="Times New Roman" w:hAnsi="Times New Roman"/>
          <w:lang w:val="bs-Latn-BA"/>
        </w:rPr>
        <w:t xml:space="preserve">. </w:t>
      </w:r>
      <w:r w:rsidRPr="00155F80">
        <w:rPr>
          <w:rStyle w:val="Emphasis"/>
          <w:rFonts w:ascii="Times New Roman" w:hAnsi="Times New Roman"/>
          <w:i w:val="0"/>
          <w:iCs w:val="0"/>
        </w:rPr>
        <w:t>Kontinuirana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mjerenja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osnovnih</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zra</w:t>
      </w:r>
      <w:r w:rsidRPr="00155F80">
        <w:rPr>
          <w:rStyle w:val="Emphasis"/>
          <w:rFonts w:ascii="Times New Roman" w:hAnsi="Times New Roman"/>
          <w:i w:val="0"/>
          <w:iCs w:val="0"/>
          <w:lang w:val="bs-Latn-BA"/>
        </w:rPr>
        <w:t>č</w:t>
      </w:r>
      <w:r w:rsidRPr="00155F80">
        <w:rPr>
          <w:rStyle w:val="Emphasis"/>
          <w:rFonts w:ascii="Times New Roman" w:hAnsi="Times New Roman"/>
          <w:i w:val="0"/>
          <w:iCs w:val="0"/>
        </w:rPr>
        <w:t>nih</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polutanata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SO</w:t>
      </w:r>
      <w:r w:rsidRPr="00155F80">
        <w:rPr>
          <w:rStyle w:val="Emphasis"/>
          <w:rFonts w:ascii="Times New Roman" w:hAnsi="Times New Roman"/>
          <w:i w:val="0"/>
          <w:iCs w:val="0"/>
          <w:vertAlign w:val="subscript"/>
          <w:lang w:val="bs-Latn-BA"/>
        </w:rPr>
        <w:t>2</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CO</w:t>
      </w:r>
      <w:r w:rsidRPr="00155F80">
        <w:rPr>
          <w:rStyle w:val="Emphasis"/>
          <w:rFonts w:ascii="Times New Roman" w:hAnsi="Times New Roman"/>
          <w:i w:val="0"/>
          <w:iCs w:val="0"/>
          <w:lang w:val="bs-Latn-BA"/>
        </w:rPr>
        <w:t xml:space="preserve">, </w:t>
      </w:r>
      <w:r w:rsidR="00C651BA">
        <w:rPr>
          <w:rStyle w:val="Emphasis"/>
          <w:rFonts w:ascii="Times New Roman" w:hAnsi="Times New Roman"/>
          <w:i w:val="0"/>
          <w:iCs w:val="0"/>
        </w:rPr>
        <w:t>dušični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oksidi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bs-Latn-BA"/>
        </w:rPr>
        <w:t>ć</w:t>
      </w:r>
      <w:r w:rsidRPr="00155F80">
        <w:rPr>
          <w:rStyle w:val="Emphasis"/>
          <w:rFonts w:ascii="Times New Roman" w:hAnsi="Times New Roman"/>
          <w:i w:val="0"/>
          <w:iCs w:val="0"/>
        </w:rPr>
        <w:t>e</w:t>
      </w:r>
      <w:r w:rsidRPr="00155F80">
        <w:rPr>
          <w:rStyle w:val="Emphasis"/>
          <w:rFonts w:ascii="Times New Roman" w:hAnsi="Times New Roman"/>
          <w:i w:val="0"/>
          <w:iCs w:val="0"/>
          <w:lang w:val="bs-Latn-BA"/>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bs-Latn-BA"/>
        </w:rPr>
        <w:t xml:space="preserve">) </w:t>
      </w:r>
      <w:r w:rsidR="00A305C2">
        <w:rPr>
          <w:rStyle w:val="Emphasis"/>
          <w:rFonts w:ascii="Times New Roman" w:hAnsi="Times New Roman"/>
          <w:i w:val="0"/>
          <w:iCs w:val="0"/>
        </w:rPr>
        <w:t>provode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kantonalni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zavodi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javno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zdravstvo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Sarajevu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Tuzli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Zenici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dok</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ostalim</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gradovima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mjerenja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ne</w:t>
      </w:r>
      <w:r w:rsidRPr="00155F80">
        <w:rPr>
          <w:rStyle w:val="Emphasis"/>
          <w:rFonts w:ascii="Times New Roman" w:hAnsi="Times New Roman"/>
          <w:i w:val="0"/>
          <w:iCs w:val="0"/>
          <w:lang w:val="bs-Latn-BA"/>
        </w:rPr>
        <w:t xml:space="preserve"> </w:t>
      </w:r>
      <w:r w:rsidR="00A305C2">
        <w:rPr>
          <w:rStyle w:val="Emphasis"/>
          <w:rFonts w:ascii="Times New Roman" w:hAnsi="Times New Roman"/>
          <w:i w:val="0"/>
          <w:iCs w:val="0"/>
        </w:rPr>
        <w:t>obavljaju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zbog</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nedostatka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sofisticirane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opreme</w:t>
      </w:r>
      <w:r w:rsidRPr="00155F80">
        <w:rPr>
          <w:rStyle w:val="Emphasis"/>
          <w:rFonts w:ascii="Times New Roman" w:hAnsi="Times New Roman"/>
          <w:i w:val="0"/>
          <w:iCs w:val="0"/>
          <w:lang w:val="bs-Latn-BA"/>
        </w:rPr>
        <w:t xml:space="preserve">.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Raspoloživa </w:t>
      </w:r>
      <w:r w:rsidRPr="00155F80">
        <w:rPr>
          <w:rFonts w:ascii="Times New Roman" w:hAnsi="Times New Roman"/>
        </w:rPr>
        <w:t>mjesta</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odlaganje</w:t>
      </w:r>
      <w:r w:rsidRPr="00155F80">
        <w:rPr>
          <w:rFonts w:ascii="Times New Roman" w:hAnsi="Times New Roman"/>
          <w:lang w:val="hr-HR"/>
        </w:rPr>
        <w:t xml:space="preserve"> čvrstog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nedovoljna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00A305C2">
        <w:rPr>
          <w:rFonts w:ascii="Times New Roman" w:hAnsi="Times New Roman"/>
          <w:lang w:val="hr-HR"/>
        </w:rPr>
        <w:t xml:space="preserve">usporedbi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koli</w:t>
      </w:r>
      <w:r w:rsidRPr="00155F80">
        <w:rPr>
          <w:rFonts w:ascii="Times New Roman" w:hAnsi="Times New Roman"/>
          <w:lang w:val="hr-HR"/>
        </w:rPr>
        <w:t>č</w:t>
      </w:r>
      <w:r w:rsidRPr="00155F80">
        <w:rPr>
          <w:rFonts w:ascii="Times New Roman" w:hAnsi="Times New Roman"/>
        </w:rPr>
        <w:t>inom</w:t>
      </w:r>
      <w:r w:rsidRPr="00155F80">
        <w:rPr>
          <w:rFonts w:ascii="Times New Roman" w:hAnsi="Times New Roman"/>
          <w:lang w:val="hr-HR"/>
        </w:rPr>
        <w:t xml:space="preserve"> </w:t>
      </w:r>
      <w:r w:rsidRPr="00155F80">
        <w:rPr>
          <w:rFonts w:ascii="Times New Roman" w:hAnsi="Times New Roman"/>
        </w:rPr>
        <w:t>proizvedenog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Kao</w:t>
      </w:r>
      <w:r w:rsidRPr="00155F80">
        <w:rPr>
          <w:rFonts w:ascii="Times New Roman" w:hAnsi="Times New Roman"/>
          <w:lang w:val="hr-HR"/>
        </w:rPr>
        <w:t xml:space="preserve"> </w:t>
      </w:r>
      <w:r w:rsidRPr="00155F80">
        <w:rPr>
          <w:rFonts w:ascii="Times New Roman" w:hAnsi="Times New Roman"/>
        </w:rPr>
        <w:t>posljedica</w:t>
      </w:r>
      <w:r w:rsidRPr="00155F80">
        <w:rPr>
          <w:rFonts w:ascii="Times New Roman" w:hAnsi="Times New Roman"/>
          <w:lang w:val="hr-HR"/>
        </w:rPr>
        <w:t xml:space="preserve"> </w:t>
      </w:r>
      <w:r w:rsidRPr="00155F80">
        <w:rPr>
          <w:rFonts w:ascii="Times New Roman" w:hAnsi="Times New Roman"/>
        </w:rPr>
        <w:t>toga</w:t>
      </w:r>
      <w:r w:rsidRPr="00155F80">
        <w:rPr>
          <w:rFonts w:ascii="Times New Roman" w:hAnsi="Times New Roman"/>
          <w:lang w:val="hr-HR"/>
        </w:rPr>
        <w:t xml:space="preserve">, </w:t>
      </w:r>
      <w:r w:rsidRPr="00155F80">
        <w:rPr>
          <w:rFonts w:ascii="Times New Roman" w:hAnsi="Times New Roman"/>
        </w:rPr>
        <w:t>zna</w:t>
      </w:r>
      <w:r w:rsidRPr="00155F80">
        <w:rPr>
          <w:rFonts w:ascii="Times New Roman" w:hAnsi="Times New Roman"/>
          <w:lang w:val="hr-HR"/>
        </w:rPr>
        <w:t>č</w:t>
      </w:r>
      <w:r w:rsidRPr="00155F80">
        <w:rPr>
          <w:rFonts w:ascii="Times New Roman" w:hAnsi="Times New Roman"/>
        </w:rPr>
        <w:t>ajne</w:t>
      </w:r>
      <w:r w:rsidRPr="00155F80">
        <w:rPr>
          <w:rFonts w:ascii="Times New Roman" w:hAnsi="Times New Roman"/>
          <w:lang w:val="hr-HR"/>
        </w:rPr>
        <w:t xml:space="preserve"> </w:t>
      </w:r>
      <w:r w:rsidRPr="00155F80">
        <w:rPr>
          <w:rFonts w:ascii="Times New Roman" w:hAnsi="Times New Roman"/>
        </w:rPr>
        <w:t>koli</w:t>
      </w:r>
      <w:r w:rsidRPr="00155F80">
        <w:rPr>
          <w:rFonts w:ascii="Times New Roman" w:hAnsi="Times New Roman"/>
          <w:lang w:val="hr-HR"/>
        </w:rPr>
        <w:t>č</w:t>
      </w:r>
      <w:r w:rsidRPr="00155F80">
        <w:rPr>
          <w:rFonts w:ascii="Times New Roman" w:hAnsi="Times New Roman"/>
        </w:rPr>
        <w:t>ine</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odlo</w:t>
      </w:r>
      <w:r w:rsidRPr="00155F80">
        <w:rPr>
          <w:rFonts w:ascii="Times New Roman" w:hAnsi="Times New Roman"/>
          <w:lang w:val="hr-HR"/>
        </w:rPr>
        <w:t>ž</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nedozvoljenim</w:t>
      </w:r>
      <w:r w:rsidRPr="00155F80">
        <w:rPr>
          <w:rFonts w:ascii="Times New Roman" w:hAnsi="Times New Roman"/>
          <w:lang w:val="hr-HR"/>
        </w:rPr>
        <w:t xml:space="preserve"> </w:t>
      </w:r>
      <w:r w:rsidRPr="00155F80">
        <w:rPr>
          <w:rFonts w:ascii="Times New Roman" w:hAnsi="Times New Roman"/>
        </w:rPr>
        <w:t>mjestima</w:t>
      </w:r>
      <w:r w:rsidRPr="00155F80">
        <w:rPr>
          <w:rFonts w:ascii="Times New Roman" w:hAnsi="Times New Roman"/>
          <w:lang w:val="hr-HR"/>
        </w:rPr>
        <w:t xml:space="preserve"> - </w:t>
      </w:r>
      <w:r w:rsidRPr="00155F80">
        <w:rPr>
          <w:rFonts w:ascii="Times New Roman" w:hAnsi="Times New Roman"/>
        </w:rPr>
        <w:t>pored</w:t>
      </w:r>
      <w:r w:rsidRPr="00155F80">
        <w:rPr>
          <w:rFonts w:ascii="Times New Roman" w:hAnsi="Times New Roman"/>
          <w:lang w:val="hr-HR"/>
        </w:rPr>
        <w:t xml:space="preserve"> </w:t>
      </w:r>
      <w:r w:rsidRPr="00155F80">
        <w:rPr>
          <w:rFonts w:ascii="Times New Roman" w:hAnsi="Times New Roman"/>
        </w:rPr>
        <w:t>puteva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seoskim</w:t>
      </w:r>
      <w:r w:rsidRPr="00155F80">
        <w:rPr>
          <w:rFonts w:ascii="Times New Roman" w:hAnsi="Times New Roman"/>
          <w:lang w:val="hr-HR"/>
        </w:rPr>
        <w:t xml:space="preserve"> </w:t>
      </w:r>
      <w:r w:rsidRPr="00155F80">
        <w:rPr>
          <w:rFonts w:ascii="Times New Roman" w:hAnsi="Times New Roman"/>
        </w:rPr>
        <w:t>smetlji</w:t>
      </w:r>
      <w:r w:rsidRPr="00155F80">
        <w:rPr>
          <w:rFonts w:ascii="Times New Roman" w:hAnsi="Times New Roman"/>
          <w:lang w:val="hr-HR"/>
        </w:rPr>
        <w:t>š</w:t>
      </w:r>
      <w:r w:rsidRPr="00155F80">
        <w:rPr>
          <w:rFonts w:ascii="Times New Roman" w:hAnsi="Times New Roman"/>
        </w:rPr>
        <w:t>tima</w:t>
      </w:r>
      <w:r w:rsidRPr="00155F80">
        <w:rPr>
          <w:rFonts w:ascii="Times New Roman" w:hAnsi="Times New Roman"/>
          <w:lang w:val="hr-HR"/>
        </w:rPr>
        <w:t xml:space="preserve">, </w:t>
      </w:r>
      <w:r w:rsidRPr="00155F80">
        <w:rPr>
          <w:rFonts w:ascii="Times New Roman" w:hAnsi="Times New Roman"/>
        </w:rPr>
        <w:t>rije</w:t>
      </w:r>
      <w:r w:rsidRPr="00155F80">
        <w:rPr>
          <w:rFonts w:ascii="Times New Roman" w:hAnsi="Times New Roman"/>
          <w:lang w:val="hr-HR"/>
        </w:rPr>
        <w:t>č</w:t>
      </w:r>
      <w:r w:rsidRPr="00155F80">
        <w:rPr>
          <w:rFonts w:ascii="Times New Roman" w:hAnsi="Times New Roman"/>
        </w:rPr>
        <w:t>nim</w:t>
      </w:r>
      <w:r w:rsidRPr="00155F80">
        <w:rPr>
          <w:rFonts w:ascii="Times New Roman" w:hAnsi="Times New Roman"/>
          <w:lang w:val="hr-HR"/>
        </w:rPr>
        <w:t xml:space="preserve"> </w:t>
      </w:r>
      <w:r w:rsidRPr="00155F80">
        <w:rPr>
          <w:rFonts w:ascii="Times New Roman" w:hAnsi="Times New Roman"/>
        </w:rPr>
        <w:t>koritima</w:t>
      </w:r>
      <w:r w:rsidRPr="00155F80">
        <w:rPr>
          <w:rFonts w:ascii="Times New Roman" w:hAnsi="Times New Roman"/>
          <w:lang w:val="hr-HR"/>
        </w:rPr>
        <w:t xml:space="preserve"> </w:t>
      </w:r>
      <w:r w:rsidRPr="00155F80">
        <w:rPr>
          <w:rFonts w:ascii="Times New Roman" w:hAnsi="Times New Roman"/>
        </w:rPr>
        <w:t>ili</w:t>
      </w:r>
      <w:r w:rsidRPr="00155F80">
        <w:rPr>
          <w:rFonts w:ascii="Times New Roman" w:hAnsi="Times New Roman"/>
          <w:lang w:val="hr-HR"/>
        </w:rPr>
        <w:t xml:space="preserve"> </w:t>
      </w:r>
      <w:r w:rsidRPr="00155F80">
        <w:rPr>
          <w:rFonts w:ascii="Times New Roman" w:hAnsi="Times New Roman"/>
        </w:rPr>
        <w:t>napu</w:t>
      </w:r>
      <w:r w:rsidRPr="00155F80">
        <w:rPr>
          <w:rFonts w:ascii="Times New Roman" w:hAnsi="Times New Roman"/>
          <w:lang w:val="hr-HR"/>
        </w:rPr>
        <w:t>š</w:t>
      </w:r>
      <w:r w:rsidRPr="00155F80">
        <w:rPr>
          <w:rFonts w:ascii="Times New Roman" w:hAnsi="Times New Roman"/>
        </w:rPr>
        <w:t>tenim</w:t>
      </w:r>
      <w:r w:rsidRPr="00155F80">
        <w:rPr>
          <w:rFonts w:ascii="Times New Roman" w:hAnsi="Times New Roman"/>
          <w:lang w:val="hr-HR"/>
        </w:rPr>
        <w:t xml:space="preserve"> </w:t>
      </w:r>
      <w:r w:rsidRPr="00155F80">
        <w:rPr>
          <w:rFonts w:ascii="Times New Roman" w:hAnsi="Times New Roman"/>
        </w:rPr>
        <w:t>rudnicima</w:t>
      </w:r>
      <w:r w:rsidRPr="00155F80">
        <w:rPr>
          <w:rFonts w:ascii="Times New Roman" w:hAnsi="Times New Roman"/>
          <w:lang w:val="hr-HR"/>
        </w:rPr>
        <w:t xml:space="preserve">. </w:t>
      </w:r>
      <w:r w:rsidRPr="00155F80">
        <w:rPr>
          <w:rFonts w:ascii="Times New Roman" w:hAnsi="Times New Roman"/>
        </w:rPr>
        <w:t>Ova</w:t>
      </w:r>
      <w:r w:rsidRPr="00155F80">
        <w:rPr>
          <w:rFonts w:ascii="Times New Roman" w:hAnsi="Times New Roman"/>
          <w:lang w:val="hr-HR"/>
        </w:rPr>
        <w:t xml:space="preserve"> </w:t>
      </w:r>
      <w:r w:rsidRPr="00155F80">
        <w:rPr>
          <w:rFonts w:ascii="Times New Roman" w:hAnsi="Times New Roman"/>
        </w:rPr>
        <w:t>mjesta</w:t>
      </w:r>
      <w:r w:rsidRPr="00155F80">
        <w:rPr>
          <w:rFonts w:ascii="Times New Roman" w:hAnsi="Times New Roman"/>
          <w:lang w:val="hr-HR"/>
        </w:rPr>
        <w:t xml:space="preserve"> </w:t>
      </w:r>
      <w:r w:rsidRPr="00155F80">
        <w:rPr>
          <w:rFonts w:ascii="Times New Roman" w:hAnsi="Times New Roman"/>
        </w:rPr>
        <w:t>predstavljaju</w:t>
      </w:r>
      <w:r w:rsidRPr="00155F80">
        <w:rPr>
          <w:rFonts w:ascii="Times New Roman" w:hAnsi="Times New Roman"/>
          <w:lang w:val="hr-HR"/>
        </w:rPr>
        <w:t xml:space="preserve"> </w:t>
      </w:r>
      <w:r w:rsidRPr="00155F80">
        <w:rPr>
          <w:rFonts w:ascii="Times New Roman" w:hAnsi="Times New Roman"/>
        </w:rPr>
        <w:t>opasnost</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podzemne</w:t>
      </w:r>
      <w:r w:rsidRPr="00155F80">
        <w:rPr>
          <w:rFonts w:ascii="Times New Roman" w:hAnsi="Times New Roman"/>
          <w:lang w:val="hr-HR"/>
        </w:rPr>
        <w:t xml:space="preserve"> </w:t>
      </w:r>
      <w:r w:rsidRPr="00155F80">
        <w:rPr>
          <w:rFonts w:ascii="Times New Roman" w:hAnsi="Times New Roman"/>
        </w:rPr>
        <w:t>vode</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o</w:t>
      </w:r>
      <w:r w:rsidR="00A305C2">
        <w:rPr>
          <w:rFonts w:ascii="Times New Roman" w:hAnsi="Times New Roman"/>
        </w:rPr>
        <w:t>siguravaju</w:t>
      </w:r>
      <w:r w:rsidRPr="00155F80">
        <w:rPr>
          <w:rFonts w:ascii="Times New Roman" w:hAnsi="Times New Roman"/>
          <w:lang w:val="hr-HR"/>
        </w:rPr>
        <w:t xml:space="preserve"> </w:t>
      </w:r>
      <w:r w:rsidRPr="00155F80">
        <w:rPr>
          <w:rFonts w:ascii="Times New Roman" w:hAnsi="Times New Roman"/>
        </w:rPr>
        <w:t>pitku</w:t>
      </w:r>
      <w:r w:rsidRPr="00155F80">
        <w:rPr>
          <w:rFonts w:ascii="Times New Roman" w:hAnsi="Times New Roman"/>
          <w:lang w:val="hr-HR"/>
        </w:rPr>
        <w:t xml:space="preserve"> </w:t>
      </w:r>
      <w:r w:rsidRPr="00155F80">
        <w:rPr>
          <w:rFonts w:ascii="Times New Roman" w:hAnsi="Times New Roman"/>
        </w:rPr>
        <w:t>vodu</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s</w:t>
      </w:r>
      <w:r w:rsidRPr="00155F80">
        <w:rPr>
          <w:rFonts w:ascii="Times New Roman" w:hAnsi="Times New Roman"/>
        </w:rPr>
        <w:t>tanovni</w:t>
      </w:r>
      <w:r w:rsidRPr="00155F80">
        <w:rPr>
          <w:rFonts w:ascii="Times New Roman" w:hAnsi="Times New Roman"/>
          <w:lang w:val="hr-HR"/>
        </w:rPr>
        <w:t>š</w:t>
      </w:r>
      <w:r w:rsidRPr="00155F80">
        <w:rPr>
          <w:rFonts w:ascii="Times New Roman" w:hAnsi="Times New Roman"/>
        </w:rPr>
        <w:t>tvo</w:t>
      </w:r>
      <w:r w:rsidRPr="00155F80">
        <w:rPr>
          <w:rFonts w:ascii="Times New Roman" w:hAnsi="Times New Roman"/>
          <w:lang w:val="hr-HR"/>
        </w:rPr>
        <w:t xml:space="preserve">, </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samim</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rizik</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ljudsko</w:t>
      </w:r>
      <w:r w:rsidRPr="00155F80">
        <w:rPr>
          <w:rFonts w:ascii="Times New Roman" w:hAnsi="Times New Roman"/>
          <w:lang w:val="hr-HR"/>
        </w:rPr>
        <w:t xml:space="preserve"> </w:t>
      </w:r>
      <w:r w:rsidRPr="00155F80">
        <w:rPr>
          <w:rFonts w:ascii="Times New Roman" w:hAnsi="Times New Roman"/>
        </w:rPr>
        <w:t>zdravlje</w:t>
      </w:r>
      <w:r w:rsidRPr="00155F80">
        <w:rPr>
          <w:rFonts w:ascii="Times New Roman" w:hAnsi="Times New Roman"/>
          <w:lang w:val="hr-HR"/>
        </w:rPr>
        <w:t xml:space="preserve"> </w:t>
      </w:r>
      <w:r w:rsidRPr="00155F80">
        <w:rPr>
          <w:rFonts w:ascii="Times New Roman" w:hAnsi="Times New Roman"/>
        </w:rPr>
        <w:t>usl</w:t>
      </w:r>
      <w:r w:rsidR="00A305C2">
        <w:rPr>
          <w:rFonts w:ascii="Times New Roman" w:hAnsi="Times New Roman"/>
        </w:rPr>
        <w:t>i</w:t>
      </w:r>
      <w:r w:rsidRPr="00155F80">
        <w:rPr>
          <w:rFonts w:ascii="Times New Roman" w:hAnsi="Times New Roman"/>
        </w:rPr>
        <w:t>jed</w:t>
      </w:r>
      <w:r w:rsidRPr="00155F80">
        <w:rPr>
          <w:rFonts w:ascii="Times New Roman" w:hAnsi="Times New Roman"/>
          <w:lang w:val="hr-HR"/>
        </w:rPr>
        <w:t xml:space="preserve"> </w:t>
      </w:r>
      <w:r w:rsidRPr="00155F80">
        <w:rPr>
          <w:rFonts w:ascii="Times New Roman" w:hAnsi="Times New Roman"/>
        </w:rPr>
        <w:t>spiranja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curenja</w:t>
      </w:r>
      <w:r w:rsidRPr="00155F80">
        <w:rPr>
          <w:rFonts w:ascii="Times New Roman" w:hAnsi="Times New Roman"/>
          <w:lang w:val="hr-HR"/>
        </w:rPr>
        <w:t xml:space="preserve"> </w:t>
      </w:r>
      <w:r w:rsidR="00A305C2">
        <w:rPr>
          <w:rFonts w:ascii="Times New Roman" w:hAnsi="Times New Roman"/>
        </w:rPr>
        <w:t>onečiščujućih</w:t>
      </w:r>
      <w:r w:rsidRPr="00155F80">
        <w:rPr>
          <w:rFonts w:ascii="Times New Roman" w:hAnsi="Times New Roman"/>
          <w:lang w:val="hr-HR"/>
        </w:rPr>
        <w:t xml:space="preserve"> </w:t>
      </w:r>
      <w:r w:rsidR="00D21A46">
        <w:rPr>
          <w:rFonts w:ascii="Times New Roman" w:hAnsi="Times New Roman"/>
        </w:rPr>
        <w:t>materija</w:t>
      </w:r>
      <w:r w:rsidR="00A305C2">
        <w:rPr>
          <w:rFonts w:ascii="Times New Roman" w:hAnsi="Times New Roman"/>
        </w:rPr>
        <w:t>i</w:t>
      </w:r>
      <w:r w:rsidRPr="00155F80">
        <w:rPr>
          <w:rFonts w:ascii="Times New Roman" w:hAnsi="Times New Roman"/>
          <w:lang w:val="hr-HR"/>
        </w:rPr>
        <w:t xml:space="preserve">. Osim toga, tečne otpadne </w:t>
      </w:r>
      <w:r w:rsidR="00D21A46">
        <w:rPr>
          <w:rFonts w:ascii="Times New Roman" w:hAnsi="Times New Roman"/>
          <w:lang w:val="hr-HR"/>
        </w:rPr>
        <w:t>materija</w:t>
      </w:r>
      <w:r w:rsidR="00A305C2">
        <w:rPr>
          <w:rFonts w:ascii="Times New Roman" w:hAnsi="Times New Roman"/>
          <w:lang w:val="hr-HR"/>
        </w:rPr>
        <w:t>i</w:t>
      </w:r>
      <w:r w:rsidRPr="00155F80">
        <w:rPr>
          <w:rFonts w:ascii="Times New Roman" w:hAnsi="Times New Roman"/>
          <w:lang w:val="hr-HR"/>
        </w:rPr>
        <w:t xml:space="preserve"> se uglavnom bez prethodnog prečišćavanja ispuštaju u rijeke i jezera.</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Jedan od vodećih javnozdravstvenih problema u svijetu su mikrobiološka i </w:t>
      </w:r>
      <w:r w:rsidR="00950A64">
        <w:rPr>
          <w:rFonts w:ascii="Times New Roman" w:hAnsi="Times New Roman"/>
          <w:lang w:val="hr-HR"/>
        </w:rPr>
        <w:t>hemijska</w:t>
      </w:r>
      <w:r w:rsidRPr="00155F80">
        <w:rPr>
          <w:rFonts w:ascii="Times New Roman" w:hAnsi="Times New Roman"/>
          <w:lang w:val="hr-HR"/>
        </w:rPr>
        <w:t xml:space="preserve"> onečišćenja hrane, koja su čest uzrok infekcija i trovanja stanovništva. Alimentarne toksikoinfekcije se nalaze na listi deset vodećih zaraznih oboljenj</w:t>
      </w:r>
      <w:r w:rsidR="00AA0D77" w:rsidRPr="00155F80">
        <w:rPr>
          <w:rFonts w:ascii="Times New Roman" w:hAnsi="Times New Roman"/>
          <w:lang w:val="hr-HR"/>
        </w:rPr>
        <w:t>a i na području Federacije BiH.</w:t>
      </w:r>
    </w:p>
    <w:p w:rsidR="00A131AD" w:rsidRPr="00155F80" w:rsidRDefault="00A131AD" w:rsidP="000C0138">
      <w:pPr>
        <w:spacing w:line="276" w:lineRule="auto"/>
        <w:rPr>
          <w:rFonts w:ascii="Times New Roman" w:hAnsi="Times New Roman"/>
          <w:lang w:val="hr-HR"/>
        </w:rPr>
      </w:pPr>
    </w:p>
    <w:p w:rsidR="00A131AD" w:rsidRPr="00155F80" w:rsidRDefault="008F6458" w:rsidP="000C0138">
      <w:pPr>
        <w:pStyle w:val="Poglavlje3"/>
        <w:spacing w:line="276" w:lineRule="auto"/>
        <w:rPr>
          <w:rStyle w:val="Emphasis"/>
          <w:iCs/>
        </w:rPr>
      </w:pPr>
      <w:bookmarkStart w:id="327" w:name="_Toc392229080"/>
      <w:bookmarkStart w:id="328" w:name="_Toc460929210"/>
      <w:r>
        <w:rPr>
          <w:rStyle w:val="Emphasis"/>
          <w:iCs/>
        </w:rPr>
        <w:t>4.2</w:t>
      </w:r>
      <w:r w:rsidR="000E1376" w:rsidRPr="00155F80">
        <w:rPr>
          <w:rStyle w:val="Emphasis"/>
          <w:iCs/>
        </w:rPr>
        <w:t xml:space="preserve">.1 </w:t>
      </w:r>
      <w:r w:rsidR="00A131AD" w:rsidRPr="00155F80">
        <w:rPr>
          <w:rStyle w:val="Emphasis"/>
          <w:iCs/>
        </w:rPr>
        <w:t>Voda za piće</w:t>
      </w:r>
      <w:bookmarkEnd w:id="327"/>
      <w:bookmarkEnd w:id="328"/>
    </w:p>
    <w:p w:rsidR="00A131AD" w:rsidRPr="00155F80" w:rsidRDefault="00A131AD" w:rsidP="000C0138">
      <w:pPr>
        <w:spacing w:line="276" w:lineRule="auto"/>
        <w:rPr>
          <w:rStyle w:val="Emphasis"/>
          <w:rFonts w:ascii="Times New Roman" w:hAnsi="Times New Roman"/>
          <w:b/>
          <w:bCs/>
          <w:i w:val="0"/>
          <w:iCs w:val="0"/>
        </w:rPr>
      </w:pP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 xml:space="preserve">Na području Federacije Bosne i Hercegovine ne postoji jedinstven registar vodoopskrbnih objekata, što onemogućava potpuni uvid u </w:t>
      </w:r>
      <w:r w:rsidR="00512E30">
        <w:rPr>
          <w:rStyle w:val="Emphasis"/>
          <w:rFonts w:ascii="Times New Roman" w:hAnsi="Times New Roman"/>
          <w:i w:val="0"/>
          <w:iCs w:val="0"/>
        </w:rPr>
        <w:t>sistem</w:t>
      </w:r>
      <w:r w:rsidRPr="00155F80">
        <w:rPr>
          <w:rStyle w:val="Emphasis"/>
          <w:rFonts w:ascii="Times New Roman" w:hAnsi="Times New Roman"/>
          <w:i w:val="0"/>
          <w:iCs w:val="0"/>
        </w:rPr>
        <w:t xml:space="preserve"> </w:t>
      </w:r>
      <w:r w:rsidR="00F70FD4">
        <w:rPr>
          <w:rStyle w:val="Emphasis"/>
          <w:rFonts w:ascii="Times New Roman" w:hAnsi="Times New Roman"/>
          <w:i w:val="0"/>
          <w:iCs w:val="0"/>
        </w:rPr>
        <w:t>vodosnabdijevanja</w:t>
      </w:r>
      <w:r w:rsidRPr="00155F80">
        <w:rPr>
          <w:rStyle w:val="Emphasis"/>
          <w:rFonts w:ascii="Times New Roman" w:hAnsi="Times New Roman"/>
          <w:i w:val="0"/>
          <w:iCs w:val="0"/>
        </w:rPr>
        <w:t>, kao i d</w:t>
      </w:r>
      <w:r w:rsidR="00A87C61">
        <w:rPr>
          <w:rStyle w:val="Emphasis"/>
          <w:rFonts w:ascii="Times New Roman" w:hAnsi="Times New Roman"/>
          <w:i w:val="0"/>
          <w:iCs w:val="0"/>
        </w:rPr>
        <w:t>onošenje adekvatnih zaštitnih m</w:t>
      </w:r>
      <w:r w:rsidRPr="00155F80">
        <w:rPr>
          <w:rStyle w:val="Emphasis"/>
          <w:rFonts w:ascii="Times New Roman" w:hAnsi="Times New Roman"/>
          <w:i w:val="0"/>
          <w:iCs w:val="0"/>
        </w:rPr>
        <w:t xml:space="preserve">jera. Prema Strategiji upravljanja vodama Federacije BiH, koja je usvojena 2011. godine, na </w:t>
      </w:r>
      <w:r w:rsidR="00DB0101">
        <w:rPr>
          <w:rStyle w:val="Emphasis"/>
          <w:rFonts w:ascii="Times New Roman" w:hAnsi="Times New Roman"/>
          <w:i w:val="0"/>
          <w:iCs w:val="0"/>
        </w:rPr>
        <w:t xml:space="preserve">središnji </w:t>
      </w:r>
      <w:r w:rsidR="00512E30">
        <w:rPr>
          <w:rStyle w:val="Emphasis"/>
          <w:rFonts w:ascii="Times New Roman" w:hAnsi="Times New Roman"/>
          <w:i w:val="0"/>
          <w:iCs w:val="0"/>
        </w:rPr>
        <w:t>sistem</w:t>
      </w:r>
      <w:r w:rsidRPr="00155F80">
        <w:rPr>
          <w:rStyle w:val="Emphasis"/>
          <w:rFonts w:ascii="Times New Roman" w:hAnsi="Times New Roman"/>
          <w:i w:val="0"/>
          <w:iCs w:val="0"/>
        </w:rPr>
        <w:t xml:space="preserve"> </w:t>
      </w:r>
      <w:r w:rsidR="00F70FD4">
        <w:rPr>
          <w:rStyle w:val="Emphasis"/>
          <w:rFonts w:ascii="Times New Roman" w:hAnsi="Times New Roman"/>
          <w:i w:val="0"/>
          <w:iCs w:val="0"/>
        </w:rPr>
        <w:t>vodosnabdijevanja</w:t>
      </w:r>
      <w:r w:rsidRPr="00155F80">
        <w:rPr>
          <w:rStyle w:val="Emphasis"/>
          <w:rFonts w:ascii="Times New Roman" w:hAnsi="Times New Roman"/>
          <w:i w:val="0"/>
          <w:iCs w:val="0"/>
        </w:rPr>
        <w:t xml:space="preserve">, gdje se voda kontinuirano kontrolira na zdravstvenu ispravnost, priključeno je 60% stanovništva. </w:t>
      </w:r>
      <w:r w:rsidR="00512E30">
        <w:rPr>
          <w:rStyle w:val="Emphasis"/>
          <w:rFonts w:ascii="Times New Roman" w:hAnsi="Times New Roman"/>
          <w:i w:val="0"/>
          <w:iCs w:val="0"/>
        </w:rPr>
        <w:t>Obolijevanje</w:t>
      </w:r>
      <w:r w:rsidRPr="00155F80">
        <w:rPr>
          <w:rStyle w:val="Emphasis"/>
          <w:rFonts w:ascii="Times New Roman" w:hAnsi="Times New Roman"/>
          <w:i w:val="0"/>
          <w:iCs w:val="0"/>
        </w:rPr>
        <w:t>jšane izvore vode za piće (voda iz vodovoda, zaštićeni bunar, zaštićeni izvor) koristi 9</w:t>
      </w:r>
      <w:r w:rsidR="00AA0D77" w:rsidRPr="00155F80">
        <w:rPr>
          <w:rStyle w:val="Emphasis"/>
          <w:rFonts w:ascii="Times New Roman" w:hAnsi="Times New Roman"/>
          <w:i w:val="0"/>
          <w:iCs w:val="0"/>
        </w:rPr>
        <w:t>9,6% stanovništva.</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 xml:space="preserve">Naša zemlja raspolaže značajnim vodnim resursima, ali kontrola zdravstvene ispravnosti vode nije u potpunosti zadovoljavajuća, posebno u ruralnim područjima, gdje se stanovništvo snabdijeva vodom iz individualnih vodnih objekata (bunari, cisterne, čatrnje, nekaptirani izvori). Najčešći uzročnici mikrobiološke kontaminacije vode za piće u ovim objektima </w:t>
      </w:r>
      <w:r w:rsidR="00F70FD4">
        <w:rPr>
          <w:rStyle w:val="Emphasis"/>
          <w:rFonts w:ascii="Times New Roman" w:hAnsi="Times New Roman"/>
          <w:i w:val="0"/>
          <w:iCs w:val="0"/>
        </w:rPr>
        <w:t>vodosnabdijevanja</w:t>
      </w:r>
      <w:r w:rsidRPr="00155F80">
        <w:rPr>
          <w:rStyle w:val="Emphasis"/>
          <w:rFonts w:ascii="Times New Roman" w:hAnsi="Times New Roman"/>
          <w:i w:val="0"/>
          <w:iCs w:val="0"/>
        </w:rPr>
        <w:t xml:space="preserve"> su Escherichia coli i Enterococcus faecalis.</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 xml:space="preserve">Na području Kantona Sarajevo </w:t>
      </w:r>
      <w:r w:rsidR="00DB0101">
        <w:rPr>
          <w:rStyle w:val="Emphasis"/>
          <w:rFonts w:ascii="Times New Roman" w:hAnsi="Times New Roman"/>
          <w:i w:val="0"/>
          <w:iCs w:val="0"/>
        </w:rPr>
        <w:t>središnjim</w:t>
      </w:r>
      <w:r w:rsidRPr="00155F80">
        <w:rPr>
          <w:rStyle w:val="Emphasis"/>
          <w:rFonts w:ascii="Times New Roman" w:hAnsi="Times New Roman"/>
          <w:i w:val="0"/>
          <w:iCs w:val="0"/>
        </w:rPr>
        <w:t xml:space="preserve"> </w:t>
      </w:r>
      <w:r w:rsidR="00512E30">
        <w:rPr>
          <w:rStyle w:val="Emphasis"/>
          <w:rFonts w:ascii="Times New Roman" w:hAnsi="Times New Roman"/>
          <w:i w:val="0"/>
          <w:iCs w:val="0"/>
        </w:rPr>
        <w:t>sistem</w:t>
      </w:r>
      <w:r w:rsidR="00DB0101">
        <w:rPr>
          <w:rStyle w:val="Emphasis"/>
          <w:rFonts w:ascii="Times New Roman" w:hAnsi="Times New Roman"/>
          <w:i w:val="0"/>
          <w:iCs w:val="0"/>
        </w:rPr>
        <w:t>om</w:t>
      </w:r>
      <w:r w:rsidRPr="00155F80">
        <w:rPr>
          <w:rStyle w:val="Emphasis"/>
          <w:rFonts w:ascii="Times New Roman" w:hAnsi="Times New Roman"/>
          <w:i w:val="0"/>
          <w:iCs w:val="0"/>
        </w:rPr>
        <w:t xml:space="preserve"> </w:t>
      </w:r>
      <w:r w:rsidR="00F70FD4">
        <w:rPr>
          <w:rStyle w:val="Emphasis"/>
          <w:rFonts w:ascii="Times New Roman" w:hAnsi="Times New Roman"/>
          <w:i w:val="0"/>
          <w:iCs w:val="0"/>
        </w:rPr>
        <w:t>vodosnabdijevanja</w:t>
      </w:r>
      <w:r w:rsidRPr="00155F80">
        <w:rPr>
          <w:rStyle w:val="Emphasis"/>
          <w:rFonts w:ascii="Times New Roman" w:hAnsi="Times New Roman"/>
          <w:i w:val="0"/>
          <w:iCs w:val="0"/>
        </w:rPr>
        <w:t xml:space="preserve"> je obuhvaćeno 96,4% stanovništva, dok se ostali dio (3,6%) snabdijeva vodom za piće iz drugih vodnih objekata (lokalni vodovodi, bušeni ili kopani bunari, pumpe, manja vrela itd.). Pod kontinuiranim nadzorom na području devet </w:t>
      </w:r>
      <w:r w:rsidR="00CB080B">
        <w:rPr>
          <w:rStyle w:val="Emphasis"/>
          <w:rFonts w:ascii="Times New Roman" w:hAnsi="Times New Roman"/>
          <w:i w:val="0"/>
          <w:iCs w:val="0"/>
        </w:rPr>
        <w:t>opšti</w:t>
      </w:r>
      <w:r w:rsidRPr="00155F80">
        <w:rPr>
          <w:rStyle w:val="Emphasis"/>
          <w:rFonts w:ascii="Times New Roman" w:hAnsi="Times New Roman"/>
          <w:i w:val="0"/>
          <w:iCs w:val="0"/>
        </w:rPr>
        <w:t xml:space="preserve">na nalazi se 71 lokalni vodovod. </w:t>
      </w:r>
      <w:r w:rsidR="00F0369C">
        <w:rPr>
          <w:rStyle w:val="Emphasis"/>
          <w:rFonts w:ascii="Times New Roman" w:hAnsi="Times New Roman"/>
          <w:i w:val="0"/>
          <w:iCs w:val="0"/>
        </w:rPr>
        <w:t>Tokom</w:t>
      </w:r>
      <w:r w:rsidRPr="00155F80">
        <w:rPr>
          <w:rStyle w:val="Emphasis"/>
          <w:rFonts w:ascii="Times New Roman" w:hAnsi="Times New Roman"/>
          <w:i w:val="0"/>
          <w:iCs w:val="0"/>
        </w:rPr>
        <w:t xml:space="preserve"> protekle tri godine (2013</w:t>
      </w:r>
      <w:r w:rsidR="00EC077A">
        <w:rPr>
          <w:rStyle w:val="Emphasis"/>
          <w:rFonts w:ascii="Times New Roman" w:hAnsi="Times New Roman"/>
          <w:i w:val="0"/>
          <w:iCs w:val="0"/>
        </w:rPr>
        <w:t>.</w:t>
      </w:r>
      <w:r w:rsidRPr="00155F80">
        <w:rPr>
          <w:rStyle w:val="Emphasis"/>
          <w:rFonts w:ascii="Times New Roman" w:hAnsi="Times New Roman"/>
          <w:i w:val="0"/>
          <w:iCs w:val="0"/>
        </w:rPr>
        <w:t>-2015. godine) na području Kantona Sarajevo uzeti su uzorci vode za piće iz ukupno 60 predškolskih i školskih objekata na laboratorijske analize i ocjenu higijenske ispravnosti. Analizom izvješ</w:t>
      </w:r>
      <w:r w:rsidR="00DB0101">
        <w:rPr>
          <w:rStyle w:val="Emphasis"/>
          <w:rFonts w:ascii="Times New Roman" w:hAnsi="Times New Roman"/>
          <w:i w:val="0"/>
          <w:iCs w:val="0"/>
        </w:rPr>
        <w:t>ć</w:t>
      </w:r>
      <w:r w:rsidRPr="00155F80">
        <w:rPr>
          <w:rStyle w:val="Emphasis"/>
          <w:rFonts w:ascii="Times New Roman" w:hAnsi="Times New Roman"/>
          <w:i w:val="0"/>
          <w:iCs w:val="0"/>
        </w:rPr>
        <w:t>a o mikrobiološkim i fizičko-</w:t>
      </w:r>
      <w:r w:rsidR="00950A64">
        <w:rPr>
          <w:rStyle w:val="Emphasis"/>
          <w:rFonts w:ascii="Times New Roman" w:hAnsi="Times New Roman"/>
          <w:i w:val="0"/>
          <w:iCs w:val="0"/>
        </w:rPr>
        <w:t>hemijski</w:t>
      </w:r>
      <w:r w:rsidRPr="00155F80">
        <w:rPr>
          <w:rStyle w:val="Emphasis"/>
          <w:rFonts w:ascii="Times New Roman" w:hAnsi="Times New Roman"/>
          <w:i w:val="0"/>
          <w:iCs w:val="0"/>
        </w:rPr>
        <w:t>m ispitivanjima utvrđeno je da su uzorci uzeti iz distribu</w:t>
      </w:r>
      <w:r w:rsidR="00DB0101">
        <w:rPr>
          <w:rStyle w:val="Emphasis"/>
          <w:rFonts w:ascii="Times New Roman" w:hAnsi="Times New Roman"/>
          <w:i w:val="0"/>
          <w:iCs w:val="0"/>
        </w:rPr>
        <w:t>cijske</w:t>
      </w:r>
      <w:r w:rsidRPr="00155F80">
        <w:rPr>
          <w:rStyle w:val="Emphasis"/>
          <w:rFonts w:ascii="Times New Roman" w:hAnsi="Times New Roman"/>
          <w:i w:val="0"/>
          <w:iCs w:val="0"/>
        </w:rPr>
        <w:t xml:space="preserve"> mreže krajnjeg korisnika zadovoljavali propisane standarde. </w:t>
      </w:r>
      <w:r w:rsidR="00DB0101">
        <w:rPr>
          <w:rStyle w:val="Emphasis"/>
          <w:rFonts w:ascii="Times New Roman" w:hAnsi="Times New Roman"/>
          <w:i w:val="0"/>
          <w:iCs w:val="0"/>
        </w:rPr>
        <w:t>Usporedbom</w:t>
      </w:r>
      <w:r w:rsidRPr="00155F80">
        <w:rPr>
          <w:rStyle w:val="Emphasis"/>
          <w:rFonts w:ascii="Times New Roman" w:hAnsi="Times New Roman"/>
          <w:i w:val="0"/>
          <w:iCs w:val="0"/>
        </w:rPr>
        <w:t xml:space="preserve"> rezultata ispitivanja higijenske ispravnosti voda za kupanje u posljednje tri godine (bazenske i rekreativne vode), evidentno je smanjenje procenta higijenski neispravnih uzoraka bazenske vode, ali i smanjenje ukupnog broja uzetih uzoraka na području Kantona Sarajevo. Najveći broj uzoraka koji nije odgovarao propisima Pravilnika o zdravstvenoj ispravnosti vode za piće („Sl. Glasnik BiH“ broj 40/10) imao je povećane vrijednosti amonijaka i </w:t>
      </w:r>
      <w:r w:rsidR="00DB0101">
        <w:rPr>
          <w:rStyle w:val="Emphasis"/>
          <w:rFonts w:ascii="Times New Roman" w:hAnsi="Times New Roman"/>
          <w:i w:val="0"/>
          <w:iCs w:val="0"/>
        </w:rPr>
        <w:t>k</w:t>
      </w:r>
      <w:r w:rsidRPr="00155F80">
        <w:rPr>
          <w:rStyle w:val="Emphasis"/>
          <w:rFonts w:ascii="Times New Roman" w:hAnsi="Times New Roman"/>
          <w:i w:val="0"/>
          <w:iCs w:val="0"/>
        </w:rPr>
        <w:t>lorida ili je sadržavao patogene bakterije Pseudomonas aeru</w:t>
      </w:r>
      <w:r w:rsidR="00AA0D77" w:rsidRPr="00155F80">
        <w:rPr>
          <w:rStyle w:val="Emphasis"/>
          <w:rFonts w:ascii="Times New Roman" w:hAnsi="Times New Roman"/>
          <w:i w:val="0"/>
          <w:iCs w:val="0"/>
        </w:rPr>
        <w:t>ginosa i Enterococcus faecalis.</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 xml:space="preserve">U Unsko-sanskom, Hercegovačko-neretvanskom, Zeničko-dobojskom, Srednjebosanskom, Bosansko-podrinjskom kantona, Kantonu Tuzla, Zapadnohercegovačkom, Kantonu 10 i Posavskom kantonu, higijensko-sanitarno stanje vodnih objekata i </w:t>
      </w:r>
      <w:r w:rsidR="00512E30">
        <w:rPr>
          <w:rStyle w:val="Emphasis"/>
          <w:rFonts w:ascii="Times New Roman" w:hAnsi="Times New Roman"/>
          <w:i w:val="0"/>
          <w:iCs w:val="0"/>
        </w:rPr>
        <w:t>sistem</w:t>
      </w:r>
      <w:r w:rsidRPr="00155F80">
        <w:rPr>
          <w:rStyle w:val="Emphasis"/>
          <w:rFonts w:ascii="Times New Roman" w:hAnsi="Times New Roman"/>
          <w:i w:val="0"/>
          <w:iCs w:val="0"/>
        </w:rPr>
        <w:t xml:space="preserve"> javnozdravstvene kontrole vode za piće nisu u potpunosti zadovoljavajući. Izvorišta </w:t>
      </w:r>
      <w:r w:rsidR="00DB0101">
        <w:rPr>
          <w:rStyle w:val="Emphasis"/>
          <w:rFonts w:ascii="Times New Roman" w:hAnsi="Times New Roman"/>
          <w:i w:val="0"/>
          <w:iCs w:val="0"/>
        </w:rPr>
        <w:t>središnjih</w:t>
      </w:r>
      <w:r w:rsidRPr="00155F80">
        <w:rPr>
          <w:rStyle w:val="Emphasis"/>
          <w:rFonts w:ascii="Times New Roman" w:hAnsi="Times New Roman"/>
          <w:i w:val="0"/>
          <w:iCs w:val="0"/>
        </w:rPr>
        <w:t xml:space="preserve"> vodovoda uglavnom imaju reguliranu prvu i drugu zonu sanitarne zaštite. U većini kantona, prva zona sanitarne zaštite je zadovoljavajuće osigurana, dok se već u drugoj zaštitnoj zoni često nalazi jedan ili više potencijalnih </w:t>
      </w:r>
      <w:r w:rsidR="00DB0101">
        <w:rPr>
          <w:rStyle w:val="Emphasis"/>
          <w:rFonts w:ascii="Times New Roman" w:hAnsi="Times New Roman"/>
          <w:i w:val="0"/>
          <w:iCs w:val="0"/>
        </w:rPr>
        <w:t>onečišćivača</w:t>
      </w:r>
      <w:r w:rsidRPr="00155F80">
        <w:rPr>
          <w:rStyle w:val="Emphasis"/>
          <w:rFonts w:ascii="Times New Roman" w:hAnsi="Times New Roman"/>
          <w:i w:val="0"/>
          <w:iCs w:val="0"/>
        </w:rPr>
        <w:t xml:space="preserve">. Najčešći potencijalni </w:t>
      </w:r>
      <w:r w:rsidR="00DB0101">
        <w:rPr>
          <w:rStyle w:val="Emphasis"/>
          <w:rFonts w:ascii="Times New Roman" w:hAnsi="Times New Roman"/>
          <w:i w:val="0"/>
          <w:iCs w:val="0"/>
        </w:rPr>
        <w:t>onečišćivači</w:t>
      </w:r>
      <w:r w:rsidRPr="00155F80">
        <w:rPr>
          <w:rStyle w:val="Emphasis"/>
          <w:rFonts w:ascii="Times New Roman" w:hAnsi="Times New Roman"/>
          <w:i w:val="0"/>
          <w:iCs w:val="0"/>
        </w:rPr>
        <w:t xml:space="preserve"> su neuređene i divlje deponije. U većini </w:t>
      </w:r>
      <w:r w:rsidR="00DB0101">
        <w:rPr>
          <w:rStyle w:val="Emphasis"/>
          <w:rFonts w:ascii="Times New Roman" w:hAnsi="Times New Roman"/>
          <w:i w:val="0"/>
          <w:iCs w:val="0"/>
        </w:rPr>
        <w:t>središnjih</w:t>
      </w:r>
      <w:r w:rsidRPr="00155F80">
        <w:rPr>
          <w:rStyle w:val="Emphasis"/>
          <w:rFonts w:ascii="Times New Roman" w:hAnsi="Times New Roman"/>
          <w:i w:val="0"/>
          <w:iCs w:val="0"/>
        </w:rPr>
        <w:t xml:space="preserve"> vodovoda </w:t>
      </w:r>
      <w:r w:rsidR="00DB0101">
        <w:rPr>
          <w:rStyle w:val="Emphasis"/>
          <w:rFonts w:ascii="Times New Roman" w:hAnsi="Times New Roman"/>
          <w:i w:val="0"/>
          <w:iCs w:val="0"/>
        </w:rPr>
        <w:t>k</w:t>
      </w:r>
      <w:r w:rsidRPr="00155F80">
        <w:rPr>
          <w:rStyle w:val="Emphasis"/>
          <w:rFonts w:ascii="Times New Roman" w:hAnsi="Times New Roman"/>
          <w:i w:val="0"/>
          <w:iCs w:val="0"/>
        </w:rPr>
        <w:t xml:space="preserve">loriranje se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automatski, uz redov</w:t>
      </w:r>
      <w:r w:rsidR="00DB0101">
        <w:rPr>
          <w:rStyle w:val="Emphasis"/>
          <w:rFonts w:ascii="Times New Roman" w:hAnsi="Times New Roman"/>
          <w:i w:val="0"/>
          <w:iCs w:val="0"/>
        </w:rPr>
        <w:t>it</w:t>
      </w:r>
      <w:r w:rsidRPr="00155F80">
        <w:rPr>
          <w:rStyle w:val="Emphasis"/>
          <w:rFonts w:ascii="Times New Roman" w:hAnsi="Times New Roman"/>
          <w:i w:val="0"/>
          <w:iCs w:val="0"/>
        </w:rPr>
        <w:t xml:space="preserve">u kontrolu rezidualnog </w:t>
      </w:r>
      <w:r w:rsidR="00DB0101">
        <w:rPr>
          <w:rStyle w:val="Emphasis"/>
          <w:rFonts w:ascii="Times New Roman" w:hAnsi="Times New Roman"/>
          <w:i w:val="0"/>
          <w:iCs w:val="0"/>
        </w:rPr>
        <w:t>k</w:t>
      </w:r>
      <w:r w:rsidRPr="00155F80">
        <w:rPr>
          <w:rStyle w:val="Emphasis"/>
          <w:rFonts w:ascii="Times New Roman" w:hAnsi="Times New Roman"/>
          <w:i w:val="0"/>
          <w:iCs w:val="0"/>
        </w:rPr>
        <w:t xml:space="preserve">lora. U individualnim lokalnim objektima </w:t>
      </w:r>
      <w:r w:rsidR="00F70FD4">
        <w:rPr>
          <w:rStyle w:val="Emphasis"/>
          <w:rFonts w:ascii="Times New Roman" w:hAnsi="Times New Roman"/>
          <w:i w:val="0"/>
          <w:iCs w:val="0"/>
        </w:rPr>
        <w:t>vodosnabdijevanja</w:t>
      </w:r>
      <w:r w:rsidRPr="00155F80">
        <w:rPr>
          <w:rStyle w:val="Emphasis"/>
          <w:rFonts w:ascii="Times New Roman" w:hAnsi="Times New Roman"/>
          <w:i w:val="0"/>
          <w:iCs w:val="0"/>
        </w:rPr>
        <w:t xml:space="preserve"> </w:t>
      </w:r>
      <w:r w:rsidR="00DB0101">
        <w:rPr>
          <w:rStyle w:val="Emphasis"/>
          <w:rFonts w:ascii="Times New Roman" w:hAnsi="Times New Roman"/>
          <w:i w:val="0"/>
          <w:iCs w:val="0"/>
        </w:rPr>
        <w:t>k</w:t>
      </w:r>
      <w:r w:rsidRPr="00155F80">
        <w:rPr>
          <w:rStyle w:val="Emphasis"/>
          <w:rFonts w:ascii="Times New Roman" w:hAnsi="Times New Roman"/>
          <w:i w:val="0"/>
          <w:iCs w:val="0"/>
        </w:rPr>
        <w:t>loriranje se u većini slučajeva uop</w:t>
      </w:r>
      <w:r w:rsidR="00DB0101">
        <w:rPr>
          <w:rStyle w:val="Emphasis"/>
          <w:rFonts w:ascii="Times New Roman" w:hAnsi="Times New Roman"/>
          <w:i w:val="0"/>
          <w:iCs w:val="0"/>
        </w:rPr>
        <w:t>ć</w:t>
      </w:r>
      <w:r w:rsidRPr="00155F80">
        <w:rPr>
          <w:rStyle w:val="Emphasis"/>
          <w:rFonts w:ascii="Times New Roman" w:hAnsi="Times New Roman"/>
          <w:i w:val="0"/>
          <w:iCs w:val="0"/>
        </w:rPr>
        <w:t xml:space="preserve">e ne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ili se povremeno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ručno, dok zone sanitarne zaštite, uglavnom, nisu definirane. Što se tiče kontrole zdravstvene ispravnosti vode za piće, zbog nedostatka s</w:t>
      </w:r>
      <w:r w:rsidR="00DB0101">
        <w:rPr>
          <w:rStyle w:val="Emphasis"/>
          <w:rFonts w:ascii="Times New Roman" w:hAnsi="Times New Roman"/>
          <w:i w:val="0"/>
          <w:iCs w:val="0"/>
        </w:rPr>
        <w:t>u</w:t>
      </w:r>
      <w:r w:rsidRPr="00155F80">
        <w:rPr>
          <w:rStyle w:val="Emphasis"/>
          <w:rFonts w:ascii="Times New Roman" w:hAnsi="Times New Roman"/>
          <w:i w:val="0"/>
          <w:iCs w:val="0"/>
        </w:rPr>
        <w:t>vremene opreme nije moguće određivati parametre kao što su pesticidi, fenoli, mineralna ulja i neki teški metali, a  nedostatan je i broj ispitivanih uzoraka vode. U školama i vrtićima u Zeničko</w:t>
      </w:r>
      <w:r w:rsidR="00DB0101">
        <w:rPr>
          <w:rStyle w:val="Emphasis"/>
          <w:rFonts w:ascii="Times New Roman" w:hAnsi="Times New Roman"/>
          <w:i w:val="0"/>
          <w:iCs w:val="0"/>
        </w:rPr>
        <w:t>-</w:t>
      </w:r>
      <w:r w:rsidRPr="00155F80">
        <w:rPr>
          <w:rStyle w:val="Emphasis"/>
          <w:rFonts w:ascii="Times New Roman" w:hAnsi="Times New Roman"/>
          <w:i w:val="0"/>
          <w:iCs w:val="0"/>
        </w:rPr>
        <w:t xml:space="preserve">dobojskom kantonu i Kantonu Tuzla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se kontinuirana kontrola vode za piće. Na području Federacije u ljet</w:t>
      </w:r>
      <w:r w:rsidR="00DB0101">
        <w:rPr>
          <w:rStyle w:val="Emphasis"/>
          <w:rFonts w:ascii="Times New Roman" w:hAnsi="Times New Roman"/>
          <w:i w:val="0"/>
          <w:iCs w:val="0"/>
        </w:rPr>
        <w:t>nom</w:t>
      </w:r>
      <w:r w:rsidRPr="00155F80">
        <w:rPr>
          <w:rStyle w:val="Emphasis"/>
          <w:rFonts w:ascii="Times New Roman" w:hAnsi="Times New Roman"/>
          <w:i w:val="0"/>
          <w:iCs w:val="0"/>
        </w:rPr>
        <w:t xml:space="preserve"> </w:t>
      </w:r>
      <w:r w:rsidR="00F70FD4">
        <w:rPr>
          <w:rStyle w:val="Emphasis"/>
          <w:rFonts w:ascii="Times New Roman" w:hAnsi="Times New Roman"/>
          <w:i w:val="0"/>
          <w:iCs w:val="0"/>
        </w:rPr>
        <w:t>periodu</w:t>
      </w:r>
      <w:r w:rsidRPr="00155F80">
        <w:rPr>
          <w:rStyle w:val="Emphasis"/>
          <w:rFonts w:ascii="Times New Roman" w:hAnsi="Times New Roman"/>
          <w:i w:val="0"/>
          <w:iCs w:val="0"/>
        </w:rPr>
        <w:t xml:space="preserve">, zavodi za javno zdravstvo </w:t>
      </w:r>
      <w:r w:rsidR="00DB0101">
        <w:rPr>
          <w:rStyle w:val="Emphasis"/>
          <w:rFonts w:ascii="Times New Roman" w:hAnsi="Times New Roman"/>
          <w:i w:val="0"/>
          <w:iCs w:val="0"/>
        </w:rPr>
        <w:t>obavljaju</w:t>
      </w:r>
      <w:r w:rsidRPr="00155F80">
        <w:rPr>
          <w:rStyle w:val="Emphasis"/>
          <w:rFonts w:ascii="Times New Roman" w:hAnsi="Times New Roman"/>
          <w:i w:val="0"/>
          <w:iCs w:val="0"/>
        </w:rPr>
        <w:t xml:space="preserve"> periodičnu kontrolu kvaliteta i zdravstvene ispravnosti voda za kupanje. Procenat </w:t>
      </w:r>
      <w:r w:rsidR="00950A64">
        <w:rPr>
          <w:rStyle w:val="Emphasis"/>
          <w:rFonts w:ascii="Times New Roman" w:hAnsi="Times New Roman"/>
          <w:i w:val="0"/>
          <w:iCs w:val="0"/>
        </w:rPr>
        <w:t>hemijski</w:t>
      </w:r>
      <w:r w:rsidRPr="00155F80">
        <w:rPr>
          <w:rStyle w:val="Emphasis"/>
          <w:rFonts w:ascii="Times New Roman" w:hAnsi="Times New Roman"/>
          <w:i w:val="0"/>
          <w:iCs w:val="0"/>
        </w:rPr>
        <w:t xml:space="preserve"> neispravnih uzoraka je veći od mikrobiološki neispravnih uzoraka ovih voda. Najčešći uzroci fizičko-</w:t>
      </w:r>
      <w:r w:rsidR="00DB0101">
        <w:rPr>
          <w:rStyle w:val="Emphasis"/>
          <w:rFonts w:ascii="Times New Roman" w:hAnsi="Times New Roman"/>
          <w:i w:val="0"/>
          <w:iCs w:val="0"/>
        </w:rPr>
        <w:t>k</w:t>
      </w:r>
      <w:r w:rsidRPr="00155F80">
        <w:rPr>
          <w:rStyle w:val="Emphasis"/>
          <w:rFonts w:ascii="Times New Roman" w:hAnsi="Times New Roman"/>
          <w:i w:val="0"/>
          <w:iCs w:val="0"/>
        </w:rPr>
        <w:t>emijske neispravnosti su ph vrijednost, suspend</w:t>
      </w:r>
      <w:r w:rsidR="00DB0101">
        <w:rPr>
          <w:rStyle w:val="Emphasis"/>
          <w:rFonts w:ascii="Times New Roman" w:hAnsi="Times New Roman"/>
          <w:i w:val="0"/>
          <w:iCs w:val="0"/>
        </w:rPr>
        <w:t>irane</w:t>
      </w:r>
      <w:r w:rsidRPr="00155F80">
        <w:rPr>
          <w:rStyle w:val="Emphasis"/>
          <w:rFonts w:ascii="Times New Roman" w:hAnsi="Times New Roman"/>
          <w:i w:val="0"/>
          <w:iCs w:val="0"/>
        </w:rPr>
        <w:t xml:space="preserve"> materije i rezidualni </w:t>
      </w:r>
      <w:r w:rsidR="00DB0101">
        <w:rPr>
          <w:rStyle w:val="Emphasis"/>
          <w:rFonts w:ascii="Times New Roman" w:hAnsi="Times New Roman"/>
          <w:i w:val="0"/>
          <w:iCs w:val="0"/>
        </w:rPr>
        <w:t>k</w:t>
      </w:r>
      <w:r w:rsidRPr="00155F80">
        <w:rPr>
          <w:rStyle w:val="Emphasis"/>
          <w:rFonts w:ascii="Times New Roman" w:hAnsi="Times New Roman"/>
          <w:i w:val="0"/>
          <w:iCs w:val="0"/>
        </w:rPr>
        <w:t xml:space="preserve">lor, a mikrobiološke Escherichia coli, Pseudomonas aeruginosa, Enterococcus faecalis i Enterobacter species. </w:t>
      </w:r>
    </w:p>
    <w:p w:rsidR="00A131AD" w:rsidRPr="00155F80" w:rsidRDefault="00A131AD" w:rsidP="000C0138">
      <w:pPr>
        <w:spacing w:line="276" w:lineRule="auto"/>
        <w:rPr>
          <w:rFonts w:ascii="Times New Roman" w:hAnsi="Times New Roman"/>
          <w:lang w:val="sl-SI"/>
        </w:rPr>
      </w:pPr>
      <w:r w:rsidRPr="00155F80">
        <w:rPr>
          <w:rStyle w:val="Emphasis"/>
          <w:rFonts w:ascii="Times New Roman" w:hAnsi="Times New Roman"/>
          <w:i w:val="0"/>
          <w:iCs w:val="0"/>
        </w:rPr>
        <w:t>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kvalitetu</w:t>
      </w:r>
      <w:r w:rsidRPr="00155F80">
        <w:rPr>
          <w:rStyle w:val="Emphasis"/>
          <w:rFonts w:ascii="Times New Roman" w:hAnsi="Times New Roman"/>
          <w:i w:val="0"/>
          <w:iCs w:val="0"/>
          <w:lang w:val="bs-Latn-BA"/>
        </w:rPr>
        <w:t xml:space="preserve"> </w:t>
      </w:r>
      <w:r w:rsidR="00F70FD4">
        <w:rPr>
          <w:rStyle w:val="Emphasis"/>
          <w:rFonts w:ascii="Times New Roman" w:hAnsi="Times New Roman"/>
          <w:i w:val="0"/>
          <w:iCs w:val="0"/>
        </w:rPr>
        <w:t>vodosnabdijevanja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mo</w:t>
      </w:r>
      <w:r w:rsidRPr="00155F80">
        <w:rPr>
          <w:rStyle w:val="Emphasis"/>
          <w:rFonts w:ascii="Times New Roman" w:hAnsi="Times New Roman"/>
          <w:i w:val="0"/>
          <w:iCs w:val="0"/>
          <w:lang w:val="bs-Latn-BA"/>
        </w:rPr>
        <w:t>ž</w:t>
      </w:r>
      <w:r w:rsidRPr="00155F80">
        <w:rPr>
          <w:rStyle w:val="Emphasis"/>
          <w:rFonts w:ascii="Times New Roman" w:hAnsi="Times New Roman"/>
          <w:i w:val="0"/>
          <w:iCs w:val="0"/>
        </w:rPr>
        <w:t>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suditi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epidemiolo</w:t>
      </w:r>
      <w:r w:rsidRPr="00155F80">
        <w:rPr>
          <w:rStyle w:val="Emphasis"/>
          <w:rFonts w:ascii="Times New Roman" w:hAnsi="Times New Roman"/>
          <w:i w:val="0"/>
          <w:iCs w:val="0"/>
          <w:lang w:val="bs-Latn-BA"/>
        </w:rPr>
        <w:t>š</w:t>
      </w:r>
      <w:r w:rsidRPr="00155F80">
        <w:rPr>
          <w:rStyle w:val="Emphasis"/>
          <w:rFonts w:ascii="Times New Roman" w:hAnsi="Times New Roman"/>
          <w:i w:val="0"/>
          <w:iCs w:val="0"/>
        </w:rPr>
        <w:t>koj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situaciji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vezanoj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oboljenja</w:t>
      </w:r>
      <w:r w:rsidRPr="00155F80">
        <w:rPr>
          <w:rStyle w:val="Emphasis"/>
          <w:rFonts w:ascii="Times New Roman" w:hAnsi="Times New Roman"/>
          <w:i w:val="0"/>
          <w:iCs w:val="0"/>
          <w:lang w:val="bs-Latn-BA"/>
        </w:rPr>
        <w:t xml:space="preserve"> č</w:t>
      </w:r>
      <w:r w:rsidRPr="00155F80">
        <w:rPr>
          <w:rStyle w:val="Emphasis"/>
          <w:rFonts w:ascii="Times New Roman" w:hAnsi="Times New Roman"/>
          <w:i w:val="0"/>
          <w:iCs w:val="0"/>
        </w:rPr>
        <w:t>iji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uzro</w:t>
      </w:r>
      <w:r w:rsidRPr="00155F80">
        <w:rPr>
          <w:rStyle w:val="Emphasis"/>
          <w:rFonts w:ascii="Times New Roman" w:hAnsi="Times New Roman"/>
          <w:i w:val="0"/>
          <w:iCs w:val="0"/>
          <w:lang w:val="bs-Latn-BA"/>
        </w:rPr>
        <w:t>č</w:t>
      </w:r>
      <w:r w:rsidRPr="00155F80">
        <w:rPr>
          <w:rStyle w:val="Emphasis"/>
          <w:rFonts w:ascii="Times New Roman" w:hAnsi="Times New Roman"/>
          <w:i w:val="0"/>
          <w:iCs w:val="0"/>
        </w:rPr>
        <w:t>nici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mogu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nalaziti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00FE3B0D">
        <w:rPr>
          <w:rStyle w:val="Emphasis"/>
          <w:rFonts w:ascii="Times New Roman" w:hAnsi="Times New Roman"/>
          <w:i w:val="0"/>
          <w:iCs w:val="0"/>
        </w:rPr>
        <w:t>onečišćenoj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vodi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to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prvom</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mjestu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crijevne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zarazne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bolesti</w:t>
      </w:r>
      <w:r w:rsidRPr="00155F80">
        <w:rPr>
          <w:rStyle w:val="Emphasis"/>
          <w:rFonts w:ascii="Times New Roman" w:hAnsi="Times New Roman"/>
          <w:i w:val="0"/>
          <w:iCs w:val="0"/>
          <w:lang w:val="bs-Latn-BA"/>
        </w:rPr>
        <w:t>.</w:t>
      </w:r>
      <w:r w:rsidR="00AA0D77" w:rsidRPr="00155F80">
        <w:rPr>
          <w:rFonts w:ascii="Times New Roman" w:hAnsi="Times New Roman"/>
          <w:lang w:val="sl-SI"/>
        </w:rPr>
        <w:t xml:space="preserve"> </w:t>
      </w:r>
      <w:r w:rsidRPr="00155F80">
        <w:rPr>
          <w:rFonts w:ascii="Times New Roman" w:hAnsi="Times New Roman"/>
          <w:lang w:val="sl-SI"/>
        </w:rPr>
        <w:t>Stopa incidenc</w:t>
      </w:r>
      <w:r w:rsidR="00DB0101">
        <w:rPr>
          <w:rFonts w:ascii="Times New Roman" w:hAnsi="Times New Roman"/>
          <w:lang w:val="sl-SI"/>
        </w:rPr>
        <w:t>ij</w:t>
      </w:r>
      <w:r w:rsidRPr="00155F80">
        <w:rPr>
          <w:rFonts w:ascii="Times New Roman" w:hAnsi="Times New Roman"/>
          <w:lang w:val="sl-SI"/>
        </w:rPr>
        <w:t>e u 2015. godini, (236,94/100000) je veća u odnosu na 2014.</w:t>
      </w:r>
      <w:r w:rsidR="0059128D">
        <w:rPr>
          <w:rFonts w:ascii="Times New Roman" w:hAnsi="Times New Roman"/>
          <w:lang w:val="sl-SI"/>
        </w:rPr>
        <w:t xml:space="preserve"> godine</w:t>
      </w:r>
      <w:r w:rsidRPr="00155F80">
        <w:rPr>
          <w:rFonts w:ascii="Times New Roman" w:hAnsi="Times New Roman"/>
          <w:lang w:val="sl-SI"/>
        </w:rPr>
        <w:t xml:space="preserve"> (183,5/100000) i 2013</w:t>
      </w:r>
      <w:r w:rsidR="0059128D">
        <w:rPr>
          <w:rFonts w:ascii="Times New Roman" w:hAnsi="Times New Roman"/>
          <w:lang w:val="sl-SI"/>
        </w:rPr>
        <w:t xml:space="preserve">. </w:t>
      </w:r>
      <w:r w:rsidRPr="00155F80">
        <w:rPr>
          <w:rFonts w:ascii="Times New Roman" w:hAnsi="Times New Roman"/>
          <w:lang w:val="sl-SI"/>
        </w:rPr>
        <w:t xml:space="preserve"> godinu </w:t>
      </w:r>
      <w:r w:rsidRPr="00155F80">
        <w:rPr>
          <w:rStyle w:val="Emphasis"/>
          <w:rFonts w:ascii="Times New Roman" w:hAnsi="Times New Roman"/>
          <w:i w:val="0"/>
          <w:iCs w:val="0"/>
          <w:lang w:val="sl-SI"/>
        </w:rPr>
        <w:t>(189,90/100.000 stanovnika)</w:t>
      </w:r>
      <w:r w:rsidRPr="00155F80">
        <w:rPr>
          <w:rFonts w:ascii="Times New Roman" w:hAnsi="Times New Roman"/>
          <w:lang w:val="sl-SI"/>
        </w:rPr>
        <w:t xml:space="preserve">. </w:t>
      </w:r>
    </w:p>
    <w:p w:rsidR="00F8495E" w:rsidRDefault="00A131AD" w:rsidP="003066C2">
      <w:pPr>
        <w:spacing w:line="276" w:lineRule="auto"/>
        <w:rPr>
          <w:rStyle w:val="Emphasis"/>
          <w:rFonts w:ascii="Times New Roman" w:hAnsi="Times New Roman"/>
          <w:i w:val="0"/>
          <w:iCs w:val="0"/>
        </w:rPr>
      </w:pPr>
      <w:r w:rsidRPr="00155F80">
        <w:rPr>
          <w:rStyle w:val="Emphasis"/>
          <w:rFonts w:ascii="Times New Roman" w:hAnsi="Times New Roman"/>
          <w:i w:val="0"/>
          <w:iCs w:val="0"/>
          <w:lang w:val="sl-SI"/>
        </w:rPr>
        <w:t xml:space="preserve">Zavod za javno zdravstvo Federacije BiH </w:t>
      </w:r>
      <w:r w:rsidR="00DB0101">
        <w:rPr>
          <w:rStyle w:val="Emphasis"/>
          <w:rFonts w:ascii="Times New Roman" w:hAnsi="Times New Roman"/>
          <w:i w:val="0"/>
          <w:iCs w:val="0"/>
          <w:lang w:val="sl-SI"/>
        </w:rPr>
        <w:t>obavlja</w:t>
      </w:r>
      <w:r w:rsidRPr="00155F80">
        <w:rPr>
          <w:rStyle w:val="Emphasis"/>
          <w:rFonts w:ascii="Times New Roman" w:hAnsi="Times New Roman"/>
          <w:i w:val="0"/>
          <w:iCs w:val="0"/>
          <w:lang w:val="sl-SI"/>
        </w:rPr>
        <w:t xml:space="preserve"> analize na osnovne fizičko-kemijske i mikrobiološke parametre, kao i veliki broj drugih toksikoloških parametara, prema zahtjevima inspekcijskih organa i kroz ugovorne usluge s komunalnim poduzećima i punionicama izvorske, stolne i mineralne vode. </w:t>
      </w:r>
      <w:r w:rsidR="00914983">
        <w:rPr>
          <w:rStyle w:val="Emphasis"/>
          <w:rFonts w:ascii="Times New Roman" w:hAnsi="Times New Roman"/>
          <w:i w:val="0"/>
          <w:iCs w:val="0"/>
        </w:rPr>
        <w:t xml:space="preserve">U </w:t>
      </w:r>
      <w:r w:rsidR="002B489B">
        <w:rPr>
          <w:rStyle w:val="Emphasis"/>
          <w:rFonts w:ascii="Times New Roman" w:hAnsi="Times New Roman"/>
          <w:i w:val="0"/>
          <w:iCs w:val="0"/>
        </w:rPr>
        <w:t>saradnji</w:t>
      </w:r>
      <w:r w:rsidRPr="00155F80">
        <w:rPr>
          <w:rStyle w:val="Emphasis"/>
          <w:rFonts w:ascii="Times New Roman" w:hAnsi="Times New Roman"/>
          <w:i w:val="0"/>
          <w:iCs w:val="0"/>
        </w:rPr>
        <w:t xml:space="preserve"> s Agencijom za vodno područje slivova Jadranskog mora </w:t>
      </w:r>
      <w:r w:rsidR="00914983">
        <w:rPr>
          <w:rStyle w:val="Emphasis"/>
          <w:rFonts w:ascii="Times New Roman" w:hAnsi="Times New Roman"/>
          <w:i w:val="0"/>
          <w:iCs w:val="0"/>
        </w:rPr>
        <w:t>obavlja</w:t>
      </w:r>
      <w:r w:rsidRPr="00155F80">
        <w:rPr>
          <w:rStyle w:val="Emphasis"/>
          <w:rFonts w:ascii="Times New Roman" w:hAnsi="Times New Roman"/>
          <w:i w:val="0"/>
          <w:iCs w:val="0"/>
        </w:rPr>
        <w:t xml:space="preserve"> se monitoring </w:t>
      </w:r>
      <w:r w:rsidR="00950A64">
        <w:rPr>
          <w:rStyle w:val="Emphasis"/>
          <w:rFonts w:ascii="Times New Roman" w:hAnsi="Times New Roman"/>
          <w:i w:val="0"/>
          <w:iCs w:val="0"/>
        </w:rPr>
        <w:t>hemijski</w:t>
      </w:r>
      <w:r w:rsidRPr="00155F80">
        <w:rPr>
          <w:rStyle w:val="Emphasis"/>
          <w:rFonts w:ascii="Times New Roman" w:hAnsi="Times New Roman"/>
          <w:i w:val="0"/>
          <w:iCs w:val="0"/>
        </w:rPr>
        <w:t xml:space="preserve">h, mikrobioloških i radioloških parametara u podzemnim i površinskim vodama rijeka Neretve i Cetine, od izvora do ušća, njihovih pritoka, prirodnih jezera i vještačkih akumulacija, te mora na području </w:t>
      </w:r>
      <w:r w:rsidR="00CB080B">
        <w:rPr>
          <w:rStyle w:val="Emphasis"/>
          <w:rFonts w:ascii="Times New Roman" w:hAnsi="Times New Roman"/>
          <w:i w:val="0"/>
          <w:iCs w:val="0"/>
        </w:rPr>
        <w:t>opšti</w:t>
      </w:r>
      <w:r w:rsidRPr="00155F80">
        <w:rPr>
          <w:rStyle w:val="Emphasis"/>
          <w:rFonts w:ascii="Times New Roman" w:hAnsi="Times New Roman"/>
          <w:i w:val="0"/>
          <w:iCs w:val="0"/>
        </w:rPr>
        <w:t>ne Neum.</w:t>
      </w:r>
    </w:p>
    <w:p w:rsidR="003066C2" w:rsidRDefault="003066C2" w:rsidP="003066C2">
      <w:pPr>
        <w:spacing w:line="276" w:lineRule="auto"/>
        <w:rPr>
          <w:rStyle w:val="Emphasis"/>
          <w:rFonts w:ascii="Times New Roman" w:eastAsiaTheme="majorEastAsia" w:hAnsi="Times New Roman"/>
          <w:b/>
          <w:bCs/>
          <w:i w:val="0"/>
        </w:rPr>
      </w:pPr>
    </w:p>
    <w:p w:rsidR="00A131AD" w:rsidRPr="00155F80" w:rsidRDefault="008F6458" w:rsidP="000C0138">
      <w:pPr>
        <w:pStyle w:val="Poglavlje3"/>
        <w:spacing w:line="276" w:lineRule="auto"/>
        <w:rPr>
          <w:rStyle w:val="Emphasis"/>
          <w:iCs/>
        </w:rPr>
      </w:pPr>
      <w:bookmarkStart w:id="329" w:name="_Toc460929211"/>
      <w:r>
        <w:rPr>
          <w:rStyle w:val="Emphasis"/>
          <w:iCs/>
        </w:rPr>
        <w:t>4.2</w:t>
      </w:r>
      <w:r w:rsidR="000E1376" w:rsidRPr="00155F80">
        <w:rPr>
          <w:rStyle w:val="Emphasis"/>
          <w:iCs/>
        </w:rPr>
        <w:t xml:space="preserve">.2 </w:t>
      </w:r>
      <w:r w:rsidR="00914983">
        <w:rPr>
          <w:rStyle w:val="Emphasis"/>
          <w:iCs/>
        </w:rPr>
        <w:t>Zrak</w:t>
      </w:r>
      <w:bookmarkEnd w:id="329"/>
    </w:p>
    <w:p w:rsidR="00A131AD" w:rsidRPr="00155F80" w:rsidRDefault="00A131AD" w:rsidP="000C0138">
      <w:pPr>
        <w:spacing w:line="276" w:lineRule="auto"/>
        <w:rPr>
          <w:rStyle w:val="Emphasis"/>
          <w:rFonts w:ascii="Times New Roman" w:hAnsi="Times New Roman"/>
          <w:i w:val="0"/>
          <w:iCs w:val="0"/>
        </w:rPr>
      </w:pPr>
    </w:p>
    <w:p w:rsidR="00A131AD" w:rsidRPr="00155F80" w:rsidRDefault="00A131AD" w:rsidP="000C0138">
      <w:pPr>
        <w:spacing w:line="276" w:lineRule="auto"/>
        <w:rPr>
          <w:rFonts w:ascii="Times New Roman" w:hAnsi="Times New Roman"/>
          <w:lang w:val="hr-HR"/>
        </w:rPr>
      </w:pPr>
      <w:r w:rsidRPr="00155F80">
        <w:rPr>
          <w:rStyle w:val="Emphasis"/>
          <w:rFonts w:ascii="Times New Roman" w:hAnsi="Times New Roman"/>
          <w:i w:val="0"/>
          <w:iCs w:val="0"/>
        </w:rPr>
        <w:t>Najva</w:t>
      </w:r>
      <w:r w:rsidRPr="00155F80">
        <w:rPr>
          <w:rStyle w:val="Emphasis"/>
          <w:rFonts w:ascii="Times New Roman" w:hAnsi="Times New Roman"/>
          <w:i w:val="0"/>
          <w:iCs w:val="0"/>
          <w:lang w:val="hr-HR"/>
        </w:rPr>
        <w:t>ž</w:t>
      </w:r>
      <w:r w:rsidRPr="00155F80">
        <w:rPr>
          <w:rStyle w:val="Emphasis"/>
          <w:rFonts w:ascii="Times New Roman" w:hAnsi="Times New Roman"/>
          <w:i w:val="0"/>
          <w:iCs w:val="0"/>
        </w:rPr>
        <w:t>niji</w:t>
      </w:r>
      <w:r w:rsidRPr="00155F80">
        <w:rPr>
          <w:rStyle w:val="Emphasis"/>
          <w:rFonts w:ascii="Times New Roman" w:hAnsi="Times New Roman"/>
          <w:i w:val="0"/>
          <w:iCs w:val="0"/>
          <w:lang w:val="hr-HR"/>
        </w:rPr>
        <w:t xml:space="preserve"> </w:t>
      </w:r>
      <w:r w:rsidR="00914983">
        <w:rPr>
          <w:rStyle w:val="Emphasis"/>
          <w:rFonts w:ascii="Times New Roman" w:hAnsi="Times New Roman"/>
          <w:i w:val="0"/>
          <w:iCs w:val="0"/>
        </w:rPr>
        <w:t>onečišćivači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podru</w:t>
      </w:r>
      <w:r w:rsidRPr="00155F80">
        <w:rPr>
          <w:rStyle w:val="Emphasis"/>
          <w:rFonts w:ascii="Times New Roman" w:hAnsi="Times New Roman"/>
          <w:i w:val="0"/>
          <w:iCs w:val="0"/>
          <w:lang w:val="hr-HR"/>
        </w:rPr>
        <w:t>č</w:t>
      </w:r>
      <w:r w:rsidRPr="00155F80">
        <w:rPr>
          <w:rStyle w:val="Emphasis"/>
          <w:rFonts w:ascii="Times New Roman" w:hAnsi="Times New Roman"/>
          <w:i w:val="0"/>
          <w:iCs w:val="0"/>
        </w:rPr>
        <w:t>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FBiH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termoelektrane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industrijski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pogoni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motorna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vozila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individualna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lo</w:t>
      </w:r>
      <w:r w:rsidRPr="00155F80">
        <w:rPr>
          <w:rStyle w:val="Emphasis"/>
          <w:rFonts w:ascii="Times New Roman" w:hAnsi="Times New Roman"/>
          <w:i w:val="0"/>
          <w:iCs w:val="0"/>
          <w:lang w:val="hr-HR"/>
        </w:rPr>
        <w:t>ž</w:t>
      </w:r>
      <w:r w:rsidRPr="00155F80">
        <w:rPr>
          <w:rStyle w:val="Emphasis"/>
          <w:rFonts w:ascii="Times New Roman" w:hAnsi="Times New Roman"/>
          <w:i w:val="0"/>
          <w:iCs w:val="0"/>
        </w:rPr>
        <w:t>i</w:t>
      </w:r>
      <w:r w:rsidRPr="00155F80">
        <w:rPr>
          <w:rStyle w:val="Emphasis"/>
          <w:rFonts w:ascii="Times New Roman" w:hAnsi="Times New Roman"/>
          <w:i w:val="0"/>
          <w:iCs w:val="0"/>
          <w:lang w:val="hr-HR"/>
        </w:rPr>
        <w:t>š</w:t>
      </w:r>
      <w:r w:rsidRPr="00155F80">
        <w:rPr>
          <w:rStyle w:val="Emphasis"/>
          <w:rFonts w:ascii="Times New Roman" w:hAnsi="Times New Roman"/>
          <w:i w:val="0"/>
          <w:iCs w:val="0"/>
        </w:rPr>
        <w:t>ta</w:t>
      </w:r>
      <w:r w:rsidRPr="00155F80">
        <w:rPr>
          <w:rFonts w:ascii="Times New Roman" w:hAnsi="Times New Roman"/>
          <w:lang w:val="hr-HR"/>
        </w:rPr>
        <w:t xml:space="preserve"> (zimsk</w:t>
      </w:r>
      <w:r w:rsidR="00914983">
        <w:rPr>
          <w:rFonts w:ascii="Times New Roman" w:hAnsi="Times New Roman"/>
          <w:lang w:val="hr-HR"/>
        </w:rPr>
        <w:t>o</w:t>
      </w:r>
      <w:r w:rsidRPr="00155F80">
        <w:rPr>
          <w:rFonts w:ascii="Times New Roman" w:hAnsi="Times New Roman"/>
          <w:lang w:val="hr-HR"/>
        </w:rPr>
        <w:t xml:space="preserve"> </w:t>
      </w:r>
      <w:r w:rsidR="00F70FD4">
        <w:rPr>
          <w:rFonts w:ascii="Times New Roman" w:hAnsi="Times New Roman"/>
          <w:lang w:val="hr-HR"/>
        </w:rPr>
        <w:t>period</w:t>
      </w:r>
      <w:r w:rsidRPr="00155F80">
        <w:rPr>
          <w:rFonts w:ascii="Times New Roman" w:hAnsi="Times New Roman"/>
          <w:lang w:val="hr-HR"/>
        </w:rPr>
        <w:t xml:space="preserve">). Osnovni indikatori </w:t>
      </w:r>
      <w:r w:rsidR="00914983">
        <w:rPr>
          <w:rFonts w:ascii="Times New Roman" w:hAnsi="Times New Roman"/>
          <w:lang w:val="hr-HR"/>
        </w:rPr>
        <w:t>onečišćenja zraka</w:t>
      </w:r>
      <w:r w:rsidRPr="00155F80">
        <w:rPr>
          <w:rFonts w:ascii="Times New Roman" w:hAnsi="Times New Roman"/>
          <w:lang w:val="hr-HR"/>
        </w:rPr>
        <w:t xml:space="preserve"> su SO</w:t>
      </w:r>
      <w:r w:rsidRPr="00155F80">
        <w:rPr>
          <w:rFonts w:ascii="Times New Roman" w:hAnsi="Times New Roman"/>
          <w:vertAlign w:val="subscript"/>
          <w:lang w:val="hr-HR"/>
        </w:rPr>
        <w:t>2</w:t>
      </w:r>
      <w:r w:rsidRPr="00155F80">
        <w:rPr>
          <w:rFonts w:ascii="Times New Roman" w:hAnsi="Times New Roman"/>
          <w:lang w:val="hr-HR"/>
        </w:rPr>
        <w:t xml:space="preserve">, </w:t>
      </w:r>
      <w:r w:rsidR="00C651BA">
        <w:rPr>
          <w:rFonts w:ascii="Times New Roman" w:hAnsi="Times New Roman"/>
          <w:lang w:val="hr-HR"/>
        </w:rPr>
        <w:t>dušični</w:t>
      </w:r>
      <w:r w:rsidRPr="00155F80">
        <w:rPr>
          <w:rFonts w:ascii="Times New Roman" w:hAnsi="Times New Roman"/>
          <w:lang w:val="hr-HR"/>
        </w:rPr>
        <w:t xml:space="preserve"> oksidi i lebdeće čestice (PM </w:t>
      </w:r>
      <w:r w:rsidRPr="00155F80">
        <w:rPr>
          <w:rFonts w:ascii="Times New Roman" w:hAnsi="Times New Roman"/>
          <w:vertAlign w:val="subscript"/>
          <w:lang w:val="hr-HR"/>
        </w:rPr>
        <w:t>10</w:t>
      </w:r>
      <w:r w:rsidRPr="00155F80">
        <w:rPr>
          <w:rFonts w:ascii="Times New Roman" w:hAnsi="Times New Roman"/>
          <w:lang w:val="hr-HR"/>
        </w:rPr>
        <w:t xml:space="preserve">, PM </w:t>
      </w:r>
      <w:r w:rsidRPr="00155F80">
        <w:rPr>
          <w:rFonts w:ascii="Times New Roman" w:hAnsi="Times New Roman"/>
          <w:vertAlign w:val="subscript"/>
          <w:lang w:val="hr-HR"/>
        </w:rPr>
        <w:t>2,5</w:t>
      </w:r>
      <w:r w:rsidRPr="00155F80">
        <w:rPr>
          <w:rFonts w:ascii="Times New Roman" w:hAnsi="Times New Roman"/>
          <w:lang w:val="hr-HR"/>
        </w:rPr>
        <w:t xml:space="preserve">). Ukoliko prosječne koncentracije ovih polutanata u zraku prelaze maksimalno dozvoljene vrijednosti, može doći do ozbiljnog oštećenja zdravlja ljudi. U zraku se </w:t>
      </w:r>
      <w:r w:rsidR="00F0369C">
        <w:rPr>
          <w:rFonts w:ascii="Times New Roman" w:hAnsi="Times New Roman"/>
          <w:lang w:val="hr-HR"/>
        </w:rPr>
        <w:t>tokom</w:t>
      </w:r>
      <w:r w:rsidRPr="00155F80">
        <w:rPr>
          <w:rFonts w:ascii="Times New Roman" w:hAnsi="Times New Roman"/>
          <w:lang w:val="hr-HR"/>
        </w:rPr>
        <w:t xml:space="preserve"> </w:t>
      </w:r>
      <w:r w:rsidR="00914983">
        <w:rPr>
          <w:rFonts w:ascii="Times New Roman" w:hAnsi="Times New Roman"/>
          <w:lang w:val="hr-HR"/>
        </w:rPr>
        <w:t>svibnja</w:t>
      </w:r>
      <w:r w:rsidRPr="00155F80">
        <w:rPr>
          <w:rFonts w:ascii="Times New Roman" w:hAnsi="Times New Roman"/>
          <w:lang w:val="hr-HR"/>
        </w:rPr>
        <w:t xml:space="preserve"> i </w:t>
      </w:r>
      <w:r w:rsidR="00914983">
        <w:rPr>
          <w:rFonts w:ascii="Times New Roman" w:hAnsi="Times New Roman"/>
          <w:lang w:val="hr-HR"/>
        </w:rPr>
        <w:t>lipnja</w:t>
      </w:r>
      <w:r w:rsidRPr="00155F80">
        <w:rPr>
          <w:rFonts w:ascii="Times New Roman" w:hAnsi="Times New Roman"/>
          <w:lang w:val="hr-HR"/>
        </w:rPr>
        <w:t xml:space="preserve"> nalaze i velike količine p</w:t>
      </w:r>
      <w:r w:rsidR="00914983">
        <w:rPr>
          <w:rFonts w:ascii="Times New Roman" w:hAnsi="Times New Roman"/>
          <w:lang w:val="hr-HR"/>
        </w:rPr>
        <w:t>eludi</w:t>
      </w:r>
      <w:r w:rsidRPr="00155F80">
        <w:rPr>
          <w:rFonts w:ascii="Times New Roman" w:hAnsi="Times New Roman"/>
          <w:lang w:val="hr-HR"/>
        </w:rPr>
        <w:t xml:space="preserve"> trava i drveća, što može dovesti do pogoršanja zdravstvenog stanja stanovnika alergičnih na ove supstance, o</w:t>
      </w:r>
      <w:r w:rsidR="00914983">
        <w:rPr>
          <w:rFonts w:ascii="Times New Roman" w:hAnsi="Times New Roman"/>
          <w:lang w:val="hr-HR"/>
        </w:rPr>
        <w:t>sobito</w:t>
      </w:r>
      <w:r w:rsidRPr="00155F80">
        <w:rPr>
          <w:rFonts w:ascii="Times New Roman" w:hAnsi="Times New Roman"/>
          <w:lang w:val="hr-HR"/>
        </w:rPr>
        <w:t xml:space="preserve"> ako boluju od </w:t>
      </w:r>
      <w:r w:rsidR="00512E30">
        <w:rPr>
          <w:rStyle w:val="Emphasis"/>
          <w:rFonts w:ascii="Times New Roman" w:hAnsi="Times New Roman"/>
          <w:i w:val="0"/>
          <w:iCs w:val="0"/>
        </w:rPr>
        <w:t>hronični</w:t>
      </w:r>
      <w:r w:rsidRPr="00155F80">
        <w:rPr>
          <w:rStyle w:val="Emphasis"/>
          <w:rFonts w:ascii="Times New Roman" w:hAnsi="Times New Roman"/>
          <w:i w:val="0"/>
          <w:iCs w:val="0"/>
        </w:rPr>
        <w:t>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opstruktivnih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plu</w:t>
      </w:r>
      <w:r w:rsidRPr="00155F80">
        <w:rPr>
          <w:rStyle w:val="Emphasis"/>
          <w:rFonts w:ascii="Times New Roman" w:hAnsi="Times New Roman"/>
          <w:i w:val="0"/>
          <w:iCs w:val="0"/>
          <w:lang w:val="hr-HR"/>
        </w:rPr>
        <w:t>ć</w:t>
      </w:r>
      <w:r w:rsidRPr="00155F80">
        <w:rPr>
          <w:rStyle w:val="Emphasis"/>
          <w:rFonts w:ascii="Times New Roman" w:hAnsi="Times New Roman"/>
          <w:i w:val="0"/>
          <w:iCs w:val="0"/>
        </w:rPr>
        <w:t>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oboljenja</w:t>
      </w:r>
      <w:r w:rsidRPr="00155F80">
        <w:rPr>
          <w:rFonts w:ascii="Times New Roman" w:hAnsi="Times New Roman"/>
          <w:lang w:val="hr-HR"/>
        </w:rPr>
        <w:t xml:space="preserve">. </w:t>
      </w:r>
    </w:p>
    <w:p w:rsidR="00A131AD" w:rsidRPr="00155F80" w:rsidRDefault="00A131AD" w:rsidP="000C0138">
      <w:pPr>
        <w:spacing w:line="276" w:lineRule="auto"/>
        <w:rPr>
          <w:rFonts w:ascii="Times New Roman" w:hAnsi="Times New Roman"/>
          <w:color w:val="000000"/>
          <w:lang w:val="pl-PL"/>
        </w:rPr>
      </w:pPr>
      <w:r w:rsidRPr="00155F80">
        <w:rPr>
          <w:rFonts w:ascii="Times New Roman" w:hAnsi="Times New Roman"/>
          <w:color w:val="000000"/>
        </w:rPr>
        <w:t>Iako</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70-</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80-</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godina</w:t>
      </w:r>
      <w:r w:rsidRPr="00155F80">
        <w:rPr>
          <w:rFonts w:ascii="Times New Roman" w:hAnsi="Times New Roman"/>
          <w:color w:val="000000"/>
          <w:lang w:val="bs-Latn-BA"/>
        </w:rPr>
        <w:t xml:space="preserve"> </w:t>
      </w:r>
      <w:r w:rsidRPr="00155F80">
        <w:rPr>
          <w:rFonts w:ascii="Times New Roman" w:hAnsi="Times New Roman"/>
          <w:color w:val="000000"/>
        </w:rPr>
        <w:t>pro</w:t>
      </w:r>
      <w:r w:rsidRPr="00155F80">
        <w:rPr>
          <w:rFonts w:ascii="Times New Roman" w:hAnsi="Times New Roman"/>
          <w:color w:val="000000"/>
          <w:lang w:val="bs-Latn-BA"/>
        </w:rPr>
        <w:t>š</w:t>
      </w:r>
      <w:r w:rsidRPr="00155F80">
        <w:rPr>
          <w:rFonts w:ascii="Times New Roman" w:hAnsi="Times New Roman"/>
          <w:color w:val="000000"/>
        </w:rPr>
        <w:t>log</w:t>
      </w:r>
      <w:r w:rsidRPr="00155F80">
        <w:rPr>
          <w:rFonts w:ascii="Times New Roman" w:hAnsi="Times New Roman"/>
          <w:color w:val="000000"/>
          <w:lang w:val="bs-Latn-BA"/>
        </w:rPr>
        <w:t xml:space="preserve"> </w:t>
      </w:r>
      <w:r w:rsidRPr="00155F80">
        <w:rPr>
          <w:rFonts w:ascii="Times New Roman" w:hAnsi="Times New Roman"/>
          <w:color w:val="000000"/>
        </w:rPr>
        <w:t>stolje</w:t>
      </w:r>
      <w:r w:rsidRPr="00155F80">
        <w:rPr>
          <w:rFonts w:ascii="Times New Roman" w:hAnsi="Times New Roman"/>
          <w:color w:val="000000"/>
          <w:lang w:val="bs-Latn-BA"/>
        </w:rPr>
        <w:t>ć</w:t>
      </w:r>
      <w:r w:rsidRPr="00155F80">
        <w:rPr>
          <w:rFonts w:ascii="Times New Roman" w:hAnsi="Times New Roman"/>
          <w:color w:val="000000"/>
        </w:rPr>
        <w:t>a</w:t>
      </w:r>
      <w:r w:rsidRPr="00155F80">
        <w:rPr>
          <w:rFonts w:ascii="Times New Roman" w:hAnsi="Times New Roman"/>
          <w:color w:val="000000"/>
          <w:lang w:val="bs-Latn-BA"/>
        </w:rPr>
        <w:t xml:space="preserve"> </w:t>
      </w:r>
      <w:r w:rsidR="00914983">
        <w:rPr>
          <w:rFonts w:ascii="Times New Roman" w:hAnsi="Times New Roman"/>
          <w:color w:val="000000"/>
        </w:rPr>
        <w:t>onečišćenje</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š</w:t>
      </w:r>
      <w:r w:rsidRPr="00155F80">
        <w:rPr>
          <w:rFonts w:ascii="Times New Roman" w:hAnsi="Times New Roman"/>
          <w:color w:val="000000"/>
        </w:rPr>
        <w:t>im</w:t>
      </w:r>
      <w:r w:rsidRPr="00155F80">
        <w:rPr>
          <w:rFonts w:ascii="Times New Roman" w:hAnsi="Times New Roman"/>
          <w:color w:val="000000"/>
          <w:lang w:val="bs-Latn-BA"/>
        </w:rPr>
        <w:t xml:space="preserve"> </w:t>
      </w:r>
      <w:r w:rsidRPr="00155F80">
        <w:rPr>
          <w:rFonts w:ascii="Times New Roman" w:hAnsi="Times New Roman"/>
          <w:color w:val="000000"/>
        </w:rPr>
        <w:t>gradovima</w:t>
      </w:r>
      <w:r w:rsidRPr="00155F80">
        <w:rPr>
          <w:rFonts w:ascii="Times New Roman" w:hAnsi="Times New Roman"/>
          <w:color w:val="000000"/>
          <w:lang w:val="bs-Latn-BA"/>
        </w:rPr>
        <w:t xml:space="preserve"> </w:t>
      </w:r>
      <w:r w:rsidRPr="00155F80">
        <w:rPr>
          <w:rFonts w:ascii="Times New Roman" w:hAnsi="Times New Roman"/>
          <w:color w:val="000000"/>
        </w:rPr>
        <w:t>bilo</w:t>
      </w:r>
      <w:r w:rsidRPr="00155F80">
        <w:rPr>
          <w:rFonts w:ascii="Times New Roman" w:hAnsi="Times New Roman"/>
          <w:color w:val="000000"/>
          <w:lang w:val="bs-Latn-BA"/>
        </w:rPr>
        <w:t xml:space="preserve"> </w:t>
      </w:r>
      <w:r w:rsidRPr="00155F80">
        <w:rPr>
          <w:rFonts w:ascii="Times New Roman" w:hAnsi="Times New Roman"/>
          <w:color w:val="000000"/>
        </w:rPr>
        <w:t>znatno</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zabrinjavaju</w:t>
      </w:r>
      <w:r w:rsidRPr="00155F80">
        <w:rPr>
          <w:rFonts w:ascii="Times New Roman" w:hAnsi="Times New Roman"/>
          <w:color w:val="000000"/>
          <w:lang w:val="bs-Latn-BA"/>
        </w:rPr>
        <w:t>ć</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anja</w:t>
      </w:r>
      <w:r w:rsidRPr="00155F80">
        <w:rPr>
          <w:rFonts w:ascii="Times New Roman" w:hAnsi="Times New Roman"/>
          <w:color w:val="000000"/>
          <w:lang w:val="bs-Latn-BA"/>
        </w:rPr>
        <w:t xml:space="preserve"> </w:t>
      </w:r>
      <w:r w:rsidR="00FE3B0D">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iz</w:t>
      </w:r>
      <w:r w:rsidRPr="00155F80">
        <w:rPr>
          <w:rFonts w:ascii="Times New Roman" w:hAnsi="Times New Roman"/>
          <w:color w:val="000000"/>
          <w:lang w:val="bs-Latn-BA"/>
        </w:rPr>
        <w:t xml:space="preserve"> </w:t>
      </w:r>
      <w:r w:rsidRPr="00155F80">
        <w:rPr>
          <w:rFonts w:ascii="Times New Roman" w:hAnsi="Times New Roman"/>
          <w:color w:val="000000"/>
        </w:rPr>
        <w:t>godine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godinu</w:t>
      </w:r>
      <w:r w:rsidRPr="00155F80">
        <w:rPr>
          <w:rFonts w:ascii="Times New Roman" w:hAnsi="Times New Roman"/>
          <w:color w:val="000000"/>
          <w:lang w:val="bs-Latn-BA"/>
        </w:rPr>
        <w:t xml:space="preserve">. </w:t>
      </w:r>
      <w:r w:rsidRPr="00155F80">
        <w:rPr>
          <w:rFonts w:ascii="Times New Roman" w:hAnsi="Times New Roman"/>
          <w:color w:val="000000"/>
        </w:rPr>
        <w:t>Ovaj</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odraz</w:t>
      </w:r>
      <w:r w:rsidRPr="00155F80">
        <w:rPr>
          <w:rFonts w:ascii="Times New Roman" w:hAnsi="Times New Roman"/>
          <w:color w:val="000000"/>
          <w:lang w:val="bs-Latn-BA"/>
        </w:rPr>
        <w:t xml:space="preserve"> </w:t>
      </w:r>
      <w:r w:rsidRPr="00155F80">
        <w:rPr>
          <w:rFonts w:ascii="Times New Roman" w:hAnsi="Times New Roman"/>
          <w:color w:val="000000"/>
        </w:rPr>
        <w:t>zastarjelih</w:t>
      </w:r>
      <w:r w:rsidRPr="00155F80">
        <w:rPr>
          <w:rFonts w:ascii="Times New Roman" w:hAnsi="Times New Roman"/>
          <w:color w:val="000000"/>
          <w:lang w:val="bs-Latn-BA"/>
        </w:rPr>
        <w:t xml:space="preserve"> </w:t>
      </w:r>
      <w:r w:rsidRPr="00155F80">
        <w:rPr>
          <w:rFonts w:ascii="Times New Roman" w:hAnsi="Times New Roman"/>
          <w:color w:val="000000"/>
        </w:rPr>
        <w:t>industrijskih</w:t>
      </w:r>
      <w:r w:rsidRPr="00155F80">
        <w:rPr>
          <w:rFonts w:ascii="Times New Roman" w:hAnsi="Times New Roman"/>
          <w:color w:val="000000"/>
          <w:lang w:val="bs-Latn-BA"/>
        </w:rPr>
        <w:t xml:space="preserve"> </w:t>
      </w:r>
      <w:r w:rsidRPr="00155F80">
        <w:rPr>
          <w:rFonts w:ascii="Times New Roman" w:hAnsi="Times New Roman"/>
          <w:color w:val="000000"/>
        </w:rPr>
        <w:t>tehnologija</w:t>
      </w:r>
      <w:r w:rsidRPr="00155F80">
        <w:rPr>
          <w:rFonts w:ascii="Times New Roman" w:hAnsi="Times New Roman"/>
          <w:color w:val="000000"/>
          <w:lang w:val="bs-Latn-BA"/>
        </w:rPr>
        <w:t xml:space="preserve">, </w:t>
      </w:r>
      <w:r w:rsidRPr="00155F80">
        <w:rPr>
          <w:rFonts w:ascii="Times New Roman" w:hAnsi="Times New Roman"/>
          <w:color w:val="000000"/>
        </w:rPr>
        <w:t>trenutnog</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š</w:t>
      </w:r>
      <w:r w:rsidRPr="00155F80">
        <w:rPr>
          <w:rFonts w:ascii="Times New Roman" w:hAnsi="Times New Roman"/>
          <w:color w:val="000000"/>
        </w:rPr>
        <w:t>eg</w:t>
      </w:r>
      <w:r w:rsidRPr="00155F80">
        <w:rPr>
          <w:rFonts w:ascii="Times New Roman" w:hAnsi="Times New Roman"/>
          <w:color w:val="000000"/>
          <w:lang w:val="bs-Latn-BA"/>
        </w:rPr>
        <w:t xml:space="preserve"> </w:t>
      </w:r>
      <w:r w:rsidRPr="00155F80">
        <w:rPr>
          <w:rFonts w:ascii="Times New Roman" w:hAnsi="Times New Roman"/>
          <w:color w:val="000000"/>
        </w:rPr>
        <w:t>socijalnog</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00914983">
        <w:rPr>
          <w:rFonts w:ascii="Times New Roman" w:hAnsi="Times New Roman"/>
          <w:color w:val="000000"/>
        </w:rPr>
        <w:t>gospodarskog</w:t>
      </w:r>
      <w:r w:rsidRPr="00155F80">
        <w:rPr>
          <w:rFonts w:ascii="Times New Roman" w:hAnsi="Times New Roman"/>
          <w:color w:val="000000"/>
          <w:lang w:val="bs-Latn-BA"/>
        </w:rPr>
        <w:t xml:space="preserve"> </w:t>
      </w:r>
      <w:r w:rsidRPr="00155F80">
        <w:rPr>
          <w:rFonts w:ascii="Times New Roman" w:hAnsi="Times New Roman"/>
          <w:color w:val="000000"/>
        </w:rPr>
        <w:t>stanja</w:t>
      </w:r>
      <w:r w:rsidRPr="00155F80">
        <w:rPr>
          <w:rFonts w:ascii="Times New Roman" w:hAnsi="Times New Roman"/>
          <w:color w:val="000000"/>
          <w:lang w:val="bs-Latn-BA"/>
        </w:rPr>
        <w:t xml:space="preserve">, </w:t>
      </w:r>
      <w:r w:rsidRPr="00155F80">
        <w:rPr>
          <w:rFonts w:ascii="Times New Roman" w:hAnsi="Times New Roman"/>
          <w:color w:val="000000"/>
        </w:rPr>
        <w:t>nerazvijene</w:t>
      </w:r>
      <w:r w:rsidRPr="00155F80">
        <w:rPr>
          <w:rFonts w:ascii="Times New Roman" w:hAnsi="Times New Roman"/>
          <w:color w:val="000000"/>
          <w:lang w:val="bs-Latn-BA"/>
        </w:rPr>
        <w:t xml:space="preserve"> </w:t>
      </w:r>
      <w:r w:rsidRPr="00155F80">
        <w:rPr>
          <w:rFonts w:ascii="Times New Roman" w:hAnsi="Times New Roman"/>
          <w:color w:val="000000"/>
        </w:rPr>
        <w:t>infrastrukture</w:t>
      </w:r>
      <w:r w:rsidRPr="00155F80">
        <w:rPr>
          <w:rFonts w:ascii="Times New Roman" w:hAnsi="Times New Roman"/>
          <w:color w:val="000000"/>
          <w:lang w:val="bs-Latn-BA"/>
        </w:rPr>
        <w:t xml:space="preserve">, </w:t>
      </w:r>
      <w:r w:rsidRPr="00155F80">
        <w:rPr>
          <w:rFonts w:ascii="Times New Roman" w:hAnsi="Times New Roman"/>
          <w:color w:val="000000"/>
        </w:rPr>
        <w:t>nepovoljne</w:t>
      </w:r>
      <w:r w:rsidRPr="00155F80">
        <w:rPr>
          <w:rFonts w:ascii="Times New Roman" w:hAnsi="Times New Roman"/>
          <w:color w:val="000000"/>
          <w:lang w:val="bs-Latn-BA"/>
        </w:rPr>
        <w:t xml:space="preserve"> </w:t>
      </w:r>
      <w:r w:rsidRPr="00155F80">
        <w:rPr>
          <w:rFonts w:ascii="Times New Roman" w:hAnsi="Times New Roman"/>
          <w:color w:val="000000"/>
        </w:rPr>
        <w:t>starosti</w:t>
      </w:r>
      <w:r w:rsidRPr="00155F80">
        <w:rPr>
          <w:rFonts w:ascii="Times New Roman" w:hAnsi="Times New Roman"/>
          <w:color w:val="000000"/>
          <w:lang w:val="bs-Latn-BA"/>
        </w:rPr>
        <w:t xml:space="preserve"> </w:t>
      </w:r>
      <w:r w:rsidRPr="00155F80">
        <w:rPr>
          <w:rFonts w:ascii="Times New Roman" w:hAnsi="Times New Roman"/>
          <w:color w:val="000000"/>
        </w:rPr>
        <w:t>automobila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š</w:t>
      </w:r>
      <w:r w:rsidRPr="00155F80">
        <w:rPr>
          <w:rFonts w:ascii="Times New Roman" w:hAnsi="Times New Roman"/>
          <w:color w:val="000000"/>
        </w:rPr>
        <w:t>e</w:t>
      </w:r>
      <w:r w:rsidR="00914983">
        <w:rPr>
          <w:rFonts w:ascii="Times New Roman" w:hAnsi="Times New Roman"/>
          <w:color w:val="000000"/>
        </w:rPr>
        <w:t>g</w:t>
      </w:r>
      <w:r w:rsidRPr="00155F80">
        <w:rPr>
          <w:rFonts w:ascii="Times New Roman" w:hAnsi="Times New Roman"/>
          <w:color w:val="000000"/>
          <w:lang w:val="bs-Latn-BA"/>
        </w:rPr>
        <w:t xml:space="preserve"> </w:t>
      </w:r>
      <w:r w:rsidRPr="00155F80">
        <w:rPr>
          <w:rFonts w:ascii="Times New Roman" w:hAnsi="Times New Roman"/>
          <w:color w:val="000000"/>
        </w:rPr>
        <w:t>kvalitet</w:t>
      </w:r>
      <w:r w:rsidR="00914983">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goriva</w:t>
      </w:r>
      <w:r w:rsidRPr="00155F80">
        <w:rPr>
          <w:rFonts w:ascii="Times New Roman" w:hAnsi="Times New Roman"/>
          <w:color w:val="000000"/>
          <w:lang w:val="bs-Latn-BA"/>
        </w:rPr>
        <w:t xml:space="preserve">, </w:t>
      </w:r>
      <w:r w:rsidRPr="00155F80">
        <w:rPr>
          <w:rFonts w:ascii="Times New Roman" w:hAnsi="Times New Roman"/>
          <w:color w:val="000000"/>
        </w:rPr>
        <w:t>kao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nepovoljnih</w:t>
      </w:r>
      <w:r w:rsidRPr="00155F80">
        <w:rPr>
          <w:rFonts w:ascii="Times New Roman" w:hAnsi="Times New Roman"/>
          <w:color w:val="000000"/>
          <w:lang w:val="bs-Latn-BA"/>
        </w:rPr>
        <w:t xml:space="preserve"> </w:t>
      </w:r>
      <w:r w:rsidR="00CB080B">
        <w:rPr>
          <w:rFonts w:ascii="Times New Roman" w:hAnsi="Times New Roman"/>
          <w:color w:val="000000"/>
        </w:rPr>
        <w:t>opšti</w:t>
      </w:r>
      <w:r w:rsidRPr="00155F80">
        <w:rPr>
          <w:rFonts w:ascii="Times New Roman" w:hAnsi="Times New Roman"/>
          <w:color w:val="000000"/>
        </w:rPr>
        <w:t>h</w:t>
      </w:r>
      <w:r w:rsidRPr="00155F80">
        <w:rPr>
          <w:rFonts w:ascii="Times New Roman" w:hAnsi="Times New Roman"/>
          <w:color w:val="000000"/>
          <w:lang w:val="bs-Latn-BA"/>
        </w:rPr>
        <w:t xml:space="preserve"> </w:t>
      </w:r>
      <w:r w:rsidRPr="00155F80">
        <w:rPr>
          <w:rFonts w:ascii="Times New Roman" w:hAnsi="Times New Roman"/>
          <w:color w:val="000000"/>
        </w:rPr>
        <w:t>prirodno</w:t>
      </w:r>
      <w:r w:rsidRPr="00155F80">
        <w:rPr>
          <w:rFonts w:ascii="Times New Roman" w:hAnsi="Times New Roman"/>
          <w:color w:val="000000"/>
          <w:lang w:val="bs-Latn-BA"/>
        </w:rPr>
        <w:t>-</w:t>
      </w:r>
      <w:r w:rsidR="00914983">
        <w:rPr>
          <w:rFonts w:ascii="Times New Roman" w:hAnsi="Times New Roman"/>
          <w:color w:val="000000"/>
        </w:rPr>
        <w:t>zemljopisnih</w:t>
      </w:r>
      <w:r w:rsidRPr="00155F80">
        <w:rPr>
          <w:rFonts w:ascii="Times New Roman" w:hAnsi="Times New Roman"/>
          <w:color w:val="000000"/>
          <w:lang w:val="bs-Latn-BA"/>
        </w:rPr>
        <w:t xml:space="preserve"> </w:t>
      </w:r>
      <w:r w:rsidR="00F70FD4">
        <w:rPr>
          <w:rFonts w:ascii="Times New Roman" w:hAnsi="Times New Roman"/>
          <w:color w:val="000000"/>
        </w:rPr>
        <w:t>uslov</w:t>
      </w:r>
      <w:r w:rsidR="00914983">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Dugotrajna</w:t>
      </w:r>
      <w:r w:rsidRPr="00155F80">
        <w:rPr>
          <w:rFonts w:ascii="Times New Roman" w:hAnsi="Times New Roman"/>
          <w:color w:val="000000"/>
          <w:lang w:val="bs-Latn-BA"/>
        </w:rPr>
        <w:t xml:space="preserve"> </w:t>
      </w:r>
      <w:r w:rsidRPr="00155F80">
        <w:rPr>
          <w:rFonts w:ascii="Times New Roman" w:hAnsi="Times New Roman"/>
          <w:color w:val="000000"/>
        </w:rPr>
        <w:t>temperaturna</w:t>
      </w:r>
      <w:r w:rsidRPr="00155F80">
        <w:rPr>
          <w:rFonts w:ascii="Times New Roman" w:hAnsi="Times New Roman"/>
          <w:color w:val="000000"/>
          <w:lang w:val="bs-Latn-BA"/>
        </w:rPr>
        <w:t xml:space="preserve"> </w:t>
      </w:r>
      <w:r w:rsidRPr="00155F80">
        <w:rPr>
          <w:rFonts w:ascii="Times New Roman" w:hAnsi="Times New Roman"/>
          <w:color w:val="000000"/>
        </w:rPr>
        <w:t>inverzija</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em</w:t>
      </w:r>
      <w:r w:rsidRPr="00155F80">
        <w:rPr>
          <w:rFonts w:ascii="Times New Roman" w:hAnsi="Times New Roman"/>
          <w:color w:val="000000"/>
          <w:lang w:val="bs-Latn-BA"/>
        </w:rPr>
        <w:t xml:space="preserve"> </w:t>
      </w:r>
      <w:r w:rsidRPr="00155F80">
        <w:rPr>
          <w:rFonts w:ascii="Times New Roman" w:hAnsi="Times New Roman"/>
          <w:color w:val="000000"/>
        </w:rPr>
        <w:t>podru</w:t>
      </w:r>
      <w:r w:rsidRPr="00155F80">
        <w:rPr>
          <w:rFonts w:ascii="Times New Roman" w:hAnsi="Times New Roman"/>
          <w:color w:val="000000"/>
          <w:lang w:val="bs-Latn-BA"/>
        </w:rPr>
        <w:t>č</w:t>
      </w:r>
      <w:r w:rsidRPr="00155F80">
        <w:rPr>
          <w:rFonts w:ascii="Times New Roman" w:hAnsi="Times New Roman"/>
          <w:color w:val="000000"/>
        </w:rPr>
        <w:t>ju</w:t>
      </w:r>
      <w:r w:rsidRPr="00155F80">
        <w:rPr>
          <w:rFonts w:ascii="Times New Roman" w:hAnsi="Times New Roman"/>
          <w:color w:val="000000"/>
          <w:lang w:val="bs-Latn-BA"/>
        </w:rPr>
        <w:t xml:space="preserve"> </w:t>
      </w:r>
      <w:r w:rsidRPr="00155F80">
        <w:rPr>
          <w:rFonts w:ascii="Times New Roman" w:hAnsi="Times New Roman"/>
          <w:color w:val="000000"/>
        </w:rPr>
        <w:t>Bosne</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Hercegovine</w:t>
      </w:r>
      <w:r w:rsidRPr="00155F80">
        <w:rPr>
          <w:rFonts w:ascii="Times New Roman" w:hAnsi="Times New Roman"/>
          <w:color w:val="000000"/>
          <w:lang w:val="bs-Latn-BA"/>
        </w:rPr>
        <w:t xml:space="preserve">, </w:t>
      </w:r>
      <w:r w:rsidRPr="00155F80">
        <w:rPr>
          <w:rFonts w:ascii="Times New Roman" w:hAnsi="Times New Roman"/>
          <w:color w:val="000000"/>
        </w:rPr>
        <w:t>od</w:t>
      </w:r>
      <w:r w:rsidRPr="00155F80">
        <w:rPr>
          <w:rFonts w:ascii="Times New Roman" w:hAnsi="Times New Roman"/>
          <w:color w:val="000000"/>
          <w:lang w:val="bs-Latn-BA"/>
        </w:rPr>
        <w:t xml:space="preserve"> </w:t>
      </w:r>
      <w:r w:rsidRPr="00155F80">
        <w:rPr>
          <w:rFonts w:ascii="Times New Roman" w:hAnsi="Times New Roman"/>
          <w:color w:val="000000"/>
        </w:rPr>
        <w:t>prve</w:t>
      </w:r>
      <w:r w:rsidRPr="00155F80">
        <w:rPr>
          <w:rFonts w:ascii="Times New Roman" w:hAnsi="Times New Roman"/>
          <w:color w:val="000000"/>
          <w:lang w:val="bs-Latn-BA"/>
        </w:rPr>
        <w:t xml:space="preserve"> </w:t>
      </w:r>
      <w:r w:rsidRPr="00155F80">
        <w:rPr>
          <w:rFonts w:ascii="Times New Roman" w:hAnsi="Times New Roman"/>
          <w:color w:val="000000"/>
        </w:rPr>
        <w:t>polovine</w:t>
      </w:r>
      <w:r w:rsidRPr="00155F80">
        <w:rPr>
          <w:rFonts w:ascii="Times New Roman" w:hAnsi="Times New Roman"/>
          <w:color w:val="000000"/>
          <w:lang w:val="bs-Latn-BA"/>
        </w:rPr>
        <w:t xml:space="preserve"> </w:t>
      </w:r>
      <w:r w:rsidR="00914983">
        <w:rPr>
          <w:rFonts w:ascii="Times New Roman" w:hAnsi="Times New Roman"/>
          <w:color w:val="000000"/>
        </w:rPr>
        <w:t>studenog</w:t>
      </w:r>
      <w:r w:rsidRPr="00155F80">
        <w:rPr>
          <w:rFonts w:ascii="Times New Roman" w:hAnsi="Times New Roman"/>
          <w:color w:val="000000"/>
          <w:lang w:val="bs-Latn-BA"/>
        </w:rPr>
        <w:t xml:space="preserve"> 2015. do kraja </w:t>
      </w:r>
      <w:r w:rsidR="00914983">
        <w:rPr>
          <w:rFonts w:ascii="Times New Roman" w:hAnsi="Times New Roman"/>
          <w:color w:val="000000"/>
          <w:lang w:val="bs-Latn-BA"/>
        </w:rPr>
        <w:t>siječnja</w:t>
      </w:r>
      <w:r w:rsidRPr="00155F80">
        <w:rPr>
          <w:rFonts w:ascii="Times New Roman" w:hAnsi="Times New Roman"/>
          <w:color w:val="000000"/>
          <w:lang w:val="bs-Latn-BA"/>
        </w:rPr>
        <w:t xml:space="preserve"> 2016. godine,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posljedicu</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imala</w:t>
      </w:r>
      <w:r w:rsidRPr="00155F80">
        <w:rPr>
          <w:rFonts w:ascii="Times New Roman" w:hAnsi="Times New Roman"/>
          <w:color w:val="000000"/>
          <w:lang w:val="bs-Latn-BA"/>
        </w:rPr>
        <w:t xml:space="preserve"> dužu </w:t>
      </w:r>
      <w:r w:rsidRPr="00155F80">
        <w:rPr>
          <w:rFonts w:ascii="Times New Roman" w:hAnsi="Times New Roman"/>
          <w:color w:val="000000"/>
        </w:rPr>
        <w:t>epizodu</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anog</w:t>
      </w:r>
      <w:r w:rsidRPr="00155F80">
        <w:rPr>
          <w:rFonts w:ascii="Times New Roman" w:hAnsi="Times New Roman"/>
          <w:color w:val="000000"/>
          <w:lang w:val="bs-Latn-BA"/>
        </w:rPr>
        <w:t xml:space="preserve"> </w:t>
      </w:r>
      <w:r w:rsidR="00914983">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opasnog</w:t>
      </w:r>
      <w:r w:rsidRPr="00155F80">
        <w:rPr>
          <w:rFonts w:ascii="Times New Roman" w:hAnsi="Times New Roman"/>
          <w:color w:val="000000"/>
          <w:lang w:val="bs-Latn-BA"/>
        </w:rPr>
        <w:t xml:space="preserve"> </w:t>
      </w:r>
      <w:r w:rsidRPr="00155F80">
        <w:rPr>
          <w:rFonts w:ascii="Times New Roman" w:hAnsi="Times New Roman"/>
          <w:color w:val="000000"/>
        </w:rPr>
        <w:t>po</w:t>
      </w:r>
      <w:r w:rsidRPr="00155F80">
        <w:rPr>
          <w:rFonts w:ascii="Times New Roman" w:hAnsi="Times New Roman"/>
          <w:color w:val="000000"/>
          <w:lang w:val="bs-Latn-BA"/>
        </w:rPr>
        <w:t xml:space="preserve"> </w:t>
      </w:r>
      <w:r w:rsidRPr="00155F80">
        <w:rPr>
          <w:rFonts w:ascii="Times New Roman" w:hAnsi="Times New Roman"/>
          <w:color w:val="000000"/>
        </w:rPr>
        <w:t>ljudsko</w:t>
      </w:r>
      <w:r w:rsidRPr="00155F80">
        <w:rPr>
          <w:rFonts w:ascii="Times New Roman" w:hAnsi="Times New Roman"/>
          <w:color w:val="000000"/>
          <w:lang w:val="bs-Latn-BA"/>
        </w:rPr>
        <w:t xml:space="preserve"> </w:t>
      </w:r>
      <w:r w:rsidRPr="00155F80">
        <w:rPr>
          <w:rFonts w:ascii="Times New Roman" w:hAnsi="Times New Roman"/>
          <w:color w:val="000000"/>
        </w:rPr>
        <w:t>zdravlje</w:t>
      </w:r>
      <w:r w:rsidRPr="00155F80">
        <w:rPr>
          <w:rFonts w:ascii="Times New Roman" w:hAnsi="Times New Roman"/>
          <w:color w:val="000000"/>
          <w:lang w:val="bs-Latn-BA"/>
        </w:rPr>
        <w:t xml:space="preserve">, </w:t>
      </w:r>
      <w:r w:rsidRPr="00155F80">
        <w:rPr>
          <w:rFonts w:ascii="Times New Roman" w:hAnsi="Times New Roman"/>
          <w:color w:val="000000"/>
        </w:rPr>
        <w:t>osobito</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im</w:t>
      </w:r>
      <w:r w:rsidRPr="00155F80">
        <w:rPr>
          <w:rFonts w:ascii="Times New Roman" w:hAnsi="Times New Roman"/>
          <w:color w:val="000000"/>
          <w:lang w:val="bs-Latn-BA"/>
        </w:rPr>
        <w:t xml:space="preserve"> </w:t>
      </w:r>
      <w:r w:rsidRPr="00155F80">
        <w:rPr>
          <w:rFonts w:ascii="Times New Roman" w:hAnsi="Times New Roman"/>
          <w:color w:val="000000"/>
        </w:rPr>
        <w:t>gradovima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kotlinama</w:t>
      </w:r>
      <w:r w:rsidRPr="00155F80">
        <w:rPr>
          <w:rFonts w:ascii="Times New Roman" w:hAnsi="Times New Roman"/>
          <w:color w:val="000000"/>
          <w:lang w:val="bs-Latn-BA"/>
        </w:rPr>
        <w:t xml:space="preserve">. </w:t>
      </w:r>
      <w:r w:rsidRPr="00155F80">
        <w:rPr>
          <w:rFonts w:ascii="Times New Roman" w:hAnsi="Times New Roman"/>
          <w:color w:val="000000"/>
        </w:rPr>
        <w:t>Najte</w:t>
      </w:r>
      <w:r w:rsidRPr="00155F80">
        <w:rPr>
          <w:rFonts w:ascii="Times New Roman" w:hAnsi="Times New Roman"/>
          <w:color w:val="000000"/>
          <w:lang w:val="bs-Latn-BA"/>
        </w:rPr>
        <w:t>ž</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pogo</w:t>
      </w:r>
      <w:r w:rsidRPr="00155F80">
        <w:rPr>
          <w:rFonts w:ascii="Times New Roman" w:hAnsi="Times New Roman"/>
          <w:color w:val="000000"/>
          <w:lang w:val="bs-Latn-BA"/>
        </w:rPr>
        <w:t>đ</w:t>
      </w:r>
      <w:r w:rsidRPr="00155F80">
        <w:rPr>
          <w:rFonts w:ascii="Times New Roman" w:hAnsi="Times New Roman"/>
          <w:color w:val="000000"/>
        </w:rPr>
        <w:t>eni</w:t>
      </w:r>
      <w:r w:rsidRPr="00155F80">
        <w:rPr>
          <w:rFonts w:ascii="Times New Roman" w:hAnsi="Times New Roman"/>
          <w:color w:val="000000"/>
          <w:lang w:val="bs-Latn-BA"/>
        </w:rPr>
        <w:t xml:space="preserve"> </w:t>
      </w:r>
      <w:r w:rsidRPr="00155F80">
        <w:rPr>
          <w:rFonts w:ascii="Times New Roman" w:hAnsi="Times New Roman"/>
          <w:color w:val="000000"/>
        </w:rPr>
        <w:t>grad</w:t>
      </w:r>
      <w:r w:rsidRPr="00155F80">
        <w:rPr>
          <w:rFonts w:ascii="Times New Roman" w:hAnsi="Times New Roman"/>
          <w:color w:val="000000"/>
          <w:lang w:val="bs-Latn-BA"/>
        </w:rPr>
        <w:t xml:space="preserve"> </w:t>
      </w:r>
      <w:r w:rsidRPr="00155F80">
        <w:rPr>
          <w:rFonts w:ascii="Times New Roman" w:hAnsi="Times New Roman"/>
          <w:color w:val="000000"/>
        </w:rPr>
        <w:t>Sarajevo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industrijski</w:t>
      </w:r>
      <w:r w:rsidRPr="00155F80">
        <w:rPr>
          <w:rFonts w:ascii="Times New Roman" w:hAnsi="Times New Roman"/>
          <w:color w:val="000000"/>
          <w:lang w:val="bs-Latn-BA"/>
        </w:rPr>
        <w:t xml:space="preserve"> </w:t>
      </w:r>
      <w:r w:rsidRPr="00155F80">
        <w:rPr>
          <w:rFonts w:ascii="Times New Roman" w:hAnsi="Times New Roman"/>
          <w:color w:val="000000"/>
        </w:rPr>
        <w:t>centri</w:t>
      </w:r>
      <w:r w:rsidRPr="00155F80">
        <w:rPr>
          <w:rFonts w:ascii="Times New Roman" w:hAnsi="Times New Roman"/>
          <w:color w:val="000000"/>
          <w:lang w:val="bs-Latn-BA"/>
        </w:rPr>
        <w:t xml:space="preserve"> </w:t>
      </w:r>
      <w:r w:rsidRPr="00155F80">
        <w:rPr>
          <w:rFonts w:ascii="Times New Roman" w:hAnsi="Times New Roman"/>
          <w:color w:val="000000"/>
        </w:rPr>
        <w:t>Zenica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Tuzla</w:t>
      </w:r>
      <w:r w:rsidRPr="00155F80">
        <w:rPr>
          <w:rFonts w:ascii="Times New Roman" w:hAnsi="Times New Roman"/>
          <w:color w:val="000000"/>
          <w:lang w:val="bs-Latn-BA"/>
        </w:rPr>
        <w:t xml:space="preserve">. </w:t>
      </w:r>
      <w:r w:rsidRPr="00155F80">
        <w:rPr>
          <w:rFonts w:ascii="Times New Roman" w:hAnsi="Times New Roman"/>
          <w:color w:val="000000"/>
        </w:rPr>
        <w:t>Kao</w:t>
      </w:r>
      <w:r w:rsidRPr="00155F80">
        <w:rPr>
          <w:rFonts w:ascii="Times New Roman" w:hAnsi="Times New Roman"/>
          <w:color w:val="000000"/>
          <w:lang w:val="bs-Latn-BA"/>
        </w:rPr>
        <w:t xml:space="preserve"> </w:t>
      </w:r>
      <w:r w:rsidRPr="00155F80">
        <w:rPr>
          <w:rFonts w:ascii="Times New Roman" w:hAnsi="Times New Roman"/>
          <w:color w:val="000000"/>
        </w:rPr>
        <w:t>glavni</w:t>
      </w:r>
      <w:r w:rsidRPr="00155F80">
        <w:rPr>
          <w:rFonts w:ascii="Times New Roman" w:hAnsi="Times New Roman"/>
          <w:color w:val="000000"/>
          <w:lang w:val="bs-Latn-BA"/>
        </w:rPr>
        <w:t xml:space="preserve"> </w:t>
      </w:r>
      <w:r w:rsidRPr="00155F80">
        <w:rPr>
          <w:rFonts w:ascii="Times New Roman" w:hAnsi="Times New Roman"/>
          <w:color w:val="000000"/>
        </w:rPr>
        <w:t>izvori</w:t>
      </w:r>
      <w:r w:rsidRPr="00155F80">
        <w:rPr>
          <w:rFonts w:ascii="Times New Roman" w:hAnsi="Times New Roman"/>
          <w:color w:val="000000"/>
          <w:lang w:val="bs-Latn-BA"/>
        </w:rPr>
        <w:t xml:space="preserve"> </w:t>
      </w:r>
      <w:r w:rsidR="00914983">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Sarajevu</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detekt</w:t>
      </w:r>
      <w:r w:rsidR="007B4F67">
        <w:rPr>
          <w:rFonts w:ascii="Times New Roman" w:hAnsi="Times New Roman"/>
          <w:color w:val="000000"/>
        </w:rPr>
        <w:t>ir</w:t>
      </w:r>
      <w:r w:rsidRPr="00155F80">
        <w:rPr>
          <w:rFonts w:ascii="Times New Roman" w:hAnsi="Times New Roman"/>
          <w:color w:val="000000"/>
        </w:rPr>
        <w:t>ani</w:t>
      </w:r>
      <w:r w:rsidRPr="00155F80">
        <w:rPr>
          <w:rFonts w:ascii="Times New Roman" w:hAnsi="Times New Roman"/>
          <w:color w:val="000000"/>
          <w:lang w:val="bs-Latn-BA"/>
        </w:rPr>
        <w:t xml:space="preserve"> </w:t>
      </w:r>
      <w:r w:rsidR="00C651BA">
        <w:rPr>
          <w:rFonts w:ascii="Times New Roman" w:hAnsi="Times New Roman"/>
          <w:color w:val="000000"/>
        </w:rPr>
        <w:t>promet</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ž</w:t>
      </w:r>
      <w:r w:rsidRPr="00155F80">
        <w:rPr>
          <w:rFonts w:ascii="Times New Roman" w:hAnsi="Times New Roman"/>
          <w:color w:val="000000"/>
        </w:rPr>
        <w:t>i</w:t>
      </w:r>
      <w:r w:rsidRPr="00155F80">
        <w:rPr>
          <w:rFonts w:ascii="Times New Roman" w:hAnsi="Times New Roman"/>
          <w:color w:val="000000"/>
          <w:lang w:val="bs-Latn-BA"/>
        </w:rPr>
        <w:t>š</w:t>
      </w:r>
      <w:r w:rsidRPr="00155F80">
        <w:rPr>
          <w:rFonts w:ascii="Times New Roman" w:hAnsi="Times New Roman"/>
          <w:color w:val="000000"/>
        </w:rPr>
        <w:t>ta</w:t>
      </w:r>
      <w:r w:rsidRPr="00155F80">
        <w:rPr>
          <w:rFonts w:ascii="Times New Roman" w:hAnsi="Times New Roman"/>
          <w:color w:val="000000"/>
          <w:lang w:val="bs-Latn-BA"/>
        </w:rPr>
        <w:t xml:space="preserve">. </w:t>
      </w:r>
      <w:r w:rsidRPr="00155F80">
        <w:rPr>
          <w:rFonts w:ascii="Times New Roman" w:hAnsi="Times New Roman"/>
          <w:color w:val="000000"/>
        </w:rPr>
        <w:t>Posljednjih</w:t>
      </w:r>
      <w:r w:rsidRPr="00155F80">
        <w:rPr>
          <w:rFonts w:ascii="Times New Roman" w:hAnsi="Times New Roman"/>
          <w:color w:val="000000"/>
          <w:lang w:val="bs-Latn-BA"/>
        </w:rPr>
        <w:t xml:space="preserve"> </w:t>
      </w:r>
      <w:r w:rsidRPr="00155F80">
        <w:rPr>
          <w:rFonts w:ascii="Times New Roman" w:hAnsi="Times New Roman"/>
          <w:color w:val="000000"/>
        </w:rPr>
        <w:t>godina</w:t>
      </w:r>
      <w:r w:rsidRPr="00155F80">
        <w:rPr>
          <w:rFonts w:ascii="Times New Roman" w:hAnsi="Times New Roman"/>
          <w:color w:val="000000"/>
          <w:lang w:val="bs-Latn-BA"/>
        </w:rPr>
        <w:t xml:space="preserve"> </w:t>
      </w:r>
      <w:r w:rsidRPr="00155F80">
        <w:rPr>
          <w:rFonts w:ascii="Times New Roman" w:hAnsi="Times New Roman"/>
          <w:color w:val="000000"/>
        </w:rPr>
        <w:t>prisutan</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anja</w:t>
      </w:r>
      <w:r w:rsidRPr="00155F80">
        <w:rPr>
          <w:rFonts w:ascii="Times New Roman" w:hAnsi="Times New Roman"/>
          <w:color w:val="000000"/>
          <w:lang w:val="bs-Latn-BA"/>
        </w:rPr>
        <w:t xml:space="preserve"> </w:t>
      </w:r>
      <w:r w:rsidRPr="00155F80">
        <w:rPr>
          <w:rFonts w:ascii="Times New Roman" w:hAnsi="Times New Roman"/>
          <w:color w:val="000000"/>
        </w:rPr>
        <w:t>broja</w:t>
      </w:r>
      <w:r w:rsidRPr="00155F80">
        <w:rPr>
          <w:rFonts w:ascii="Times New Roman" w:hAnsi="Times New Roman"/>
          <w:color w:val="000000"/>
          <w:lang w:val="bs-Latn-BA"/>
        </w:rPr>
        <w:t xml:space="preserve"> </w:t>
      </w:r>
      <w:r w:rsidRPr="00155F80">
        <w:rPr>
          <w:rFonts w:ascii="Times New Roman" w:hAnsi="Times New Roman"/>
          <w:color w:val="000000"/>
        </w:rPr>
        <w:t>ku</w:t>
      </w:r>
      <w:r w:rsidRPr="00155F80">
        <w:rPr>
          <w:rFonts w:ascii="Times New Roman" w:hAnsi="Times New Roman"/>
          <w:color w:val="000000"/>
          <w:lang w:val="bs-Latn-BA"/>
        </w:rPr>
        <w:t>ć</w:t>
      </w:r>
      <w:r w:rsidRPr="00155F80">
        <w:rPr>
          <w:rFonts w:ascii="Times New Roman" w:hAnsi="Times New Roman"/>
          <w:color w:val="000000"/>
        </w:rPr>
        <w:t>nih</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ž</w:t>
      </w:r>
      <w:r w:rsidRPr="00155F80">
        <w:rPr>
          <w:rFonts w:ascii="Times New Roman" w:hAnsi="Times New Roman"/>
          <w:color w:val="000000"/>
        </w:rPr>
        <w:t>i</w:t>
      </w:r>
      <w:r w:rsidRPr="00155F80">
        <w:rPr>
          <w:rFonts w:ascii="Times New Roman" w:hAnsi="Times New Roman"/>
          <w:color w:val="000000"/>
          <w:lang w:val="bs-Latn-BA"/>
        </w:rPr>
        <w:t>š</w:t>
      </w:r>
      <w:r w:rsidRPr="00155F80">
        <w:rPr>
          <w:rFonts w:ascii="Times New Roman" w:hAnsi="Times New Roman"/>
          <w:color w:val="000000"/>
        </w:rPr>
        <w:t>ta</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kruta</w:t>
      </w:r>
      <w:r w:rsidRPr="00155F80">
        <w:rPr>
          <w:rFonts w:ascii="Times New Roman" w:hAnsi="Times New Roman"/>
          <w:color w:val="000000"/>
          <w:lang w:val="bs-Latn-BA"/>
        </w:rPr>
        <w:t xml:space="preserve"> </w:t>
      </w:r>
      <w:r w:rsidRPr="00155F80">
        <w:rPr>
          <w:rFonts w:ascii="Times New Roman" w:hAnsi="Times New Roman"/>
          <w:color w:val="000000"/>
        </w:rPr>
        <w:t>goriva</w:t>
      </w:r>
      <w:r w:rsidRPr="00155F80">
        <w:rPr>
          <w:rFonts w:ascii="Times New Roman" w:hAnsi="Times New Roman"/>
          <w:color w:val="000000"/>
          <w:lang w:val="bs-Latn-BA"/>
        </w:rPr>
        <w:t xml:space="preserve"> (</w:t>
      </w:r>
      <w:r w:rsidRPr="00155F80">
        <w:rPr>
          <w:rFonts w:ascii="Times New Roman" w:hAnsi="Times New Roman"/>
          <w:color w:val="000000"/>
        </w:rPr>
        <w:t>drvo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ugalj</w:t>
      </w:r>
      <w:r w:rsidRPr="00155F80">
        <w:rPr>
          <w:rFonts w:ascii="Times New Roman" w:hAnsi="Times New Roman"/>
          <w:color w:val="000000"/>
          <w:lang w:val="bs-Latn-BA"/>
        </w:rPr>
        <w:t xml:space="preserve">) </w:t>
      </w:r>
      <w:r w:rsidRPr="00155F80">
        <w:rPr>
          <w:rFonts w:ascii="Times New Roman" w:hAnsi="Times New Roman"/>
          <w:color w:val="000000"/>
        </w:rPr>
        <w:t>zbog</w:t>
      </w:r>
      <w:r w:rsidRPr="00155F80">
        <w:rPr>
          <w:rFonts w:ascii="Times New Roman" w:hAnsi="Times New Roman"/>
          <w:color w:val="000000"/>
          <w:lang w:val="bs-Latn-BA"/>
        </w:rPr>
        <w:t xml:space="preserve"> </w:t>
      </w:r>
      <w:r w:rsidRPr="00155F80">
        <w:rPr>
          <w:rFonts w:ascii="Times New Roman" w:hAnsi="Times New Roman"/>
          <w:color w:val="000000"/>
        </w:rPr>
        <w:t>sve</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cijena</w:t>
      </w:r>
      <w:r w:rsidRPr="00155F80">
        <w:rPr>
          <w:rFonts w:ascii="Times New Roman" w:hAnsi="Times New Roman"/>
          <w:color w:val="000000"/>
          <w:lang w:val="bs-Latn-BA"/>
        </w:rPr>
        <w:t xml:space="preserve"> </w:t>
      </w:r>
      <w:r w:rsidRPr="00155F80">
        <w:rPr>
          <w:rFonts w:ascii="Times New Roman" w:hAnsi="Times New Roman"/>
          <w:color w:val="000000"/>
        </w:rPr>
        <w:t>prirodnog</w:t>
      </w:r>
      <w:r w:rsidRPr="00155F80">
        <w:rPr>
          <w:rFonts w:ascii="Times New Roman" w:hAnsi="Times New Roman"/>
          <w:color w:val="000000"/>
          <w:lang w:val="bs-Latn-BA"/>
        </w:rPr>
        <w:t xml:space="preserve"> </w:t>
      </w:r>
      <w:r w:rsidRPr="00155F80">
        <w:rPr>
          <w:rFonts w:ascii="Times New Roman" w:hAnsi="Times New Roman"/>
          <w:color w:val="000000"/>
        </w:rPr>
        <w:t>gasa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Zenici</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Tuzli</w:t>
      </w:r>
      <w:r w:rsidRPr="00155F80">
        <w:rPr>
          <w:rFonts w:ascii="Times New Roman" w:hAnsi="Times New Roman"/>
          <w:color w:val="000000"/>
          <w:lang w:val="bs-Latn-BA"/>
        </w:rPr>
        <w:t xml:space="preserve"> </w:t>
      </w:r>
      <w:r w:rsidRPr="00155F80">
        <w:rPr>
          <w:rFonts w:ascii="Times New Roman" w:hAnsi="Times New Roman"/>
          <w:color w:val="000000"/>
        </w:rPr>
        <w:t>zna</w:t>
      </w:r>
      <w:r w:rsidRPr="00155F80">
        <w:rPr>
          <w:rFonts w:ascii="Times New Roman" w:hAnsi="Times New Roman"/>
          <w:color w:val="000000"/>
          <w:lang w:val="bs-Latn-BA"/>
        </w:rPr>
        <w:t>č</w:t>
      </w:r>
      <w:r w:rsidRPr="00155F80">
        <w:rPr>
          <w:rFonts w:ascii="Times New Roman" w:hAnsi="Times New Roman"/>
          <w:color w:val="000000"/>
        </w:rPr>
        <w:t>ajno</w:t>
      </w:r>
      <w:r w:rsidRPr="00155F80">
        <w:rPr>
          <w:rFonts w:ascii="Times New Roman" w:hAnsi="Times New Roman"/>
          <w:color w:val="000000"/>
          <w:lang w:val="bs-Latn-BA"/>
        </w:rPr>
        <w:t xml:space="preserve"> </w:t>
      </w:r>
      <w:r w:rsidRPr="00155F80">
        <w:rPr>
          <w:rFonts w:ascii="Times New Roman" w:hAnsi="Times New Roman"/>
          <w:color w:val="000000"/>
        </w:rPr>
        <w:t>mjesto</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ukupnom</w:t>
      </w:r>
      <w:r w:rsidRPr="00155F80">
        <w:rPr>
          <w:rFonts w:ascii="Times New Roman" w:hAnsi="Times New Roman"/>
          <w:color w:val="000000"/>
          <w:lang w:val="bs-Latn-BA"/>
        </w:rPr>
        <w:t xml:space="preserve"> </w:t>
      </w:r>
      <w:r w:rsidR="007B4F67">
        <w:rPr>
          <w:rFonts w:ascii="Times New Roman" w:hAnsi="Times New Roman"/>
          <w:color w:val="000000"/>
          <w:lang w:val="bs-Latn-BA"/>
        </w:rPr>
        <w:t>onečišćenju</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imaju</w:t>
      </w:r>
      <w:r w:rsidRPr="00155F80">
        <w:rPr>
          <w:rFonts w:ascii="Times New Roman" w:hAnsi="Times New Roman"/>
          <w:color w:val="000000"/>
          <w:lang w:val="bs-Latn-BA"/>
        </w:rPr>
        <w:t xml:space="preserve"> </w:t>
      </w:r>
      <w:r w:rsidRPr="00155F80">
        <w:rPr>
          <w:rFonts w:ascii="Times New Roman" w:hAnsi="Times New Roman"/>
          <w:color w:val="000000"/>
        </w:rPr>
        <w:t>industrijska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energetska</w:t>
      </w:r>
      <w:r w:rsidRPr="00155F80">
        <w:rPr>
          <w:rFonts w:ascii="Times New Roman" w:hAnsi="Times New Roman"/>
          <w:color w:val="000000"/>
          <w:lang w:val="bs-Latn-BA"/>
        </w:rPr>
        <w:t xml:space="preserve"> </w:t>
      </w:r>
      <w:r w:rsidRPr="00155F80">
        <w:rPr>
          <w:rFonts w:ascii="Times New Roman" w:hAnsi="Times New Roman"/>
          <w:color w:val="000000"/>
        </w:rPr>
        <w:t>postrojenja</w:t>
      </w:r>
      <w:r w:rsidRPr="00155F80">
        <w:rPr>
          <w:rFonts w:ascii="Times New Roman" w:hAnsi="Times New Roman"/>
          <w:color w:val="000000"/>
          <w:lang w:val="bs-Latn-BA"/>
        </w:rPr>
        <w:t xml:space="preserve">. </w:t>
      </w:r>
      <w:r w:rsidR="0027028E">
        <w:rPr>
          <w:rFonts w:ascii="Times New Roman" w:hAnsi="Times New Roman"/>
          <w:color w:val="000000"/>
          <w:lang w:val="pl-PL"/>
        </w:rPr>
        <w:t>U skladu s</w:t>
      </w:r>
      <w:r w:rsidRPr="00155F80">
        <w:rPr>
          <w:rFonts w:ascii="Times New Roman" w:hAnsi="Times New Roman"/>
          <w:color w:val="000000"/>
          <w:lang w:val="pl-PL"/>
        </w:rPr>
        <w:t xml:space="preserve"> </w:t>
      </w:r>
      <w:r w:rsidR="0027028E">
        <w:rPr>
          <w:rFonts w:ascii="Times New Roman" w:hAnsi="Times New Roman"/>
          <w:color w:val="000000"/>
          <w:lang w:val="pl-PL"/>
        </w:rPr>
        <w:t>tim</w:t>
      </w:r>
      <w:r w:rsidRPr="00155F80">
        <w:rPr>
          <w:rFonts w:ascii="Times New Roman" w:hAnsi="Times New Roman"/>
          <w:color w:val="000000"/>
          <w:lang w:val="pl-PL"/>
        </w:rPr>
        <w:t xml:space="preserve"> su i veće koncentracije sumpordioksida u Tuzli i Zenici u odnosu na Sarajevo. </w:t>
      </w:r>
    </w:p>
    <w:p w:rsidR="00A131AD" w:rsidRPr="00155F80" w:rsidRDefault="00A131AD" w:rsidP="000C0138">
      <w:pPr>
        <w:spacing w:line="276" w:lineRule="auto"/>
        <w:rPr>
          <w:rStyle w:val="Emphasis"/>
          <w:rFonts w:ascii="Times New Roman" w:hAnsi="Times New Roman"/>
          <w:i w:val="0"/>
          <w:iCs w:val="0"/>
          <w:lang w:val="en-US"/>
        </w:rPr>
      </w:pPr>
      <w:r w:rsidRPr="00155F80">
        <w:rPr>
          <w:rFonts w:ascii="Times New Roman" w:hAnsi="Times New Roman"/>
          <w:lang w:val="pl-PL"/>
        </w:rPr>
        <w:t xml:space="preserve">U </w:t>
      </w:r>
      <w:r w:rsidR="00F70FD4">
        <w:rPr>
          <w:rFonts w:ascii="Times New Roman" w:hAnsi="Times New Roman"/>
          <w:lang w:val="pl-PL"/>
        </w:rPr>
        <w:t>periodu</w:t>
      </w:r>
      <w:r w:rsidRPr="00155F80">
        <w:rPr>
          <w:rFonts w:ascii="Times New Roman" w:hAnsi="Times New Roman"/>
          <w:lang w:val="pl-PL"/>
        </w:rPr>
        <w:t xml:space="preserve"> od </w:t>
      </w:r>
      <w:r w:rsidR="007B4F67">
        <w:rPr>
          <w:rFonts w:ascii="Times New Roman" w:hAnsi="Times New Roman"/>
          <w:lang w:val="pl-PL"/>
        </w:rPr>
        <w:t>studenog</w:t>
      </w:r>
      <w:r w:rsidRPr="00155F80">
        <w:rPr>
          <w:rFonts w:ascii="Times New Roman" w:hAnsi="Times New Roman"/>
          <w:lang w:val="pl-PL"/>
        </w:rPr>
        <w:t xml:space="preserve"> do kraja </w:t>
      </w:r>
      <w:r w:rsidR="007B4F67">
        <w:rPr>
          <w:rFonts w:ascii="Times New Roman" w:hAnsi="Times New Roman"/>
          <w:lang w:val="pl-PL"/>
        </w:rPr>
        <w:t>siječnja</w:t>
      </w:r>
      <w:r w:rsidRPr="00155F80">
        <w:rPr>
          <w:rFonts w:ascii="Times New Roman" w:hAnsi="Times New Roman"/>
          <w:lang w:val="pl-PL"/>
        </w:rPr>
        <w:t xml:space="preserve"> gotovo da nije bilo dana u kojima nisu prekoračene propisane granične vrijednosti za lebdeće čestice ili sumpordioksid na mjernim stanicama u Sarajevu, Zenici i Tuzli. Najviše vrijednosti koncentracija sumpordioksida su zabilježene u Zenici, a lebdećih čestica u Sarajevu. Osim ovih materija u Sarajevu su u nekoliko navrata zabilježena i prekoračenja graničnih vrijednosti koncentracija </w:t>
      </w:r>
      <w:r w:rsidR="007B4F67">
        <w:rPr>
          <w:rFonts w:ascii="Times New Roman" w:hAnsi="Times New Roman"/>
          <w:lang w:val="pl-PL"/>
        </w:rPr>
        <w:t>dušičnih</w:t>
      </w:r>
      <w:r w:rsidRPr="00155F80">
        <w:rPr>
          <w:rFonts w:ascii="Times New Roman" w:hAnsi="Times New Roman"/>
          <w:lang w:val="pl-PL"/>
        </w:rPr>
        <w:t xml:space="preserve"> oksida u zraku. </w:t>
      </w:r>
      <w:r w:rsidRPr="00155F80">
        <w:rPr>
          <w:rFonts w:ascii="Times New Roman" w:hAnsi="Times New Roman"/>
        </w:rPr>
        <w:t xml:space="preserve">U ovom </w:t>
      </w:r>
      <w:r w:rsidR="00F70FD4">
        <w:rPr>
          <w:rFonts w:ascii="Times New Roman" w:hAnsi="Times New Roman"/>
        </w:rPr>
        <w:t>periodu</w:t>
      </w:r>
      <w:r w:rsidRPr="00155F80">
        <w:rPr>
          <w:rFonts w:ascii="Times New Roman" w:hAnsi="Times New Roman"/>
        </w:rPr>
        <w:t>, koncentracije SO</w:t>
      </w:r>
      <w:r w:rsidRPr="00155F80">
        <w:rPr>
          <w:rFonts w:ascii="Times New Roman" w:hAnsi="Times New Roman"/>
          <w:vertAlign w:val="subscript"/>
        </w:rPr>
        <w:t>2</w:t>
      </w:r>
      <w:r w:rsidRPr="00155F80">
        <w:rPr>
          <w:rFonts w:ascii="Times New Roman" w:hAnsi="Times New Roman"/>
        </w:rPr>
        <w:t xml:space="preserve"> na području Sarajeva su većinu dana bile dvostruko više od dnevnih graničnih vrijednosti, a u nekoliko navrata dnevne vrijednosti su prelazile i 550 μg/m</w:t>
      </w:r>
      <w:r w:rsidRPr="00155F80">
        <w:rPr>
          <w:rFonts w:ascii="Times New Roman" w:hAnsi="Times New Roman"/>
          <w:vertAlign w:val="superscript"/>
        </w:rPr>
        <w:t>3</w:t>
      </w:r>
      <w:r w:rsidRPr="00155F80">
        <w:rPr>
          <w:rFonts w:ascii="Times New Roman" w:hAnsi="Times New Roman"/>
        </w:rPr>
        <w:t>, dok su u Zenici prelazile i 700 μg/m</w:t>
      </w:r>
      <w:r w:rsidRPr="00155F80">
        <w:rPr>
          <w:rFonts w:ascii="Times New Roman" w:hAnsi="Times New Roman"/>
          <w:vertAlign w:val="superscript"/>
        </w:rPr>
        <w:t>3</w:t>
      </w:r>
      <w:r w:rsidRPr="00155F80">
        <w:rPr>
          <w:rFonts w:ascii="Times New Roman" w:hAnsi="Times New Roman"/>
        </w:rPr>
        <w:t>. Dnevne koncentracije ledbećih čestica u Sarajevu su dosezale 450 μg/m</w:t>
      </w:r>
      <w:r w:rsidRPr="00155F80">
        <w:rPr>
          <w:rFonts w:ascii="Times New Roman" w:hAnsi="Times New Roman"/>
          <w:vertAlign w:val="superscript"/>
        </w:rPr>
        <w:t>3</w:t>
      </w:r>
      <w:r w:rsidRPr="00155F80">
        <w:rPr>
          <w:rFonts w:ascii="Times New Roman" w:hAnsi="Times New Roman"/>
        </w:rPr>
        <w:t>, a u Zenici 200μg/m</w:t>
      </w:r>
      <w:r w:rsidRPr="00155F80">
        <w:rPr>
          <w:rFonts w:ascii="Times New Roman" w:hAnsi="Times New Roman"/>
          <w:vertAlign w:val="superscript"/>
        </w:rPr>
        <w:t>3</w:t>
      </w:r>
      <w:r w:rsidRPr="00155F80">
        <w:rPr>
          <w:rFonts w:ascii="Times New Roman" w:hAnsi="Times New Roman"/>
        </w:rPr>
        <w:t>. Slično stanje, sa nešto nižim vrijednostima koncentracije SO</w:t>
      </w:r>
      <w:r w:rsidRPr="00155F80">
        <w:rPr>
          <w:rFonts w:ascii="Times New Roman" w:hAnsi="Times New Roman"/>
          <w:vertAlign w:val="subscript"/>
        </w:rPr>
        <w:t>2</w:t>
      </w:r>
      <w:r w:rsidRPr="00155F80">
        <w:rPr>
          <w:rFonts w:ascii="Times New Roman" w:hAnsi="Times New Roman"/>
        </w:rPr>
        <w:t xml:space="preserve"> i lebdećih čestica, bilo je na području Tuzle. </w:t>
      </w:r>
      <w:r w:rsidRPr="00155F80">
        <w:rPr>
          <w:rFonts w:ascii="Times New Roman" w:hAnsi="Times New Roman"/>
          <w:color w:val="000000"/>
        </w:rPr>
        <w:t xml:space="preserve">Visoke </w:t>
      </w:r>
      <w:r w:rsidRPr="00155F80">
        <w:rPr>
          <w:rStyle w:val="Emphasis"/>
          <w:rFonts w:ascii="Times New Roman" w:hAnsi="Times New Roman"/>
          <w:i w:val="0"/>
          <w:color w:val="000000"/>
        </w:rPr>
        <w:t>koncentracije SO</w:t>
      </w:r>
      <w:r w:rsidRPr="00155F80">
        <w:rPr>
          <w:rStyle w:val="Emphasis"/>
          <w:rFonts w:ascii="Times New Roman" w:hAnsi="Times New Roman"/>
          <w:i w:val="0"/>
          <w:color w:val="000000"/>
          <w:vertAlign w:val="subscript"/>
        </w:rPr>
        <w:t>2</w:t>
      </w:r>
      <w:r w:rsidRPr="00155F80">
        <w:rPr>
          <w:rStyle w:val="Emphasis"/>
          <w:rFonts w:ascii="Times New Roman" w:hAnsi="Times New Roman"/>
          <w:i w:val="0"/>
          <w:color w:val="000000"/>
        </w:rPr>
        <w:t xml:space="preserve"> i lebdećih čestica izmjerene su i na području Kaknja, Lukavca i Živinica. </w:t>
      </w:r>
      <w:r w:rsidRPr="00155F80">
        <w:rPr>
          <w:rFonts w:ascii="Times New Roman" w:hAnsi="Times New Roman"/>
        </w:rPr>
        <w:t xml:space="preserve">Važno je napomenuti da je zrak </w:t>
      </w:r>
      <w:r w:rsidR="007B4F67">
        <w:rPr>
          <w:rFonts w:ascii="Times New Roman" w:hAnsi="Times New Roman"/>
        </w:rPr>
        <w:t>onečišćen</w:t>
      </w:r>
      <w:r w:rsidRPr="00155F80">
        <w:rPr>
          <w:rFonts w:ascii="Times New Roman" w:hAnsi="Times New Roman"/>
        </w:rPr>
        <w:t xml:space="preserve"> već kod koncentracije SO</w:t>
      </w:r>
      <w:r w:rsidRPr="00155F80">
        <w:rPr>
          <w:rFonts w:ascii="Times New Roman" w:hAnsi="Times New Roman"/>
          <w:vertAlign w:val="subscript"/>
        </w:rPr>
        <w:t>2</w:t>
      </w:r>
      <w:r w:rsidRPr="00155F80">
        <w:rPr>
          <w:rFonts w:ascii="Times New Roman" w:hAnsi="Times New Roman"/>
        </w:rPr>
        <w:t xml:space="preserve"> preko 125 μg/m</w:t>
      </w:r>
      <w:r w:rsidRPr="00155F80">
        <w:rPr>
          <w:rFonts w:ascii="Times New Roman" w:hAnsi="Times New Roman"/>
          <w:vertAlign w:val="superscript"/>
        </w:rPr>
        <w:t>3</w:t>
      </w:r>
      <w:r w:rsidRPr="00155F80">
        <w:rPr>
          <w:rFonts w:ascii="Times New Roman" w:hAnsi="Times New Roman"/>
        </w:rPr>
        <w:t xml:space="preserve"> i lebdećih čestica preko 50 μg/m</w:t>
      </w:r>
      <w:r w:rsidRPr="00155F80">
        <w:rPr>
          <w:rFonts w:ascii="Times New Roman" w:hAnsi="Times New Roman"/>
          <w:vertAlign w:val="superscript"/>
        </w:rPr>
        <w:t>3</w:t>
      </w:r>
      <w:r w:rsidRPr="00155F80">
        <w:rPr>
          <w:rFonts w:ascii="Times New Roman" w:hAnsi="Times New Roman"/>
        </w:rPr>
        <w:t xml:space="preserve">. </w:t>
      </w:r>
      <w:r w:rsidRPr="00155F80">
        <w:rPr>
          <w:rFonts w:ascii="Times New Roman" w:hAnsi="Times New Roman"/>
          <w:lang w:eastAsia="bs-Latn-BA"/>
        </w:rPr>
        <w:t xml:space="preserve">Nadležne institucije kantona u kojima su izmjerene najveće koncentracije </w:t>
      </w:r>
      <w:r w:rsidR="007B4F67">
        <w:rPr>
          <w:rFonts w:ascii="Times New Roman" w:hAnsi="Times New Roman"/>
          <w:lang w:eastAsia="bs-Latn-BA"/>
        </w:rPr>
        <w:t>onečišćujućih</w:t>
      </w:r>
      <w:r w:rsidRPr="00155F80">
        <w:rPr>
          <w:rFonts w:ascii="Times New Roman" w:hAnsi="Times New Roman"/>
          <w:lang w:eastAsia="bs-Latn-BA"/>
        </w:rPr>
        <w:t xml:space="preserve"> </w:t>
      </w:r>
      <w:r w:rsidR="00D21A46">
        <w:rPr>
          <w:rFonts w:ascii="Times New Roman" w:hAnsi="Times New Roman"/>
          <w:lang w:eastAsia="bs-Latn-BA"/>
        </w:rPr>
        <w:t>materija</w:t>
      </w:r>
      <w:r w:rsidR="007B4F67">
        <w:rPr>
          <w:rFonts w:ascii="Times New Roman" w:hAnsi="Times New Roman"/>
          <w:lang w:eastAsia="bs-Latn-BA"/>
        </w:rPr>
        <w:t>i</w:t>
      </w:r>
      <w:r w:rsidRPr="00155F80">
        <w:rPr>
          <w:rFonts w:ascii="Times New Roman" w:hAnsi="Times New Roman"/>
          <w:lang w:eastAsia="bs-Latn-BA"/>
        </w:rPr>
        <w:t xml:space="preserve"> poduzele su mjere </w:t>
      </w:r>
      <w:r w:rsidR="00526FD0">
        <w:rPr>
          <w:rFonts w:ascii="Times New Roman" w:hAnsi="Times New Roman"/>
          <w:lang w:eastAsia="bs-Latn-BA"/>
        </w:rPr>
        <w:t>u skladu sa</w:t>
      </w:r>
      <w:r w:rsidRPr="00155F80">
        <w:rPr>
          <w:rFonts w:ascii="Times New Roman" w:hAnsi="Times New Roman"/>
          <w:lang w:eastAsia="bs-Latn-BA"/>
        </w:rPr>
        <w:t xml:space="preserve"> done</w:t>
      </w:r>
      <w:r w:rsidR="007B4F67">
        <w:rPr>
          <w:rFonts w:ascii="Times New Roman" w:hAnsi="Times New Roman"/>
          <w:lang w:eastAsia="bs-Latn-BA"/>
        </w:rPr>
        <w:t>s</w:t>
      </w:r>
      <w:r w:rsidRPr="00155F80">
        <w:rPr>
          <w:rFonts w:ascii="Times New Roman" w:hAnsi="Times New Roman"/>
          <w:lang w:eastAsia="bs-Latn-BA"/>
        </w:rPr>
        <w:t>enim lokalnim planovima interventnih mjera za slučajeve prekomjern</w:t>
      </w:r>
      <w:r w:rsidR="007B4F67">
        <w:rPr>
          <w:rFonts w:ascii="Times New Roman" w:hAnsi="Times New Roman"/>
          <w:lang w:eastAsia="bs-Latn-BA"/>
        </w:rPr>
        <w:t>og</w:t>
      </w:r>
      <w:r w:rsidRPr="00155F80">
        <w:rPr>
          <w:rFonts w:ascii="Times New Roman" w:hAnsi="Times New Roman"/>
          <w:lang w:eastAsia="bs-Latn-BA"/>
        </w:rPr>
        <w:t xml:space="preserve"> </w:t>
      </w:r>
      <w:r w:rsidR="007B4F67">
        <w:rPr>
          <w:rFonts w:ascii="Times New Roman" w:hAnsi="Times New Roman"/>
          <w:lang w:eastAsia="bs-Latn-BA"/>
        </w:rPr>
        <w:t>onečišćenja</w:t>
      </w:r>
      <w:r w:rsidRPr="00155F80">
        <w:rPr>
          <w:rFonts w:ascii="Times New Roman" w:hAnsi="Times New Roman"/>
          <w:lang w:eastAsia="bs-Latn-BA"/>
        </w:rPr>
        <w:t xml:space="preserve"> zraka. </w:t>
      </w:r>
      <w:r w:rsidRPr="00155F80">
        <w:rPr>
          <w:rFonts w:ascii="Times New Roman" w:hAnsi="Times New Roman"/>
          <w:lang w:val="en-US"/>
        </w:rPr>
        <w:t>Ovim plano</w:t>
      </w:r>
      <w:r w:rsidRPr="00155F80">
        <w:rPr>
          <w:rFonts w:ascii="Times New Roman" w:hAnsi="Times New Roman"/>
        </w:rPr>
        <w:t>vima</w:t>
      </w:r>
      <w:r w:rsidRPr="00155F80">
        <w:rPr>
          <w:rFonts w:ascii="Times New Roman" w:hAnsi="Times New Roman"/>
          <w:lang w:val="en-US"/>
        </w:rPr>
        <w:t xml:space="preserve"> se utvrđuju vrste rizika i opasnosti, postupak i mjere za uklanjanje opasnosti, subjekti zaduženi za primjenu mjera, odgovornost i ovlaštenja u </w:t>
      </w:r>
      <w:r w:rsidR="000E56ED">
        <w:rPr>
          <w:rFonts w:ascii="Times New Roman" w:hAnsi="Times New Roman"/>
          <w:lang w:val="en-US"/>
        </w:rPr>
        <w:t>vezi</w:t>
      </w:r>
      <w:r w:rsidRPr="00155F80">
        <w:rPr>
          <w:rFonts w:ascii="Times New Roman" w:hAnsi="Times New Roman"/>
          <w:lang w:val="en-US"/>
        </w:rPr>
        <w:t xml:space="preserve"> sa primjenom Plana. </w:t>
      </w:r>
      <w:r w:rsidRPr="00155F80">
        <w:rPr>
          <w:rStyle w:val="Emphasis"/>
          <w:rFonts w:ascii="Times New Roman" w:hAnsi="Times New Roman"/>
          <w:i w:val="0"/>
          <w:iCs w:val="0"/>
          <w:lang w:val="pt-BR"/>
        </w:rPr>
        <w:t>U</w:t>
      </w:r>
      <w:r w:rsidR="007B4F67">
        <w:rPr>
          <w:rStyle w:val="Emphasis"/>
          <w:rFonts w:ascii="Times New Roman" w:hAnsi="Times New Roman"/>
          <w:i w:val="0"/>
          <w:iCs w:val="0"/>
          <w:lang w:val="pt-BR"/>
        </w:rPr>
        <w:t>s</w:t>
      </w:r>
      <w:r w:rsidRPr="00155F80">
        <w:rPr>
          <w:rStyle w:val="Emphasis"/>
          <w:rFonts w:ascii="Times New Roman" w:hAnsi="Times New Roman"/>
          <w:i w:val="0"/>
          <w:iCs w:val="0"/>
          <w:lang w:val="pt-BR"/>
        </w:rPr>
        <w:t xml:space="preserve">poredo sa porastom </w:t>
      </w:r>
      <w:r w:rsidR="007B4F67">
        <w:rPr>
          <w:rStyle w:val="Emphasis"/>
          <w:rFonts w:ascii="Times New Roman" w:hAnsi="Times New Roman"/>
          <w:i w:val="0"/>
          <w:iCs w:val="0"/>
          <w:lang w:val="pt-BR"/>
        </w:rPr>
        <w:t>onečišćenja zraka</w:t>
      </w:r>
      <w:r w:rsidRPr="00155F80">
        <w:rPr>
          <w:rStyle w:val="Emphasis"/>
          <w:rFonts w:ascii="Times New Roman" w:hAnsi="Times New Roman"/>
          <w:i w:val="0"/>
          <w:iCs w:val="0"/>
          <w:lang w:val="pt-BR"/>
        </w:rPr>
        <w:t xml:space="preserve">, u 2014. (177,7/10.000) i 2015. godini (175,8/10.000) je došlo do porasta stope </w:t>
      </w:r>
      <w:r w:rsidR="00512E30">
        <w:rPr>
          <w:rStyle w:val="Emphasis"/>
          <w:rFonts w:ascii="Times New Roman" w:hAnsi="Times New Roman"/>
          <w:i w:val="0"/>
          <w:iCs w:val="0"/>
          <w:lang w:val="pt-BR"/>
        </w:rPr>
        <w:t>hronični</w:t>
      </w:r>
      <w:r w:rsidRPr="00155F80">
        <w:rPr>
          <w:rStyle w:val="Emphasis"/>
          <w:rFonts w:ascii="Times New Roman" w:hAnsi="Times New Roman"/>
          <w:i w:val="0"/>
          <w:iCs w:val="0"/>
          <w:lang w:val="pt-BR"/>
        </w:rPr>
        <w:t>h opstruktivnih plućnih oboljenja u odnosu na prethodne godine (2011. godine 153,7/10.000, 2012. 151,9/10.000 i  2013. godi</w:t>
      </w:r>
      <w:r w:rsidR="00AA0D77" w:rsidRPr="00155F80">
        <w:rPr>
          <w:rStyle w:val="Emphasis"/>
          <w:rFonts w:ascii="Times New Roman" w:hAnsi="Times New Roman"/>
          <w:i w:val="0"/>
          <w:iCs w:val="0"/>
          <w:lang w:val="pt-BR"/>
        </w:rPr>
        <w:t>ne 169,8/10.000).</w:t>
      </w:r>
    </w:p>
    <w:p w:rsidR="00A131AD" w:rsidRPr="00155F80" w:rsidRDefault="00A131AD" w:rsidP="000C0138">
      <w:pPr>
        <w:spacing w:line="276" w:lineRule="auto"/>
        <w:rPr>
          <w:rStyle w:val="Emphasis"/>
          <w:rFonts w:ascii="Times New Roman" w:hAnsi="Times New Roman"/>
          <w:i w:val="0"/>
          <w:iCs w:val="0"/>
          <w:color w:val="000000"/>
          <w:lang w:val="bs-Latn-BA"/>
        </w:rPr>
      </w:pPr>
      <w:r w:rsidRPr="00155F80">
        <w:rPr>
          <w:rStyle w:val="Emphasis"/>
          <w:rFonts w:ascii="Times New Roman" w:hAnsi="Times New Roman"/>
          <w:i w:val="0"/>
          <w:iCs w:val="0"/>
          <w:lang w:val="pl-PL"/>
        </w:rPr>
        <w:t>Trenuta</w:t>
      </w:r>
      <w:r w:rsidRPr="00155F80">
        <w:rPr>
          <w:rStyle w:val="Emphasis"/>
          <w:rFonts w:ascii="Times New Roman" w:hAnsi="Times New Roman"/>
          <w:i w:val="0"/>
          <w:iCs w:val="0"/>
          <w:lang w:val="hr-HR"/>
        </w:rPr>
        <w:t>č</w:t>
      </w:r>
      <w:r w:rsidRPr="00155F80">
        <w:rPr>
          <w:rStyle w:val="Emphasis"/>
          <w:rFonts w:ascii="Times New Roman" w:hAnsi="Times New Roman"/>
          <w:i w:val="0"/>
          <w:iCs w:val="0"/>
          <w:lang w:val="pl-PL"/>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situacija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vezana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za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FBiH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ima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dosta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nedostataka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od</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kojih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najva</w:t>
      </w:r>
      <w:r w:rsidRPr="00155F80">
        <w:rPr>
          <w:rStyle w:val="Emphasis"/>
          <w:rFonts w:ascii="Times New Roman" w:hAnsi="Times New Roman"/>
          <w:i w:val="0"/>
          <w:iCs w:val="0"/>
          <w:lang w:val="hr-HR"/>
        </w:rPr>
        <w:t>ž</w:t>
      </w:r>
      <w:r w:rsidRPr="00155F80">
        <w:rPr>
          <w:rStyle w:val="Emphasis"/>
          <w:rFonts w:ascii="Times New Roman" w:hAnsi="Times New Roman"/>
          <w:i w:val="0"/>
          <w:iCs w:val="0"/>
          <w:lang w:val="pl-PL"/>
        </w:rPr>
        <w:t>niji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nedostatak</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organizacije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koordinacije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komunikacije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izme</w:t>
      </w:r>
      <w:r w:rsidRPr="00155F80">
        <w:rPr>
          <w:rStyle w:val="Emphasis"/>
          <w:rFonts w:ascii="Times New Roman" w:hAnsi="Times New Roman"/>
          <w:i w:val="0"/>
          <w:iCs w:val="0"/>
          <w:lang w:val="hr-HR"/>
        </w:rPr>
        <w:t>đ</w:t>
      </w:r>
      <w:r w:rsidRPr="00155F80">
        <w:rPr>
          <w:rStyle w:val="Emphasis"/>
          <w:rFonts w:ascii="Times New Roman" w:hAnsi="Times New Roman"/>
          <w:i w:val="0"/>
          <w:iCs w:val="0"/>
          <w:lang w:val="pl-PL"/>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razli</w:t>
      </w:r>
      <w:r w:rsidRPr="00155F80">
        <w:rPr>
          <w:rStyle w:val="Emphasis"/>
          <w:rFonts w:ascii="Times New Roman" w:hAnsi="Times New Roman"/>
          <w:i w:val="0"/>
          <w:iCs w:val="0"/>
          <w:lang w:val="hr-HR"/>
        </w:rPr>
        <w:t>č</w:t>
      </w:r>
      <w:r w:rsidRPr="00155F80">
        <w:rPr>
          <w:rStyle w:val="Emphasis"/>
          <w:rFonts w:ascii="Times New Roman" w:hAnsi="Times New Roman"/>
          <w:i w:val="0"/>
          <w:iCs w:val="0"/>
          <w:lang w:val="pl-PL"/>
        </w:rPr>
        <w:t>itih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javnih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institucija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provode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javne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institucije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sami</w:t>
      </w:r>
      <w:r w:rsidRPr="00155F80">
        <w:rPr>
          <w:rStyle w:val="Emphasis"/>
          <w:rFonts w:ascii="Times New Roman" w:hAnsi="Times New Roman"/>
          <w:i w:val="0"/>
          <w:iCs w:val="0"/>
          <w:lang w:val="hr-HR"/>
        </w:rPr>
        <w:t xml:space="preserve"> </w:t>
      </w:r>
      <w:r w:rsidR="007B4F67">
        <w:rPr>
          <w:rStyle w:val="Emphasis"/>
          <w:rFonts w:ascii="Times New Roman" w:hAnsi="Times New Roman"/>
          <w:i w:val="0"/>
          <w:iCs w:val="0"/>
          <w:lang w:val="hr-HR"/>
        </w:rPr>
        <w:t>onečišćivači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ispituju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osnovni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parametri</w:t>
      </w:r>
      <w:r w:rsidRPr="00155F80">
        <w:rPr>
          <w:rStyle w:val="Emphasis"/>
          <w:rFonts w:ascii="Times New Roman" w:hAnsi="Times New Roman"/>
          <w:i w:val="0"/>
          <w:iCs w:val="0"/>
          <w:lang w:val="hr-HR"/>
        </w:rPr>
        <w:t xml:space="preserve"> </w:t>
      </w:r>
      <w:r w:rsidR="00FE3B0D">
        <w:rPr>
          <w:rStyle w:val="Emphasis"/>
          <w:rFonts w:ascii="Times New Roman" w:hAnsi="Times New Roman"/>
          <w:i w:val="0"/>
          <w:iCs w:val="0"/>
        </w:rPr>
        <w:t>onečišćenja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 </w:t>
      </w:r>
      <w:r w:rsidRPr="00155F80">
        <w:rPr>
          <w:rStyle w:val="Emphasis"/>
          <w:rFonts w:ascii="Times New Roman" w:hAnsi="Times New Roman"/>
          <w:i w:val="0"/>
          <w:iCs w:val="0"/>
        </w:rPr>
        <w:t>SO</w:t>
      </w:r>
      <w:r w:rsidRPr="00155F80">
        <w:rPr>
          <w:rStyle w:val="Emphasis"/>
          <w:rFonts w:ascii="Times New Roman" w:hAnsi="Times New Roman"/>
          <w:i w:val="0"/>
          <w:iCs w:val="0"/>
          <w:vertAlign w:val="subscript"/>
          <w:lang w:val="hr-HR"/>
        </w:rPr>
        <w:t>2</w:t>
      </w:r>
      <w:r w:rsidRPr="00155F80">
        <w:rPr>
          <w:rStyle w:val="Emphasis"/>
          <w:rFonts w:ascii="Times New Roman" w:hAnsi="Times New Roman"/>
          <w:i w:val="0"/>
          <w:iCs w:val="0"/>
          <w:lang w:val="hr-HR"/>
        </w:rPr>
        <w:t xml:space="preserve">, </w:t>
      </w:r>
      <w:r w:rsidR="007B4F67">
        <w:rPr>
          <w:rStyle w:val="Emphasis"/>
          <w:rFonts w:ascii="Times New Roman" w:hAnsi="Times New Roman"/>
          <w:i w:val="0"/>
          <w:iCs w:val="0"/>
          <w:lang w:val="hr-HR"/>
        </w:rPr>
        <w:t>dušični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oksidi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CO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hr-HR"/>
        </w:rPr>
        <w:t>ć</w:t>
      </w:r>
      <w:r w:rsidRPr="00155F80">
        <w:rPr>
          <w:rStyle w:val="Emphasis"/>
          <w:rFonts w:ascii="Times New Roman" w:hAnsi="Times New Roman"/>
          <w:i w:val="0"/>
          <w:iCs w:val="0"/>
        </w:rPr>
        <w:t>e</w:t>
      </w:r>
      <w:r w:rsidRPr="00155F80">
        <w:rPr>
          <w:rStyle w:val="Emphasis"/>
          <w:rFonts w:ascii="Times New Roman" w:hAnsi="Times New Roman"/>
          <w:i w:val="0"/>
          <w:iCs w:val="0"/>
          <w:lang w:val="hr-HR"/>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Nedosta</w:t>
      </w:r>
      <w:r w:rsidR="007B4F67">
        <w:rPr>
          <w:rStyle w:val="Emphasis"/>
          <w:rFonts w:ascii="Times New Roman" w:hAnsi="Times New Roman"/>
          <w:i w:val="0"/>
          <w:iCs w:val="0"/>
        </w:rPr>
        <w:t>t</w:t>
      </w:r>
      <w:r w:rsidRPr="00155F80">
        <w:rPr>
          <w:rStyle w:val="Emphasis"/>
          <w:rFonts w:ascii="Times New Roman" w:hAnsi="Times New Roman"/>
          <w:i w:val="0"/>
          <w:iCs w:val="0"/>
        </w:rPr>
        <w:t>ci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mjerenju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parametara</w:t>
      </w:r>
      <w:r w:rsidRPr="00155F80">
        <w:rPr>
          <w:rStyle w:val="Emphasis"/>
          <w:rFonts w:ascii="Times New Roman" w:hAnsi="Times New Roman"/>
          <w:i w:val="0"/>
          <w:iCs w:val="0"/>
          <w:lang w:val="hr-HR"/>
        </w:rPr>
        <w:t xml:space="preserve"> </w:t>
      </w:r>
      <w:r w:rsidR="00FE3B0D">
        <w:rPr>
          <w:rStyle w:val="Emphasis"/>
          <w:rFonts w:ascii="Times New Roman" w:hAnsi="Times New Roman"/>
          <w:i w:val="0"/>
          <w:iCs w:val="0"/>
        </w:rPr>
        <w:t>onečišćenja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odnose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hr-HR"/>
        </w:rPr>
        <w:t>ć</w:t>
      </w:r>
      <w:r w:rsidRPr="00155F80">
        <w:rPr>
          <w:rStyle w:val="Emphasis"/>
          <w:rFonts w:ascii="Times New Roman" w:hAnsi="Times New Roman"/>
          <w:i w:val="0"/>
          <w:iCs w:val="0"/>
        </w:rPr>
        <w:t>e</w:t>
      </w:r>
      <w:r w:rsidRPr="00155F80">
        <w:rPr>
          <w:rStyle w:val="Emphasis"/>
          <w:rFonts w:ascii="Times New Roman" w:hAnsi="Times New Roman"/>
          <w:i w:val="0"/>
          <w:iCs w:val="0"/>
          <w:lang w:val="hr-HR"/>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PM</w:t>
      </w:r>
      <w:r w:rsidRPr="00155F80">
        <w:rPr>
          <w:rStyle w:val="Emphasis"/>
          <w:rFonts w:ascii="Times New Roman" w:hAnsi="Times New Roman"/>
          <w:i w:val="0"/>
          <w:iCs w:val="0"/>
          <w:vertAlign w:val="subscript"/>
          <w:lang w:val="hr-HR"/>
        </w:rPr>
        <w:t xml:space="preserve">10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naro</w:t>
      </w:r>
      <w:r w:rsidRPr="00155F80">
        <w:rPr>
          <w:rStyle w:val="Emphasis"/>
          <w:rFonts w:ascii="Times New Roman" w:hAnsi="Times New Roman"/>
          <w:i w:val="0"/>
          <w:iCs w:val="0"/>
          <w:lang w:val="hr-HR"/>
        </w:rPr>
        <w:t>č</w:t>
      </w:r>
      <w:r w:rsidRPr="00155F80">
        <w:rPr>
          <w:rStyle w:val="Emphasis"/>
          <w:rFonts w:ascii="Times New Roman" w:hAnsi="Times New Roman"/>
          <w:i w:val="0"/>
          <w:iCs w:val="0"/>
        </w:rPr>
        <w:t>ito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PM</w:t>
      </w:r>
      <w:r w:rsidRPr="00155F80">
        <w:rPr>
          <w:rStyle w:val="Emphasis"/>
          <w:rFonts w:ascii="Times New Roman" w:hAnsi="Times New Roman"/>
          <w:i w:val="0"/>
          <w:iCs w:val="0"/>
          <w:vertAlign w:val="subscript"/>
          <w:lang w:val="hr-HR"/>
        </w:rPr>
        <w:t>2,5</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prizemni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ozon</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benzen</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metale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Neki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metali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mjere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sporadi</w:t>
      </w:r>
      <w:r w:rsidRPr="00155F80">
        <w:rPr>
          <w:rStyle w:val="Emphasis"/>
          <w:rFonts w:ascii="Times New Roman" w:hAnsi="Times New Roman"/>
          <w:i w:val="0"/>
          <w:iCs w:val="0"/>
          <w:lang w:val="hr-HR"/>
        </w:rPr>
        <w:t>č</w:t>
      </w:r>
      <w:r w:rsidRPr="00155F80">
        <w:rPr>
          <w:rStyle w:val="Emphasis"/>
          <w:rFonts w:ascii="Times New Roman" w:hAnsi="Times New Roman"/>
          <w:i w:val="0"/>
          <w:iCs w:val="0"/>
        </w:rPr>
        <w:t>no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00D21A46">
        <w:rPr>
          <w:rStyle w:val="Emphasis"/>
          <w:rFonts w:ascii="Times New Roman" w:hAnsi="Times New Roman"/>
          <w:i w:val="0"/>
          <w:iCs w:val="0"/>
        </w:rPr>
        <w:t>zavisnost</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finan</w:t>
      </w:r>
      <w:r w:rsidR="002D27DE">
        <w:rPr>
          <w:rStyle w:val="Emphasis"/>
          <w:rFonts w:ascii="Times New Roman" w:hAnsi="Times New Roman"/>
          <w:i w:val="0"/>
          <w:iCs w:val="0"/>
        </w:rPr>
        <w:t>c</w:t>
      </w:r>
      <w:r w:rsidRPr="00155F80">
        <w:rPr>
          <w:rStyle w:val="Emphasis"/>
          <w:rFonts w:ascii="Times New Roman" w:hAnsi="Times New Roman"/>
          <w:i w:val="0"/>
          <w:iCs w:val="0"/>
        </w:rPr>
        <w:t>iranju</w:t>
      </w:r>
      <w:r w:rsidRPr="00155F80">
        <w:rPr>
          <w:rStyle w:val="Emphasis"/>
          <w:rFonts w:ascii="Times New Roman" w:hAnsi="Times New Roman"/>
          <w:i w:val="0"/>
          <w:iCs w:val="0"/>
          <w:lang w:val="hr-HR"/>
        </w:rPr>
        <w:t xml:space="preserve">. </w:t>
      </w:r>
      <w:r w:rsidRPr="00155F80">
        <w:rPr>
          <w:rFonts w:ascii="Times New Roman" w:hAnsi="Times New Roman"/>
          <w:color w:val="000000"/>
        </w:rPr>
        <w:t>Osim</w:t>
      </w:r>
      <w:r w:rsidRPr="00155F80">
        <w:rPr>
          <w:rFonts w:ascii="Times New Roman" w:hAnsi="Times New Roman"/>
          <w:color w:val="000000"/>
          <w:lang w:val="hr-HR"/>
        </w:rPr>
        <w:t xml:space="preserve"> </w:t>
      </w:r>
      <w:r w:rsidRPr="00155F80">
        <w:rPr>
          <w:rFonts w:ascii="Times New Roman" w:hAnsi="Times New Roman"/>
          <w:color w:val="000000"/>
        </w:rPr>
        <w:t>toga</w:t>
      </w:r>
      <w:r w:rsidRPr="00155F80">
        <w:rPr>
          <w:rFonts w:ascii="Times New Roman" w:hAnsi="Times New Roman"/>
          <w:color w:val="000000"/>
          <w:lang w:val="hr-HR"/>
        </w:rPr>
        <w:t xml:space="preserve">, </w:t>
      </w:r>
      <w:r w:rsidRPr="00155F80">
        <w:rPr>
          <w:rFonts w:ascii="Times New Roman" w:hAnsi="Times New Roman"/>
          <w:color w:val="000000"/>
        </w:rPr>
        <w:t>ne</w:t>
      </w:r>
      <w:r w:rsidRPr="00155F80">
        <w:rPr>
          <w:rFonts w:ascii="Times New Roman" w:hAnsi="Times New Roman"/>
          <w:color w:val="000000"/>
          <w:lang w:val="hr-HR"/>
        </w:rPr>
        <w:t xml:space="preserve"> </w:t>
      </w:r>
      <w:r w:rsidRPr="00155F80">
        <w:rPr>
          <w:rFonts w:ascii="Times New Roman" w:hAnsi="Times New Roman"/>
          <w:color w:val="000000"/>
        </w:rPr>
        <w:t>postoji</w:t>
      </w:r>
      <w:r w:rsidRPr="00155F80">
        <w:rPr>
          <w:rFonts w:ascii="Times New Roman" w:hAnsi="Times New Roman"/>
          <w:color w:val="000000"/>
          <w:lang w:val="hr-HR"/>
        </w:rPr>
        <w:t xml:space="preserve"> </w:t>
      </w:r>
      <w:r w:rsidRPr="00155F80">
        <w:rPr>
          <w:rFonts w:ascii="Times New Roman" w:hAnsi="Times New Roman"/>
          <w:color w:val="000000"/>
        </w:rPr>
        <w:t>monitoring</w:t>
      </w:r>
      <w:r w:rsidRPr="00155F80">
        <w:rPr>
          <w:rFonts w:ascii="Times New Roman" w:hAnsi="Times New Roman"/>
          <w:color w:val="000000"/>
          <w:lang w:val="hr-HR"/>
        </w:rPr>
        <w:t xml:space="preserve"> </w:t>
      </w:r>
      <w:r w:rsidRPr="00155F80">
        <w:rPr>
          <w:rFonts w:ascii="Times New Roman" w:hAnsi="Times New Roman"/>
          <w:color w:val="000000"/>
        </w:rPr>
        <w:t>kvaliteta</w:t>
      </w:r>
      <w:r w:rsidRPr="00155F80">
        <w:rPr>
          <w:rFonts w:ascii="Times New Roman" w:hAnsi="Times New Roman"/>
          <w:color w:val="000000"/>
          <w:lang w:val="hr-HR"/>
        </w:rPr>
        <w:t xml:space="preserve"> </w:t>
      </w:r>
      <w:r w:rsidRPr="00155F80">
        <w:rPr>
          <w:rFonts w:ascii="Times New Roman" w:hAnsi="Times New Roman"/>
          <w:color w:val="000000"/>
        </w:rPr>
        <w:t>zraka</w:t>
      </w:r>
      <w:r w:rsidRPr="00155F80">
        <w:rPr>
          <w:rFonts w:ascii="Times New Roman" w:hAnsi="Times New Roman"/>
          <w:color w:val="000000"/>
          <w:lang w:val="hr-HR"/>
        </w:rPr>
        <w:t xml:space="preserve"> </w:t>
      </w:r>
      <w:r w:rsidRPr="00155F80">
        <w:rPr>
          <w:rFonts w:ascii="Times New Roman" w:hAnsi="Times New Roman"/>
          <w:color w:val="000000"/>
        </w:rPr>
        <w:t>unut</w:t>
      </w:r>
      <w:r w:rsidR="002D27DE">
        <w:rPr>
          <w:rFonts w:ascii="Times New Roman" w:hAnsi="Times New Roman"/>
          <w:color w:val="000000"/>
        </w:rPr>
        <w:t>ar</w:t>
      </w:r>
      <w:r w:rsidRPr="00155F80">
        <w:rPr>
          <w:rFonts w:ascii="Times New Roman" w:hAnsi="Times New Roman"/>
          <w:color w:val="000000"/>
        </w:rPr>
        <w:t>njeg</w:t>
      </w:r>
      <w:r w:rsidRPr="00155F80">
        <w:rPr>
          <w:rFonts w:ascii="Times New Roman" w:hAnsi="Times New Roman"/>
          <w:color w:val="000000"/>
          <w:lang w:val="hr-HR"/>
        </w:rPr>
        <w:t xml:space="preserve"> </w:t>
      </w:r>
      <w:r w:rsidRPr="00155F80">
        <w:rPr>
          <w:rFonts w:ascii="Times New Roman" w:hAnsi="Times New Roman"/>
          <w:color w:val="000000"/>
        </w:rPr>
        <w:t>prostora</w:t>
      </w:r>
      <w:r w:rsidRPr="00155F80">
        <w:rPr>
          <w:rFonts w:ascii="Times New Roman" w:hAnsi="Times New Roman"/>
          <w:color w:val="000000"/>
          <w:lang w:val="hr-HR"/>
        </w:rPr>
        <w:t xml:space="preserve"> </w:t>
      </w:r>
      <w:r w:rsidRPr="00155F80">
        <w:rPr>
          <w:rFonts w:ascii="Times New Roman" w:hAnsi="Times New Roman"/>
          <w:color w:val="000000"/>
        </w:rPr>
        <w:t>koji</w:t>
      </w:r>
      <w:r w:rsidRPr="00155F80">
        <w:rPr>
          <w:rFonts w:ascii="Times New Roman" w:hAnsi="Times New Roman"/>
          <w:color w:val="000000"/>
          <w:lang w:val="hr-HR"/>
        </w:rPr>
        <w:t xml:space="preserve">, </w:t>
      </w:r>
      <w:r w:rsidRPr="00155F80">
        <w:rPr>
          <w:rFonts w:ascii="Times New Roman" w:hAnsi="Times New Roman"/>
          <w:color w:val="000000"/>
        </w:rPr>
        <w:t>ukoliko</w:t>
      </w:r>
      <w:r w:rsidRPr="00155F80">
        <w:rPr>
          <w:rFonts w:ascii="Times New Roman" w:hAnsi="Times New Roman"/>
          <w:color w:val="000000"/>
          <w:lang w:val="hr-HR"/>
        </w:rPr>
        <w:t xml:space="preserve"> </w:t>
      </w:r>
      <w:r w:rsidRPr="00155F80">
        <w:rPr>
          <w:rFonts w:ascii="Times New Roman" w:hAnsi="Times New Roman"/>
          <w:color w:val="000000"/>
        </w:rPr>
        <w:t>je</w:t>
      </w:r>
      <w:r w:rsidRPr="00155F80">
        <w:rPr>
          <w:rFonts w:ascii="Times New Roman" w:hAnsi="Times New Roman"/>
          <w:color w:val="000000"/>
          <w:lang w:val="hr-HR"/>
        </w:rPr>
        <w:t xml:space="preserve"> </w:t>
      </w:r>
      <w:r w:rsidR="002D27DE">
        <w:rPr>
          <w:rFonts w:ascii="Times New Roman" w:hAnsi="Times New Roman"/>
          <w:color w:val="000000"/>
        </w:rPr>
        <w:t>onečišćen</w:t>
      </w:r>
      <w:r w:rsidRPr="00155F80">
        <w:rPr>
          <w:rFonts w:ascii="Times New Roman" w:hAnsi="Times New Roman"/>
          <w:color w:val="000000"/>
          <w:lang w:val="hr-HR"/>
        </w:rPr>
        <w:t xml:space="preserve">, </w:t>
      </w:r>
      <w:r w:rsidRPr="00155F80">
        <w:rPr>
          <w:rFonts w:ascii="Times New Roman" w:hAnsi="Times New Roman"/>
          <w:color w:val="000000"/>
        </w:rPr>
        <w:t>predstavlja</w:t>
      </w:r>
      <w:r w:rsidRPr="00155F80">
        <w:rPr>
          <w:rFonts w:ascii="Times New Roman" w:hAnsi="Times New Roman"/>
          <w:color w:val="000000"/>
          <w:lang w:val="hr-HR"/>
        </w:rPr>
        <w:t xml:space="preserve"> </w:t>
      </w:r>
      <w:r w:rsidRPr="00155F80">
        <w:rPr>
          <w:rFonts w:ascii="Times New Roman" w:hAnsi="Times New Roman"/>
          <w:color w:val="000000"/>
        </w:rPr>
        <w:t>dodatni</w:t>
      </w:r>
      <w:r w:rsidRPr="00155F80">
        <w:rPr>
          <w:rFonts w:ascii="Times New Roman" w:hAnsi="Times New Roman"/>
          <w:color w:val="000000"/>
          <w:lang w:val="hr-HR"/>
        </w:rPr>
        <w:t xml:space="preserve"> </w:t>
      </w:r>
      <w:r w:rsidRPr="00155F80">
        <w:rPr>
          <w:rFonts w:ascii="Times New Roman" w:hAnsi="Times New Roman"/>
          <w:color w:val="000000"/>
        </w:rPr>
        <w:t>zdravstveni</w:t>
      </w:r>
      <w:r w:rsidRPr="00155F80">
        <w:rPr>
          <w:rFonts w:ascii="Times New Roman" w:hAnsi="Times New Roman"/>
          <w:color w:val="000000"/>
          <w:lang w:val="hr-HR"/>
        </w:rPr>
        <w:t xml:space="preserve"> </w:t>
      </w:r>
      <w:r w:rsidRPr="00155F80">
        <w:rPr>
          <w:rFonts w:ascii="Times New Roman" w:hAnsi="Times New Roman"/>
          <w:color w:val="000000"/>
        </w:rPr>
        <w:t>rizik</w:t>
      </w:r>
      <w:r w:rsidRPr="00155F80">
        <w:rPr>
          <w:rFonts w:ascii="Times New Roman" w:hAnsi="Times New Roman"/>
          <w:color w:val="00000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2013. </w:t>
      </w:r>
      <w:r w:rsidRPr="00155F80">
        <w:rPr>
          <w:rStyle w:val="Emphasis"/>
          <w:rFonts w:ascii="Times New Roman" w:hAnsi="Times New Roman"/>
          <w:i w:val="0"/>
          <w:iCs w:val="0"/>
        </w:rPr>
        <w:t>godini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Federalno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ministarstvo</w:t>
      </w:r>
      <w:r w:rsidRPr="00155F80">
        <w:rPr>
          <w:rStyle w:val="Emphasis"/>
          <w:rFonts w:ascii="Times New Roman" w:hAnsi="Times New Roman"/>
          <w:i w:val="0"/>
          <w:iCs w:val="0"/>
          <w:lang w:val="hr-HR"/>
        </w:rPr>
        <w:t xml:space="preserve"> </w:t>
      </w:r>
      <w:r w:rsidR="00526FD0">
        <w:rPr>
          <w:rStyle w:val="Emphasis"/>
          <w:rFonts w:ascii="Times New Roman" w:hAnsi="Times New Roman"/>
          <w:i w:val="0"/>
          <w:iCs w:val="0"/>
        </w:rPr>
        <w:t>okoline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turizma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Federalni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hidrometeorolo</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zavod</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uspostavili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dvije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nove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stanice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Jajcu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Zenici</w:t>
      </w:r>
      <w:r w:rsidRPr="00155F80">
        <w:rPr>
          <w:rStyle w:val="Emphasis"/>
          <w:rFonts w:ascii="Times New Roman" w:hAnsi="Times New Roman"/>
          <w:i w:val="0"/>
          <w:iCs w:val="0"/>
          <w:lang w:val="hr-HR"/>
        </w:rPr>
        <w:t xml:space="preserve">. </w:t>
      </w:r>
      <w:r w:rsidR="00F0369C">
        <w:rPr>
          <w:rFonts w:ascii="Times New Roman" w:hAnsi="Times New Roman"/>
          <w:color w:val="000000"/>
        </w:rPr>
        <w:t>Tokom</w:t>
      </w:r>
      <w:r w:rsidRPr="00155F80">
        <w:rPr>
          <w:rFonts w:ascii="Times New Roman" w:hAnsi="Times New Roman"/>
          <w:color w:val="000000"/>
          <w:lang w:val="bs-Latn-BA"/>
        </w:rPr>
        <w:t xml:space="preserve"> 2015. </w:t>
      </w:r>
      <w:r w:rsidRPr="00155F80">
        <w:rPr>
          <w:rFonts w:ascii="Times New Roman" w:hAnsi="Times New Roman"/>
          <w:color w:val="000000"/>
        </w:rPr>
        <w:t>godine</w:t>
      </w:r>
      <w:r w:rsidRPr="00155F80">
        <w:rPr>
          <w:rFonts w:ascii="Times New Roman" w:hAnsi="Times New Roman"/>
          <w:color w:val="000000"/>
          <w:lang w:val="bs-Latn-BA"/>
        </w:rPr>
        <w:t xml:space="preserve"> </w:t>
      </w:r>
      <w:r w:rsidR="00F0369C">
        <w:rPr>
          <w:rFonts w:ascii="Times New Roman" w:hAnsi="Times New Roman"/>
          <w:color w:val="000000"/>
        </w:rPr>
        <w:t>realizovan</w:t>
      </w:r>
      <w:r w:rsidRPr="00155F80">
        <w:rPr>
          <w:rFonts w:ascii="Times New Roman" w:hAnsi="Times New Roman"/>
          <w:color w:val="000000"/>
        </w:rPr>
        <w:t>o</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nekoliko</w:t>
      </w:r>
      <w:r w:rsidRPr="00155F80">
        <w:rPr>
          <w:rFonts w:ascii="Times New Roman" w:hAnsi="Times New Roman"/>
          <w:color w:val="000000"/>
          <w:lang w:val="bs-Latn-BA"/>
        </w:rPr>
        <w:t xml:space="preserve"> </w:t>
      </w:r>
      <w:r w:rsidR="002D27DE">
        <w:rPr>
          <w:rFonts w:ascii="Times New Roman" w:hAnsi="Times New Roman"/>
          <w:color w:val="000000"/>
          <w:lang w:val="bs-Latn-BA"/>
        </w:rPr>
        <w:t>važnih</w:t>
      </w:r>
      <w:r w:rsidRPr="00155F80">
        <w:rPr>
          <w:rFonts w:ascii="Times New Roman" w:hAnsi="Times New Roman"/>
          <w:color w:val="000000"/>
          <w:lang w:val="bs-Latn-BA"/>
        </w:rPr>
        <w:t xml:space="preserve"> </w:t>
      </w:r>
      <w:r w:rsidRPr="00155F80">
        <w:rPr>
          <w:rFonts w:ascii="Times New Roman" w:hAnsi="Times New Roman"/>
          <w:color w:val="000000"/>
        </w:rPr>
        <w:t>projekata</w:t>
      </w:r>
      <w:r w:rsidRPr="00155F80">
        <w:rPr>
          <w:rFonts w:ascii="Times New Roman" w:hAnsi="Times New Roman"/>
          <w:color w:val="000000"/>
          <w:lang w:val="bs-Latn-BA"/>
        </w:rPr>
        <w:t xml:space="preserve"> </w:t>
      </w:r>
      <w:r w:rsidRPr="00155F80">
        <w:rPr>
          <w:rFonts w:ascii="Times New Roman" w:hAnsi="Times New Roman"/>
          <w:color w:val="000000"/>
        </w:rPr>
        <w:t>koji</w:t>
      </w:r>
      <w:r w:rsidRPr="00155F80">
        <w:rPr>
          <w:rFonts w:ascii="Times New Roman" w:hAnsi="Times New Roman"/>
          <w:color w:val="000000"/>
          <w:lang w:val="bs-Latn-BA"/>
        </w:rPr>
        <w:t xml:space="preserve"> </w:t>
      </w:r>
      <w:r w:rsidRPr="00155F80">
        <w:rPr>
          <w:rFonts w:ascii="Times New Roman" w:hAnsi="Times New Roman"/>
          <w:color w:val="000000"/>
        </w:rPr>
        <w:t>se</w:t>
      </w:r>
      <w:r w:rsidRPr="00155F80">
        <w:rPr>
          <w:rFonts w:ascii="Times New Roman" w:hAnsi="Times New Roman"/>
          <w:color w:val="000000"/>
          <w:lang w:val="bs-Latn-BA"/>
        </w:rPr>
        <w:t xml:space="preserve"> </w:t>
      </w:r>
      <w:r w:rsidRPr="00155F80">
        <w:rPr>
          <w:rFonts w:ascii="Times New Roman" w:hAnsi="Times New Roman"/>
          <w:color w:val="000000"/>
        </w:rPr>
        <w:t>odnose</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monitoring</w:t>
      </w:r>
      <w:r w:rsidRPr="00155F80">
        <w:rPr>
          <w:rFonts w:ascii="Times New Roman" w:hAnsi="Times New Roman"/>
          <w:color w:val="000000"/>
          <w:lang w:val="bs-Latn-BA"/>
        </w:rPr>
        <w:t xml:space="preserve"> </w:t>
      </w:r>
      <w:r w:rsidRPr="00155F80">
        <w:rPr>
          <w:rFonts w:ascii="Times New Roman" w:hAnsi="Times New Roman"/>
          <w:color w:val="000000"/>
        </w:rPr>
        <w:t>kvaliteta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Federaciji</w:t>
      </w:r>
      <w:r w:rsidRPr="00155F80">
        <w:rPr>
          <w:rFonts w:ascii="Times New Roman" w:hAnsi="Times New Roman"/>
          <w:color w:val="000000"/>
          <w:lang w:val="bs-Latn-BA"/>
        </w:rPr>
        <w:t xml:space="preserve"> </w:t>
      </w:r>
      <w:r w:rsidRPr="00155F80">
        <w:rPr>
          <w:rFonts w:ascii="Times New Roman" w:hAnsi="Times New Roman"/>
          <w:color w:val="000000"/>
        </w:rPr>
        <w:t>BiH</w:t>
      </w:r>
      <w:r w:rsidRPr="00155F80">
        <w:rPr>
          <w:rFonts w:ascii="Times New Roman" w:hAnsi="Times New Roman"/>
          <w:color w:val="000000"/>
          <w:lang w:val="bs-Latn-BA"/>
        </w:rPr>
        <w:t>. M</w:t>
      </w:r>
      <w:r w:rsidRPr="00155F80">
        <w:rPr>
          <w:rFonts w:ascii="Times New Roman" w:hAnsi="Times New Roman"/>
          <w:color w:val="000000"/>
        </w:rPr>
        <w:t>re</w:t>
      </w:r>
      <w:r w:rsidRPr="00155F80">
        <w:rPr>
          <w:rFonts w:ascii="Times New Roman" w:hAnsi="Times New Roman"/>
          <w:color w:val="000000"/>
          <w:lang w:val="bs-Latn-BA"/>
        </w:rPr>
        <w:t>ž</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stanica</w:t>
      </w:r>
      <w:r w:rsidRPr="00155F80">
        <w:rPr>
          <w:rFonts w:ascii="Times New Roman" w:hAnsi="Times New Roman"/>
          <w:color w:val="000000"/>
          <w:lang w:val="bs-Latn-BA"/>
        </w:rPr>
        <w:t xml:space="preserv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monitoring</w:t>
      </w:r>
      <w:r w:rsidRPr="00155F80">
        <w:rPr>
          <w:rFonts w:ascii="Times New Roman" w:hAnsi="Times New Roman"/>
          <w:color w:val="000000"/>
          <w:lang w:val="bs-Latn-BA"/>
        </w:rPr>
        <w:t xml:space="preserve"> </w:t>
      </w:r>
      <w:r w:rsidRPr="00155F80">
        <w:rPr>
          <w:rFonts w:ascii="Times New Roman" w:hAnsi="Times New Roman"/>
          <w:color w:val="000000"/>
        </w:rPr>
        <w:t>kvaliteta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pro</w:t>
      </w:r>
      <w:r w:rsidRPr="00155F80">
        <w:rPr>
          <w:rFonts w:ascii="Times New Roman" w:hAnsi="Times New Roman"/>
          <w:color w:val="000000"/>
          <w:lang w:val="bs-Latn-BA"/>
        </w:rPr>
        <w:t>š</w:t>
      </w:r>
      <w:r w:rsidRPr="00155F80">
        <w:rPr>
          <w:rFonts w:ascii="Times New Roman" w:hAnsi="Times New Roman"/>
          <w:color w:val="000000"/>
        </w:rPr>
        <w:t>irena</w:t>
      </w:r>
      <w:r w:rsidRPr="00155F80">
        <w:rPr>
          <w:rFonts w:ascii="Times New Roman" w:hAnsi="Times New Roman"/>
          <w:color w:val="000000"/>
          <w:lang w:val="bs-Latn-BA"/>
        </w:rPr>
        <w:t xml:space="preserve"> </w:t>
      </w:r>
      <w:r w:rsidRPr="00155F80">
        <w:rPr>
          <w:rFonts w:ascii="Times New Roman" w:hAnsi="Times New Roman"/>
          <w:color w:val="000000"/>
        </w:rPr>
        <w:t>uspostav</w:t>
      </w:r>
      <w:r w:rsidR="002D27DE">
        <w:rPr>
          <w:rFonts w:ascii="Times New Roman" w:hAnsi="Times New Roman"/>
          <w:color w:val="000000"/>
        </w:rPr>
        <w:t>o</w:t>
      </w:r>
      <w:r w:rsidRPr="00155F80">
        <w:rPr>
          <w:rFonts w:ascii="Times New Roman" w:hAnsi="Times New Roman"/>
          <w:color w:val="000000"/>
        </w:rPr>
        <w:t>m</w:t>
      </w:r>
      <w:r w:rsidRPr="00155F80">
        <w:rPr>
          <w:rFonts w:ascii="Times New Roman" w:hAnsi="Times New Roman"/>
          <w:color w:val="000000"/>
          <w:lang w:val="bs-Latn-BA"/>
        </w:rPr>
        <w:t xml:space="preserve"> </w:t>
      </w:r>
      <w:r w:rsidRPr="00155F80">
        <w:rPr>
          <w:rFonts w:ascii="Times New Roman" w:hAnsi="Times New Roman"/>
          <w:color w:val="000000"/>
        </w:rPr>
        <w:t>stanice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Gora</w:t>
      </w:r>
      <w:r w:rsidRPr="00155F80">
        <w:rPr>
          <w:rFonts w:ascii="Times New Roman" w:hAnsi="Times New Roman"/>
          <w:color w:val="000000"/>
          <w:lang w:val="bs-Latn-BA"/>
        </w:rPr>
        <w:t>ž</w:t>
      </w:r>
      <w:r w:rsidRPr="00155F80">
        <w:rPr>
          <w:rFonts w:ascii="Times New Roman" w:hAnsi="Times New Roman"/>
          <w:color w:val="000000"/>
        </w:rPr>
        <w:t>du</w:t>
      </w:r>
      <w:r w:rsidRPr="00155F80">
        <w:rPr>
          <w:rFonts w:ascii="Times New Roman" w:hAnsi="Times New Roman"/>
          <w:color w:val="000000"/>
          <w:lang w:val="bs-Latn-BA"/>
        </w:rPr>
        <w:t xml:space="preserve">, </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postoje</w:t>
      </w:r>
      <w:r w:rsidRPr="00155F80">
        <w:rPr>
          <w:rFonts w:ascii="Times New Roman" w:hAnsi="Times New Roman"/>
          <w:color w:val="000000"/>
          <w:lang w:val="bs-Latn-BA"/>
        </w:rPr>
        <w:t>ć</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stanice</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dovedene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potpuno</w:t>
      </w:r>
      <w:r w:rsidRPr="00155F80">
        <w:rPr>
          <w:rFonts w:ascii="Times New Roman" w:hAnsi="Times New Roman"/>
          <w:color w:val="000000"/>
          <w:lang w:val="bs-Latn-BA"/>
        </w:rPr>
        <w:t xml:space="preserve"> </w:t>
      </w:r>
      <w:r w:rsidRPr="00155F80">
        <w:rPr>
          <w:rFonts w:ascii="Times New Roman" w:hAnsi="Times New Roman"/>
          <w:color w:val="000000"/>
        </w:rPr>
        <w:t>funkcionalno</w:t>
      </w:r>
      <w:r w:rsidRPr="00155F80">
        <w:rPr>
          <w:rFonts w:ascii="Times New Roman" w:hAnsi="Times New Roman"/>
          <w:color w:val="000000"/>
          <w:lang w:val="bs-Latn-BA"/>
        </w:rPr>
        <w:t xml:space="preserve"> </w:t>
      </w:r>
      <w:r w:rsidRPr="00155F80">
        <w:rPr>
          <w:rFonts w:ascii="Times New Roman" w:hAnsi="Times New Roman"/>
          <w:color w:val="000000"/>
        </w:rPr>
        <w:t>stanje</w:t>
      </w:r>
      <w:r w:rsidRPr="00155F80">
        <w:rPr>
          <w:rFonts w:ascii="Times New Roman" w:hAnsi="Times New Roman"/>
          <w:color w:val="000000"/>
          <w:lang w:val="bs-Latn-BA"/>
        </w:rPr>
        <w:t xml:space="preserve"> </w:t>
      </w:r>
      <w:r w:rsidRPr="00155F80">
        <w:rPr>
          <w:rFonts w:ascii="Times New Roman" w:hAnsi="Times New Roman"/>
          <w:color w:val="000000"/>
        </w:rPr>
        <w:t>krajem</w:t>
      </w:r>
      <w:r w:rsidRPr="00155F80">
        <w:rPr>
          <w:rFonts w:ascii="Times New Roman" w:hAnsi="Times New Roman"/>
          <w:color w:val="000000"/>
          <w:lang w:val="bs-Latn-BA"/>
        </w:rPr>
        <w:t xml:space="preserve"> 2015. </w:t>
      </w:r>
      <w:r w:rsidRPr="00155F80">
        <w:rPr>
          <w:rFonts w:ascii="Times New Roman" w:hAnsi="Times New Roman"/>
          <w:color w:val="000000"/>
        </w:rPr>
        <w:t>godine</w:t>
      </w:r>
      <w:r w:rsidRPr="00155F80">
        <w:rPr>
          <w:rFonts w:ascii="Times New Roman" w:hAnsi="Times New Roman"/>
          <w:color w:val="000000"/>
          <w:lang w:val="bs-Latn-BA"/>
        </w:rPr>
        <w:t xml:space="preserve">. </w:t>
      </w:r>
      <w:r w:rsidRPr="00155F80">
        <w:rPr>
          <w:rFonts w:ascii="Times New Roman" w:hAnsi="Times New Roman"/>
          <w:color w:val="000000"/>
        </w:rPr>
        <w:t>Stanica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Gora</w:t>
      </w:r>
      <w:r w:rsidRPr="00155F80">
        <w:rPr>
          <w:rFonts w:ascii="Times New Roman" w:hAnsi="Times New Roman"/>
          <w:color w:val="000000"/>
          <w:lang w:val="bs-Latn-BA"/>
        </w:rPr>
        <w:t>ž</w:t>
      </w:r>
      <w:r w:rsidRPr="00155F80">
        <w:rPr>
          <w:rFonts w:ascii="Times New Roman" w:hAnsi="Times New Roman"/>
          <w:color w:val="000000"/>
        </w:rPr>
        <w:t>du</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opremljena</w:t>
      </w:r>
      <w:r w:rsidRPr="00155F80">
        <w:rPr>
          <w:rFonts w:ascii="Times New Roman" w:hAnsi="Times New Roman"/>
          <w:color w:val="000000"/>
          <w:lang w:val="bs-Latn-BA"/>
        </w:rPr>
        <w:t xml:space="preserve"> </w:t>
      </w:r>
      <w:r w:rsidRPr="00155F80">
        <w:rPr>
          <w:rFonts w:ascii="Times New Roman" w:hAnsi="Times New Roman"/>
          <w:color w:val="000000"/>
        </w:rPr>
        <w:t>najs</w:t>
      </w:r>
      <w:r w:rsidR="002D27DE">
        <w:rPr>
          <w:rFonts w:ascii="Times New Roman" w:hAnsi="Times New Roman"/>
          <w:color w:val="000000"/>
        </w:rPr>
        <w:t>u</w:t>
      </w:r>
      <w:r w:rsidRPr="00155F80">
        <w:rPr>
          <w:rFonts w:ascii="Times New Roman" w:hAnsi="Times New Roman"/>
          <w:color w:val="000000"/>
        </w:rPr>
        <w:t>vremenijom</w:t>
      </w:r>
      <w:r w:rsidRPr="00155F80">
        <w:rPr>
          <w:rFonts w:ascii="Times New Roman" w:hAnsi="Times New Roman"/>
          <w:color w:val="000000"/>
          <w:lang w:val="bs-Latn-BA"/>
        </w:rPr>
        <w:t xml:space="preserve"> </w:t>
      </w:r>
      <w:r w:rsidRPr="00155F80">
        <w:rPr>
          <w:rFonts w:ascii="Times New Roman" w:hAnsi="Times New Roman"/>
          <w:color w:val="000000"/>
        </w:rPr>
        <w:t>mjernom</w:t>
      </w:r>
      <w:r w:rsidRPr="00155F80">
        <w:rPr>
          <w:rFonts w:ascii="Times New Roman" w:hAnsi="Times New Roman"/>
          <w:color w:val="000000"/>
          <w:lang w:val="bs-Latn-BA"/>
        </w:rPr>
        <w:t xml:space="preserve"> </w:t>
      </w:r>
      <w:r w:rsidRPr="00155F80">
        <w:rPr>
          <w:rFonts w:ascii="Times New Roman" w:hAnsi="Times New Roman"/>
          <w:color w:val="000000"/>
        </w:rPr>
        <w:t>opremom</w:t>
      </w:r>
      <w:r w:rsidRPr="00155F80">
        <w:rPr>
          <w:rFonts w:ascii="Times New Roman" w:hAnsi="Times New Roman"/>
          <w:color w:val="000000"/>
          <w:lang w:val="bs-Latn-BA"/>
        </w:rPr>
        <w:t xml:space="preserv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pra</w:t>
      </w:r>
      <w:r w:rsidRPr="00155F80">
        <w:rPr>
          <w:rFonts w:ascii="Times New Roman" w:hAnsi="Times New Roman"/>
          <w:color w:val="000000"/>
          <w:lang w:val="bs-Latn-BA"/>
        </w:rPr>
        <w:t>ć</w:t>
      </w:r>
      <w:r w:rsidRPr="00155F80">
        <w:rPr>
          <w:rFonts w:ascii="Times New Roman" w:hAnsi="Times New Roman"/>
          <w:color w:val="000000"/>
        </w:rPr>
        <w:t>enje</w:t>
      </w:r>
      <w:r w:rsidRPr="00155F80">
        <w:rPr>
          <w:rFonts w:ascii="Times New Roman" w:hAnsi="Times New Roman"/>
          <w:color w:val="000000"/>
          <w:lang w:val="bs-Latn-BA"/>
        </w:rPr>
        <w:t xml:space="preserve"> </w:t>
      </w:r>
      <w:r w:rsidRPr="00155F80">
        <w:rPr>
          <w:rFonts w:ascii="Times New Roman" w:hAnsi="Times New Roman"/>
          <w:color w:val="000000"/>
        </w:rPr>
        <w:t>osn</w:t>
      </w:r>
      <w:r w:rsidR="002D27DE">
        <w:rPr>
          <w:rFonts w:ascii="Times New Roman" w:hAnsi="Times New Roman"/>
          <w:color w:val="000000"/>
        </w:rPr>
        <w:t>o</w:t>
      </w:r>
      <w:r w:rsidRPr="00155F80">
        <w:rPr>
          <w:rFonts w:ascii="Times New Roman" w:hAnsi="Times New Roman"/>
          <w:color w:val="000000"/>
        </w:rPr>
        <w:t>vnih</w:t>
      </w:r>
      <w:r w:rsidRPr="00155F80">
        <w:rPr>
          <w:rFonts w:ascii="Times New Roman" w:hAnsi="Times New Roman"/>
          <w:color w:val="000000"/>
          <w:lang w:val="bs-Latn-BA"/>
        </w:rPr>
        <w:t xml:space="preserve"> </w:t>
      </w:r>
      <w:r w:rsidRPr="00155F80">
        <w:rPr>
          <w:rFonts w:ascii="Times New Roman" w:hAnsi="Times New Roman"/>
          <w:color w:val="000000"/>
        </w:rPr>
        <w:t>parametara</w:t>
      </w:r>
      <w:r w:rsidRPr="00155F80">
        <w:rPr>
          <w:rFonts w:ascii="Times New Roman" w:hAnsi="Times New Roman"/>
          <w:color w:val="000000"/>
          <w:lang w:val="bs-Latn-BA"/>
        </w:rPr>
        <w:t xml:space="preserve"> </w:t>
      </w:r>
      <w:r w:rsidR="002D27DE">
        <w:rPr>
          <w:rFonts w:ascii="Times New Roman" w:hAnsi="Times New Roman"/>
          <w:color w:val="000000"/>
          <w:lang w:val="bs-Latn-BA"/>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meteorolo</w:t>
      </w:r>
      <w:r w:rsidRPr="00155F80">
        <w:rPr>
          <w:rFonts w:ascii="Times New Roman" w:hAnsi="Times New Roman"/>
          <w:color w:val="000000"/>
          <w:lang w:val="bs-Latn-BA"/>
        </w:rPr>
        <w:t>š</w:t>
      </w:r>
      <w:r w:rsidRPr="00155F80">
        <w:rPr>
          <w:rFonts w:ascii="Times New Roman" w:hAnsi="Times New Roman"/>
          <w:color w:val="000000"/>
        </w:rPr>
        <w:t>kih</w:t>
      </w:r>
      <w:r w:rsidRPr="00155F80">
        <w:rPr>
          <w:rFonts w:ascii="Times New Roman" w:hAnsi="Times New Roman"/>
          <w:color w:val="000000"/>
          <w:lang w:val="bs-Latn-BA"/>
        </w:rPr>
        <w:t xml:space="preserve"> </w:t>
      </w:r>
      <w:r w:rsidRPr="00155F80">
        <w:rPr>
          <w:rFonts w:ascii="Times New Roman" w:hAnsi="Times New Roman"/>
          <w:color w:val="000000"/>
        </w:rPr>
        <w:t>parametara</w:t>
      </w:r>
      <w:r w:rsidRPr="00155F80">
        <w:rPr>
          <w:rFonts w:ascii="Times New Roman" w:hAnsi="Times New Roman"/>
          <w:color w:val="000000"/>
          <w:lang w:val="bs-Latn-BA"/>
        </w:rPr>
        <w:t xml:space="preserve">, </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rezultat</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projekta</w:t>
      </w:r>
      <w:r w:rsidRPr="00155F80">
        <w:rPr>
          <w:rFonts w:ascii="Times New Roman" w:hAnsi="Times New Roman"/>
          <w:color w:val="000000"/>
          <w:lang w:val="bs-Latn-BA"/>
        </w:rPr>
        <w:t xml:space="preserve"> </w:t>
      </w:r>
      <w:r w:rsidRPr="00155F80">
        <w:rPr>
          <w:rFonts w:ascii="Times New Roman" w:hAnsi="Times New Roman"/>
          <w:color w:val="000000"/>
        </w:rPr>
        <w:t>koji</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bCs/>
          <w:color w:val="000000"/>
        </w:rPr>
        <w:t>finan</w:t>
      </w:r>
      <w:r w:rsidR="002D27DE">
        <w:rPr>
          <w:rFonts w:ascii="Times New Roman" w:hAnsi="Times New Roman"/>
          <w:bCs/>
          <w:color w:val="000000"/>
        </w:rPr>
        <w:t>c</w:t>
      </w:r>
      <w:r w:rsidRPr="00155F80">
        <w:rPr>
          <w:rFonts w:ascii="Times New Roman" w:hAnsi="Times New Roman"/>
          <w:bCs/>
          <w:color w:val="000000"/>
        </w:rPr>
        <w:t>iran</w:t>
      </w:r>
      <w:r w:rsidRPr="00155F80">
        <w:rPr>
          <w:rFonts w:ascii="Times New Roman" w:hAnsi="Times New Roman"/>
          <w:bCs/>
          <w:color w:val="000000"/>
          <w:lang w:val="bs-Latn-BA"/>
        </w:rPr>
        <w:t xml:space="preserve"> </w:t>
      </w:r>
      <w:r w:rsidRPr="00155F80">
        <w:rPr>
          <w:rFonts w:ascii="Times New Roman" w:hAnsi="Times New Roman"/>
          <w:bCs/>
          <w:color w:val="000000"/>
        </w:rPr>
        <w:t>od</w:t>
      </w:r>
      <w:r w:rsidRPr="00155F80">
        <w:rPr>
          <w:rFonts w:ascii="Times New Roman" w:hAnsi="Times New Roman"/>
          <w:bCs/>
          <w:color w:val="000000"/>
          <w:lang w:val="bs-Latn-BA"/>
        </w:rPr>
        <w:t xml:space="preserve"> </w:t>
      </w:r>
      <w:r w:rsidRPr="00155F80">
        <w:rPr>
          <w:rFonts w:ascii="Times New Roman" w:hAnsi="Times New Roman"/>
          <w:bCs/>
          <w:color w:val="000000"/>
        </w:rPr>
        <w:t>strane</w:t>
      </w:r>
      <w:r w:rsidRPr="00155F80">
        <w:rPr>
          <w:rFonts w:ascii="Times New Roman" w:hAnsi="Times New Roman"/>
          <w:bCs/>
          <w:color w:val="000000"/>
          <w:lang w:val="bs-Latn-BA"/>
        </w:rPr>
        <w:t xml:space="preserve"> </w:t>
      </w:r>
      <w:r w:rsidRPr="00155F80">
        <w:rPr>
          <w:rFonts w:ascii="Times New Roman" w:hAnsi="Times New Roman"/>
          <w:bCs/>
          <w:color w:val="000000"/>
        </w:rPr>
        <w:t>Global</w:t>
      </w:r>
      <w:r w:rsidRPr="00155F80">
        <w:rPr>
          <w:rFonts w:ascii="Times New Roman" w:hAnsi="Times New Roman"/>
          <w:bCs/>
          <w:color w:val="000000"/>
          <w:lang w:val="bs-Latn-BA"/>
        </w:rPr>
        <w:t xml:space="preserve"> </w:t>
      </w:r>
      <w:r w:rsidRPr="00155F80">
        <w:rPr>
          <w:rFonts w:ascii="Times New Roman" w:hAnsi="Times New Roman"/>
          <w:bCs/>
          <w:color w:val="000000"/>
        </w:rPr>
        <w:t>Environment</w:t>
      </w:r>
      <w:r w:rsidRPr="00155F80">
        <w:rPr>
          <w:rFonts w:ascii="Times New Roman" w:hAnsi="Times New Roman"/>
          <w:bCs/>
          <w:color w:val="000000"/>
          <w:lang w:val="bs-Latn-BA"/>
        </w:rPr>
        <w:t xml:space="preserve"> </w:t>
      </w:r>
      <w:r w:rsidRPr="00155F80">
        <w:rPr>
          <w:rFonts w:ascii="Times New Roman" w:hAnsi="Times New Roman"/>
          <w:bCs/>
          <w:color w:val="000000"/>
        </w:rPr>
        <w:t>Facility</w:t>
      </w:r>
      <w:r w:rsidRPr="00155F80">
        <w:rPr>
          <w:rFonts w:ascii="Times New Roman" w:hAnsi="Times New Roman"/>
          <w:bCs/>
          <w:color w:val="000000"/>
          <w:lang w:val="bs-Latn-BA"/>
        </w:rPr>
        <w:t>-</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GEF</w:t>
      </w:r>
      <w:r w:rsidRPr="00155F80">
        <w:rPr>
          <w:rFonts w:ascii="Times New Roman" w:hAnsi="Times New Roman"/>
          <w:bCs/>
          <w:color w:val="000000"/>
          <w:lang w:val="bs-Latn-BA"/>
        </w:rPr>
        <w:t xml:space="preserve">), </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implementiran</w:t>
      </w:r>
      <w:r w:rsidRPr="00155F80">
        <w:rPr>
          <w:rFonts w:ascii="Times New Roman" w:hAnsi="Times New Roman"/>
          <w:bCs/>
          <w:color w:val="000000"/>
          <w:lang w:val="bs-Latn-BA"/>
        </w:rPr>
        <w:t xml:space="preserve"> </w:t>
      </w:r>
      <w:r w:rsidRPr="00155F80">
        <w:rPr>
          <w:rFonts w:ascii="Times New Roman" w:hAnsi="Times New Roman"/>
          <w:bCs/>
          <w:color w:val="000000"/>
        </w:rPr>
        <w:t>od</w:t>
      </w:r>
      <w:r w:rsidRPr="00155F80">
        <w:rPr>
          <w:rFonts w:ascii="Times New Roman" w:hAnsi="Times New Roman"/>
          <w:bCs/>
          <w:color w:val="000000"/>
          <w:lang w:val="bs-Latn-BA"/>
        </w:rPr>
        <w:t xml:space="preserve"> </w:t>
      </w:r>
      <w:r w:rsidRPr="00155F80">
        <w:rPr>
          <w:rFonts w:ascii="Times New Roman" w:hAnsi="Times New Roman"/>
          <w:bCs/>
          <w:color w:val="000000"/>
        </w:rPr>
        <w:t>strane</w:t>
      </w:r>
      <w:r w:rsidRPr="00155F80">
        <w:rPr>
          <w:rFonts w:ascii="Times New Roman" w:hAnsi="Times New Roman"/>
          <w:bCs/>
          <w:color w:val="000000"/>
          <w:lang w:val="bs-Latn-BA"/>
        </w:rPr>
        <w:t xml:space="preserve"> </w:t>
      </w:r>
      <w:r w:rsidRPr="00155F80">
        <w:rPr>
          <w:rFonts w:ascii="Times New Roman" w:hAnsi="Times New Roman"/>
          <w:bCs/>
          <w:color w:val="000000"/>
        </w:rPr>
        <w:t>United</w:t>
      </w:r>
      <w:r w:rsidRPr="00155F80">
        <w:rPr>
          <w:rFonts w:ascii="Times New Roman" w:hAnsi="Times New Roman"/>
          <w:bCs/>
          <w:color w:val="000000"/>
          <w:lang w:val="bs-Latn-BA"/>
        </w:rPr>
        <w:t xml:space="preserve"> </w:t>
      </w:r>
      <w:r w:rsidRPr="00155F80">
        <w:rPr>
          <w:rFonts w:ascii="Times New Roman" w:hAnsi="Times New Roman"/>
          <w:bCs/>
          <w:color w:val="000000"/>
        </w:rPr>
        <w:t>Nations</w:t>
      </w:r>
      <w:r w:rsidRPr="00155F80">
        <w:rPr>
          <w:rFonts w:ascii="Times New Roman" w:hAnsi="Times New Roman"/>
          <w:bCs/>
          <w:color w:val="000000"/>
          <w:lang w:val="bs-Latn-BA"/>
        </w:rPr>
        <w:t xml:space="preserve"> </w:t>
      </w:r>
      <w:r w:rsidRPr="00155F80">
        <w:rPr>
          <w:rFonts w:ascii="Times New Roman" w:hAnsi="Times New Roman"/>
          <w:bCs/>
          <w:color w:val="000000"/>
        </w:rPr>
        <w:t>Environmental</w:t>
      </w:r>
      <w:r w:rsidRPr="00155F80">
        <w:rPr>
          <w:rFonts w:ascii="Times New Roman" w:hAnsi="Times New Roman"/>
          <w:bCs/>
          <w:color w:val="000000"/>
          <w:lang w:val="bs-Latn-BA"/>
        </w:rPr>
        <w:t xml:space="preserve"> </w:t>
      </w:r>
      <w:r w:rsidRPr="00155F80">
        <w:rPr>
          <w:rFonts w:ascii="Times New Roman" w:hAnsi="Times New Roman"/>
          <w:bCs/>
          <w:color w:val="000000"/>
        </w:rPr>
        <w:t>Programme</w:t>
      </w:r>
      <w:r w:rsidRPr="00155F80">
        <w:rPr>
          <w:rFonts w:ascii="Times New Roman" w:hAnsi="Times New Roman"/>
          <w:bCs/>
          <w:color w:val="000000"/>
          <w:lang w:val="bs-Latn-BA"/>
        </w:rPr>
        <w:t>-</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UNDP</w:t>
      </w:r>
      <w:r w:rsidRPr="00155F80">
        <w:rPr>
          <w:rFonts w:ascii="Times New Roman" w:hAnsi="Times New Roman"/>
          <w:bCs/>
          <w:color w:val="000000"/>
          <w:lang w:val="bs-Latn-BA"/>
        </w:rPr>
        <w:t xml:space="preserve">) </w:t>
      </w:r>
      <w:r w:rsidRPr="00155F80">
        <w:rPr>
          <w:rFonts w:ascii="Times New Roman" w:hAnsi="Times New Roman"/>
          <w:bCs/>
          <w:color w:val="000000"/>
        </w:rPr>
        <w:t>i</w:t>
      </w:r>
      <w:r w:rsidRPr="00155F80">
        <w:rPr>
          <w:rFonts w:ascii="Times New Roman" w:hAnsi="Times New Roman"/>
          <w:bCs/>
          <w:color w:val="000000"/>
          <w:lang w:val="bs-Latn-BA"/>
        </w:rPr>
        <w:t xml:space="preserve"> </w:t>
      </w:r>
      <w:r w:rsidRPr="00155F80">
        <w:rPr>
          <w:rFonts w:ascii="Times New Roman" w:hAnsi="Times New Roman"/>
          <w:bCs/>
          <w:color w:val="000000"/>
        </w:rPr>
        <w:t>Federalnog</w:t>
      </w:r>
      <w:r w:rsidRPr="00155F80">
        <w:rPr>
          <w:rFonts w:ascii="Times New Roman" w:hAnsi="Times New Roman"/>
          <w:bCs/>
          <w:color w:val="000000"/>
          <w:lang w:val="bs-Latn-BA"/>
        </w:rPr>
        <w:t xml:space="preserve"> </w:t>
      </w:r>
      <w:r w:rsidRPr="00155F80">
        <w:rPr>
          <w:rFonts w:ascii="Times New Roman" w:hAnsi="Times New Roman"/>
          <w:bCs/>
          <w:color w:val="000000"/>
        </w:rPr>
        <w:t>hidrometeorolo</w:t>
      </w:r>
      <w:r w:rsidRPr="00155F80">
        <w:rPr>
          <w:rFonts w:ascii="Times New Roman" w:hAnsi="Times New Roman"/>
          <w:bCs/>
          <w:color w:val="000000"/>
          <w:lang w:val="bs-Latn-BA"/>
        </w:rPr>
        <w:t>š</w:t>
      </w:r>
      <w:r w:rsidRPr="00155F80">
        <w:rPr>
          <w:rFonts w:ascii="Times New Roman" w:hAnsi="Times New Roman"/>
          <w:bCs/>
          <w:color w:val="000000"/>
        </w:rPr>
        <w:t>kog</w:t>
      </w:r>
      <w:r w:rsidRPr="00155F80">
        <w:rPr>
          <w:rFonts w:ascii="Times New Roman" w:hAnsi="Times New Roman"/>
          <w:bCs/>
          <w:color w:val="000000"/>
          <w:lang w:val="bs-Latn-BA"/>
        </w:rPr>
        <w:t xml:space="preserve"> </w:t>
      </w:r>
      <w:r w:rsidRPr="00155F80">
        <w:rPr>
          <w:rFonts w:ascii="Times New Roman" w:hAnsi="Times New Roman"/>
          <w:bCs/>
          <w:color w:val="000000"/>
        </w:rPr>
        <w:t>zavoda</w:t>
      </w:r>
      <w:r w:rsidR="00AA0D77" w:rsidRPr="00155F80">
        <w:rPr>
          <w:rFonts w:ascii="Times New Roman" w:hAnsi="Times New Roman"/>
          <w:color w:val="000000"/>
          <w:lang w:val="bs-Latn-BA"/>
        </w:rPr>
        <w:t>.</w:t>
      </w:r>
    </w:p>
    <w:p w:rsidR="00A131AD" w:rsidRPr="00155F80" w:rsidRDefault="00A131AD" w:rsidP="000C0138">
      <w:pPr>
        <w:spacing w:line="276" w:lineRule="auto"/>
        <w:rPr>
          <w:rFonts w:ascii="Times New Roman" w:hAnsi="Times New Roman"/>
          <w:b/>
        </w:rPr>
      </w:pPr>
      <w:bookmarkStart w:id="330" w:name="_Toc392229081"/>
    </w:p>
    <w:p w:rsidR="00A131AD" w:rsidRPr="00155F80" w:rsidRDefault="008F6458" w:rsidP="000C0138">
      <w:pPr>
        <w:pStyle w:val="Poglavlje3"/>
        <w:spacing w:line="276" w:lineRule="auto"/>
        <w:rPr>
          <w:i w:val="0"/>
          <w:lang w:val="bs-Latn-BA"/>
        </w:rPr>
      </w:pPr>
      <w:bookmarkStart w:id="331" w:name="_Toc460929212"/>
      <w:r>
        <w:rPr>
          <w:i w:val="0"/>
        </w:rPr>
        <w:t>4.2</w:t>
      </w:r>
      <w:r w:rsidR="000E1376" w:rsidRPr="00155F80">
        <w:rPr>
          <w:i w:val="0"/>
        </w:rPr>
        <w:t xml:space="preserve">.3 </w:t>
      </w:r>
      <w:r w:rsidR="00A131AD" w:rsidRPr="00155F80">
        <w:rPr>
          <w:i w:val="0"/>
        </w:rPr>
        <w:t>Otpadne</w:t>
      </w:r>
      <w:r w:rsidR="00A131AD" w:rsidRPr="00155F80">
        <w:rPr>
          <w:i w:val="0"/>
          <w:lang w:val="bs-Latn-BA"/>
        </w:rPr>
        <w:t xml:space="preserve"> </w:t>
      </w:r>
      <w:bookmarkEnd w:id="330"/>
      <w:r w:rsidR="00D21A46">
        <w:rPr>
          <w:i w:val="0"/>
        </w:rPr>
        <w:t>materija</w:t>
      </w:r>
      <w:r w:rsidR="002D27DE">
        <w:rPr>
          <w:i w:val="0"/>
        </w:rPr>
        <w:t>i</w:t>
      </w:r>
      <w:bookmarkEnd w:id="331"/>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Na području Federacije BiH, odlaganje čvrstih i tečnih otpadnih </w:t>
      </w:r>
      <w:r w:rsidR="00D21A46">
        <w:rPr>
          <w:rFonts w:ascii="Times New Roman" w:hAnsi="Times New Roman"/>
          <w:lang w:val="hr-HR"/>
        </w:rPr>
        <w:t>materija</w:t>
      </w:r>
      <w:r w:rsidR="002D27DE">
        <w:rPr>
          <w:rFonts w:ascii="Times New Roman" w:hAnsi="Times New Roman"/>
          <w:lang w:val="hr-HR"/>
        </w:rPr>
        <w:t>i</w:t>
      </w:r>
      <w:r w:rsidRPr="00155F80">
        <w:rPr>
          <w:rFonts w:ascii="Times New Roman" w:hAnsi="Times New Roman"/>
          <w:lang w:val="hr-HR"/>
        </w:rPr>
        <w:t xml:space="preserve"> predstavlja jedan od glavnih problema javnog zdravstva. Godišnje se po glavi stanovnika proizvede </w:t>
      </w:r>
      <w:smartTag w:uri="urn:schemas-microsoft-com:office:smarttags" w:element="metricconverter">
        <w:smartTagPr>
          <w:attr w:name="ProductID" w:val="270 kg"/>
        </w:smartTagPr>
        <w:r w:rsidRPr="00155F80">
          <w:rPr>
            <w:rFonts w:ascii="Times New Roman" w:hAnsi="Times New Roman"/>
            <w:lang w:val="hr-HR"/>
          </w:rPr>
          <w:t>270 kg</w:t>
        </w:r>
      </w:smartTag>
      <w:r w:rsidRPr="00155F80">
        <w:rPr>
          <w:rFonts w:ascii="Times New Roman" w:hAnsi="Times New Roman"/>
          <w:lang w:val="hr-HR"/>
        </w:rPr>
        <w:t xml:space="preserve"> otpadnih </w:t>
      </w:r>
      <w:r w:rsidR="00D21A46">
        <w:rPr>
          <w:rFonts w:ascii="Times New Roman" w:hAnsi="Times New Roman"/>
          <w:lang w:val="hr-HR"/>
        </w:rPr>
        <w:t>materija</w:t>
      </w:r>
      <w:r w:rsidR="002D27DE">
        <w:rPr>
          <w:rFonts w:ascii="Times New Roman" w:hAnsi="Times New Roman"/>
          <w:lang w:val="hr-HR"/>
        </w:rPr>
        <w:t>i</w:t>
      </w:r>
      <w:r w:rsidRPr="00155F80">
        <w:rPr>
          <w:rFonts w:ascii="Times New Roman" w:hAnsi="Times New Roman"/>
          <w:lang w:val="hr-HR"/>
        </w:rPr>
        <w:t xml:space="preserve">. Kada je u pitanju čvrsti otpad, najveći problem je njegovo </w:t>
      </w:r>
      <w:r w:rsidR="00950A64">
        <w:rPr>
          <w:rFonts w:ascii="Times New Roman" w:hAnsi="Times New Roman"/>
          <w:lang w:val="hr-HR"/>
        </w:rPr>
        <w:t>nekontrolisano</w:t>
      </w:r>
      <w:r w:rsidRPr="00155F80">
        <w:rPr>
          <w:rFonts w:ascii="Times New Roman" w:hAnsi="Times New Roman"/>
          <w:lang w:val="hr-HR"/>
        </w:rPr>
        <w:t xml:space="preserve"> odlaganje i s</w:t>
      </w:r>
      <w:r w:rsidR="00D21A46">
        <w:rPr>
          <w:rFonts w:ascii="Times New Roman" w:hAnsi="Times New Roman"/>
          <w:lang w:val="hr-HR"/>
        </w:rPr>
        <w:t>materija</w:t>
      </w:r>
      <w:r w:rsidRPr="00155F80">
        <w:rPr>
          <w:rFonts w:ascii="Times New Roman" w:hAnsi="Times New Roman"/>
          <w:lang w:val="hr-HR"/>
        </w:rPr>
        <w:t xml:space="preserve">anje «divljih» </w:t>
      </w:r>
      <w:r w:rsidR="002D27DE">
        <w:rPr>
          <w:rFonts w:ascii="Times New Roman" w:hAnsi="Times New Roman"/>
          <w:lang w:val="hr-HR"/>
        </w:rPr>
        <w:t>odlagališta</w:t>
      </w:r>
      <w:r w:rsidRPr="00155F80">
        <w:rPr>
          <w:rFonts w:ascii="Times New Roman" w:hAnsi="Times New Roman"/>
          <w:lang w:val="hr-HR"/>
        </w:rPr>
        <w:t xml:space="preserve">. </w:t>
      </w:r>
      <w:r w:rsidR="00CB080B">
        <w:rPr>
          <w:rFonts w:ascii="Times New Roman" w:hAnsi="Times New Roman"/>
        </w:rPr>
        <w:t>Opšti</w:t>
      </w:r>
      <w:r w:rsidRPr="00155F80">
        <w:rPr>
          <w:rFonts w:ascii="Times New Roman" w:hAnsi="Times New Roman"/>
        </w:rPr>
        <w:t>nsk</w:t>
      </w:r>
      <w:r w:rsidR="002D27DE">
        <w:rPr>
          <w:rFonts w:ascii="Times New Roman" w:hAnsi="Times New Roman"/>
        </w:rPr>
        <w:t>a</w:t>
      </w:r>
      <w:r w:rsidRPr="00155F80">
        <w:rPr>
          <w:rFonts w:ascii="Times New Roman" w:hAnsi="Times New Roman"/>
          <w:lang w:val="hr-HR"/>
        </w:rPr>
        <w:t xml:space="preserve"> </w:t>
      </w:r>
      <w:r w:rsidR="002D27DE">
        <w:rPr>
          <w:rFonts w:ascii="Times New Roman" w:hAnsi="Times New Roman"/>
        </w:rPr>
        <w:t>odlagališta</w:t>
      </w:r>
      <w:r w:rsidRPr="00155F80">
        <w:rPr>
          <w:rFonts w:ascii="Times New Roman" w:hAnsi="Times New Roman"/>
          <w:lang w:val="hr-HR"/>
        </w:rPr>
        <w:t xml:space="preserve"> </w:t>
      </w:r>
      <w:r w:rsidRPr="00155F80">
        <w:rPr>
          <w:rFonts w:ascii="Times New Roman" w:hAnsi="Times New Roman"/>
        </w:rPr>
        <w:t>komunalnog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ve</w:t>
      </w:r>
      <w:r w:rsidRPr="00155F80">
        <w:rPr>
          <w:rFonts w:ascii="Times New Roman" w:hAnsi="Times New Roman"/>
          <w:lang w:val="hr-HR"/>
        </w:rPr>
        <w:t>ć</w:t>
      </w:r>
      <w:r w:rsidRPr="00155F80">
        <w:rPr>
          <w:rFonts w:ascii="Times New Roman" w:hAnsi="Times New Roman"/>
        </w:rPr>
        <w:t>inom</w:t>
      </w:r>
      <w:r w:rsidRPr="00155F80">
        <w:rPr>
          <w:rFonts w:ascii="Times New Roman" w:hAnsi="Times New Roman"/>
          <w:lang w:val="hr-HR"/>
        </w:rPr>
        <w:t xml:space="preserve"> </w:t>
      </w:r>
      <w:r w:rsidRPr="00155F80">
        <w:rPr>
          <w:rFonts w:ascii="Times New Roman" w:hAnsi="Times New Roman"/>
        </w:rPr>
        <w:t>otvorenog</w:t>
      </w:r>
      <w:r w:rsidRPr="00155F80">
        <w:rPr>
          <w:rFonts w:ascii="Times New Roman" w:hAnsi="Times New Roman"/>
          <w:lang w:val="hr-HR"/>
        </w:rPr>
        <w:t xml:space="preserve"> </w:t>
      </w:r>
      <w:r w:rsidRPr="00155F80">
        <w:rPr>
          <w:rFonts w:ascii="Times New Roman" w:hAnsi="Times New Roman"/>
        </w:rPr>
        <w:t>tipa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to</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naj</w:t>
      </w:r>
      <w:r w:rsidRPr="00155F80">
        <w:rPr>
          <w:rFonts w:ascii="Times New Roman" w:hAnsi="Times New Roman"/>
          <w:lang w:val="hr-HR"/>
        </w:rPr>
        <w:t>č</w:t>
      </w:r>
      <w:r w:rsidRPr="00155F80">
        <w:rPr>
          <w:rFonts w:ascii="Times New Roman" w:hAnsi="Times New Roman"/>
        </w:rPr>
        <w:t>e</w:t>
      </w:r>
      <w:r w:rsidRPr="00155F80">
        <w:rPr>
          <w:rFonts w:ascii="Times New Roman" w:hAnsi="Times New Roman"/>
          <w:lang w:val="hr-HR"/>
        </w:rPr>
        <w:t>šć</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prostori</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ne</w:t>
      </w:r>
      <w:r w:rsidRPr="00155F80">
        <w:rPr>
          <w:rFonts w:ascii="Times New Roman" w:hAnsi="Times New Roman"/>
          <w:lang w:val="hr-HR"/>
        </w:rPr>
        <w:t xml:space="preserve"> </w:t>
      </w:r>
      <w:r w:rsidRPr="00155F80">
        <w:rPr>
          <w:rFonts w:ascii="Times New Roman" w:hAnsi="Times New Roman"/>
        </w:rPr>
        <w:t>zadovoljavaju</w:t>
      </w:r>
      <w:r w:rsidRPr="00155F80">
        <w:rPr>
          <w:rFonts w:ascii="Times New Roman" w:hAnsi="Times New Roman"/>
          <w:lang w:val="hr-HR"/>
        </w:rPr>
        <w:t xml:space="preserve"> </w:t>
      </w:r>
      <w:r w:rsidR="00F70FD4">
        <w:rPr>
          <w:rFonts w:ascii="Times New Roman" w:hAnsi="Times New Roman"/>
        </w:rPr>
        <w:t>uslov</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sanitarnih</w:t>
      </w:r>
      <w:r w:rsidRPr="00155F80">
        <w:rPr>
          <w:rFonts w:ascii="Times New Roman" w:hAnsi="Times New Roman"/>
          <w:lang w:val="hr-HR"/>
        </w:rPr>
        <w:t xml:space="preserve"> </w:t>
      </w:r>
      <w:r w:rsidR="002D27DE">
        <w:rPr>
          <w:rFonts w:ascii="Times New Roman" w:hAnsi="Times New Roman"/>
        </w:rPr>
        <w:t>odlagališta otpada</w:t>
      </w:r>
      <w:r w:rsidRPr="00155F80">
        <w:rPr>
          <w:rFonts w:ascii="Times New Roman" w:hAnsi="Times New Roman"/>
          <w:lang w:val="hr-HR"/>
        </w:rPr>
        <w:t xml:space="preserve"> </w:t>
      </w:r>
      <w:r w:rsidRPr="00155F80">
        <w:rPr>
          <w:rFonts w:ascii="Times New Roman" w:hAnsi="Times New Roman"/>
        </w:rPr>
        <w:t>niti</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propisno</w:t>
      </w:r>
      <w:r w:rsidRPr="00155F80">
        <w:rPr>
          <w:rFonts w:ascii="Times New Roman" w:hAnsi="Times New Roman"/>
          <w:lang w:val="hr-HR"/>
        </w:rPr>
        <w:t xml:space="preserve"> </w:t>
      </w:r>
      <w:r w:rsidRPr="00155F80">
        <w:rPr>
          <w:rFonts w:ascii="Times New Roman" w:hAnsi="Times New Roman"/>
        </w:rPr>
        <w:t>pripremljeni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tu</w:t>
      </w:r>
      <w:r w:rsidRPr="00155F80">
        <w:rPr>
          <w:rFonts w:ascii="Times New Roman" w:hAnsi="Times New Roman"/>
          <w:lang w:val="hr-HR"/>
        </w:rPr>
        <w:t xml:space="preserve"> </w:t>
      </w:r>
      <w:r w:rsidRPr="00155F80">
        <w:rPr>
          <w:rFonts w:ascii="Times New Roman" w:hAnsi="Times New Roman"/>
        </w:rPr>
        <w:t>namjenu</w:t>
      </w:r>
      <w:r w:rsidRPr="00155F80">
        <w:rPr>
          <w:rFonts w:ascii="Times New Roman" w:hAnsi="Times New Roman"/>
          <w:lang w:val="hr-HR"/>
        </w:rPr>
        <w:t xml:space="preserve">. </w:t>
      </w:r>
      <w:r w:rsidRPr="00155F80">
        <w:rPr>
          <w:rFonts w:ascii="Times New Roman" w:hAnsi="Times New Roman"/>
        </w:rPr>
        <w:t>Ne</w:t>
      </w:r>
      <w:r w:rsidRPr="00155F80">
        <w:rPr>
          <w:rFonts w:ascii="Times New Roman" w:hAnsi="Times New Roman"/>
          <w:lang w:val="hr-HR"/>
        </w:rPr>
        <w:t xml:space="preserve"> </w:t>
      </w:r>
      <w:r w:rsidRPr="00155F80">
        <w:rPr>
          <w:rFonts w:ascii="Times New Roman" w:hAnsi="Times New Roman"/>
        </w:rPr>
        <w:t>postoje</w:t>
      </w:r>
      <w:r w:rsidRPr="00155F80">
        <w:rPr>
          <w:rFonts w:ascii="Times New Roman" w:hAnsi="Times New Roman"/>
          <w:lang w:val="hr-HR"/>
        </w:rPr>
        <w:t xml:space="preserve"> </w:t>
      </w:r>
      <w:r w:rsidR="00512E30">
        <w:rPr>
          <w:rFonts w:ascii="Times New Roman" w:hAnsi="Times New Roman"/>
        </w:rPr>
        <w:t>sistem</w:t>
      </w:r>
      <w:r w:rsidR="002D27DE">
        <w:rPr>
          <w:rFonts w:ascii="Times New Roman" w:hAnsi="Times New Roman"/>
        </w:rPr>
        <w:t>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š</w:t>
      </w:r>
      <w:r w:rsidRPr="00155F80">
        <w:rPr>
          <w:rFonts w:ascii="Times New Roman" w:hAnsi="Times New Roman"/>
        </w:rPr>
        <w:t>titu</w:t>
      </w:r>
      <w:r w:rsidRPr="00155F80">
        <w:rPr>
          <w:rFonts w:ascii="Times New Roman" w:hAnsi="Times New Roman"/>
          <w:lang w:val="hr-HR"/>
        </w:rPr>
        <w:t xml:space="preserve"> </w:t>
      </w:r>
      <w:r w:rsidRPr="00155F80">
        <w:rPr>
          <w:rFonts w:ascii="Times New Roman" w:hAnsi="Times New Roman"/>
        </w:rPr>
        <w:t>voda</w:t>
      </w:r>
      <w:r w:rsidRPr="00155F80">
        <w:rPr>
          <w:rFonts w:ascii="Times New Roman" w:hAnsi="Times New Roman"/>
          <w:lang w:val="hr-HR"/>
        </w:rPr>
        <w:t xml:space="preserve">, </w:t>
      </w:r>
      <w:r w:rsidRPr="00155F80">
        <w:rPr>
          <w:rFonts w:ascii="Times New Roman" w:hAnsi="Times New Roman"/>
        </w:rPr>
        <w:t>tla</w:t>
      </w:r>
      <w:r w:rsidRPr="00155F80">
        <w:rPr>
          <w:rFonts w:ascii="Times New Roman" w:hAnsi="Times New Roman"/>
          <w:lang w:val="hr-HR"/>
        </w:rPr>
        <w:t xml:space="preserve"> </w:t>
      </w:r>
      <w:r w:rsidRPr="00155F80">
        <w:rPr>
          <w:rFonts w:ascii="Times New Roman" w:hAnsi="Times New Roman"/>
        </w:rPr>
        <w:t>ili</w:t>
      </w:r>
      <w:r w:rsidRPr="00155F80">
        <w:rPr>
          <w:rFonts w:ascii="Times New Roman" w:hAnsi="Times New Roman"/>
          <w:lang w:val="hr-HR"/>
        </w:rPr>
        <w:t xml:space="preserve"> </w:t>
      </w:r>
      <w:r w:rsidRPr="00155F80">
        <w:rPr>
          <w:rFonts w:ascii="Times New Roman" w:hAnsi="Times New Roman"/>
        </w:rPr>
        <w:t>zraka</w:t>
      </w:r>
      <w:r w:rsidRPr="00155F80">
        <w:rPr>
          <w:rFonts w:ascii="Times New Roman" w:hAnsi="Times New Roman"/>
          <w:lang w:val="hr-HR"/>
        </w:rPr>
        <w:t xml:space="preserve">. </w:t>
      </w:r>
      <w:r w:rsidRPr="00155F80">
        <w:rPr>
          <w:rFonts w:ascii="Times New Roman" w:hAnsi="Times New Roman"/>
        </w:rPr>
        <w:t>Kontrole</w:t>
      </w:r>
      <w:r w:rsidRPr="00155F80">
        <w:rPr>
          <w:rFonts w:ascii="Times New Roman" w:hAnsi="Times New Roman"/>
          <w:lang w:val="hr-HR"/>
        </w:rPr>
        <w:t xml:space="preserve"> </w:t>
      </w:r>
      <w:r w:rsidRPr="00155F80">
        <w:rPr>
          <w:rFonts w:ascii="Times New Roman" w:hAnsi="Times New Roman"/>
        </w:rPr>
        <w:t>procjednih</w:t>
      </w:r>
      <w:r w:rsidRPr="00155F80">
        <w:rPr>
          <w:rFonts w:ascii="Times New Roman" w:hAnsi="Times New Roman"/>
          <w:lang w:val="hr-HR"/>
        </w:rPr>
        <w:t xml:space="preserve"> </w:t>
      </w:r>
      <w:r w:rsidRPr="00155F80">
        <w:rPr>
          <w:rFonts w:ascii="Times New Roman" w:hAnsi="Times New Roman"/>
        </w:rPr>
        <w:t>voda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002D27DE">
        <w:rPr>
          <w:rFonts w:ascii="Times New Roman" w:hAnsi="Times New Roman"/>
        </w:rPr>
        <w:t>plinova</w:t>
      </w:r>
      <w:r w:rsidRPr="00155F80">
        <w:rPr>
          <w:rFonts w:ascii="Times New Roman" w:hAnsi="Times New Roman"/>
          <w:lang w:val="hr-HR"/>
        </w:rPr>
        <w:t xml:space="preserve"> </w:t>
      </w:r>
      <w:r w:rsidRPr="00155F80">
        <w:rPr>
          <w:rFonts w:ascii="Times New Roman" w:hAnsi="Times New Roman"/>
        </w:rPr>
        <w:t>nema</w:t>
      </w:r>
      <w:r w:rsidRPr="00155F80">
        <w:rPr>
          <w:rFonts w:ascii="Times New Roman" w:hAnsi="Times New Roman"/>
          <w:lang w:val="hr-HR"/>
        </w:rPr>
        <w:t xml:space="preserve"> </w:t>
      </w:r>
      <w:r w:rsidRPr="00155F80">
        <w:rPr>
          <w:rFonts w:ascii="Times New Roman" w:hAnsi="Times New Roman"/>
        </w:rPr>
        <w:t>gotovo</w:t>
      </w:r>
      <w:r w:rsidRPr="00155F80">
        <w:rPr>
          <w:rFonts w:ascii="Times New Roman" w:hAnsi="Times New Roman"/>
          <w:lang w:val="hr-HR"/>
        </w:rPr>
        <w:t xml:space="preserve"> </w:t>
      </w:r>
      <w:r w:rsidRPr="00155F80">
        <w:rPr>
          <w:rFonts w:ascii="Times New Roman" w:hAnsi="Times New Roman"/>
        </w:rPr>
        <w:t>ni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jednoj</w:t>
      </w:r>
      <w:r w:rsidRPr="00155F80">
        <w:rPr>
          <w:rFonts w:ascii="Times New Roman" w:hAnsi="Times New Roman"/>
          <w:lang w:val="hr-HR"/>
        </w:rPr>
        <w:t xml:space="preserve"> </w:t>
      </w:r>
      <w:r w:rsidR="00CB080B">
        <w:rPr>
          <w:rFonts w:ascii="Times New Roman" w:hAnsi="Times New Roman"/>
        </w:rPr>
        <w:t>opšti</w:t>
      </w:r>
      <w:r w:rsidRPr="00155F80">
        <w:rPr>
          <w:rFonts w:ascii="Times New Roman" w:hAnsi="Times New Roman"/>
        </w:rPr>
        <w:t>nsko</w:t>
      </w:r>
      <w:r w:rsidR="002D27DE">
        <w:rPr>
          <w:rFonts w:ascii="Times New Roman" w:hAnsi="Times New Roman"/>
        </w:rPr>
        <w:t>m</w:t>
      </w:r>
      <w:r w:rsidRPr="00155F80">
        <w:rPr>
          <w:rFonts w:ascii="Times New Roman" w:hAnsi="Times New Roman"/>
          <w:lang w:val="hr-HR"/>
        </w:rPr>
        <w:t xml:space="preserve"> </w:t>
      </w:r>
      <w:r w:rsidR="002D27DE">
        <w:rPr>
          <w:rFonts w:ascii="Times New Roman" w:hAnsi="Times New Roman"/>
        </w:rPr>
        <w:t>odlagalištu otpada</w:t>
      </w:r>
      <w:r w:rsidRPr="00155F80">
        <w:rPr>
          <w:rFonts w:ascii="Times New Roman" w:hAnsi="Times New Roman"/>
          <w:lang w:val="hr-HR"/>
        </w:rPr>
        <w:t xml:space="preserve">. </w:t>
      </w:r>
      <w:r w:rsidRPr="00155F80">
        <w:rPr>
          <w:rFonts w:ascii="Times New Roman" w:hAnsi="Times New Roman"/>
        </w:rPr>
        <w:t>Neure</w:t>
      </w:r>
      <w:r w:rsidRPr="00155F80">
        <w:rPr>
          <w:rFonts w:ascii="Times New Roman" w:hAnsi="Times New Roman"/>
          <w:lang w:val="hr-HR"/>
        </w:rPr>
        <w:t>đ</w:t>
      </w:r>
      <w:r w:rsidRPr="00155F80">
        <w:rPr>
          <w:rFonts w:ascii="Times New Roman" w:hAnsi="Times New Roman"/>
        </w:rPr>
        <w:t>en</w:t>
      </w:r>
      <w:r w:rsidR="002D27DE">
        <w:rPr>
          <w:rFonts w:ascii="Times New Roman" w:hAnsi="Times New Roman"/>
        </w:rPr>
        <w:t>a</w:t>
      </w:r>
      <w:r w:rsidRPr="00155F80">
        <w:rPr>
          <w:rFonts w:ascii="Times New Roman" w:hAnsi="Times New Roman"/>
          <w:lang w:val="hr-HR"/>
        </w:rPr>
        <w:t xml:space="preserve"> </w:t>
      </w:r>
      <w:r w:rsidR="002D27DE">
        <w:rPr>
          <w:rFonts w:ascii="Times New Roman" w:hAnsi="Times New Roman"/>
        </w:rPr>
        <w:t>odlagališta 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uglavnom</w:t>
      </w:r>
      <w:r w:rsidRPr="00155F80">
        <w:rPr>
          <w:rFonts w:ascii="Times New Roman" w:hAnsi="Times New Roman"/>
          <w:lang w:val="hr-HR"/>
        </w:rPr>
        <w:t xml:space="preserve"> </w:t>
      </w:r>
      <w:r w:rsidRPr="00155F80">
        <w:rPr>
          <w:rFonts w:ascii="Times New Roman" w:hAnsi="Times New Roman"/>
        </w:rPr>
        <w:t>neogra</w:t>
      </w:r>
      <w:r w:rsidRPr="00155F80">
        <w:rPr>
          <w:rFonts w:ascii="Times New Roman" w:hAnsi="Times New Roman"/>
          <w:lang w:val="hr-HR"/>
        </w:rPr>
        <w:t>đ</w:t>
      </w:r>
      <w:r w:rsidRPr="00155F80">
        <w:rPr>
          <w:rFonts w:ascii="Times New Roman" w:hAnsi="Times New Roman"/>
        </w:rPr>
        <w:t>en</w:t>
      </w:r>
      <w:r w:rsidR="002D27DE">
        <w:rPr>
          <w:rFonts w:ascii="Times New Roman" w:hAnsi="Times New Roman"/>
        </w:rPr>
        <w:t>a</w:t>
      </w:r>
      <w:r w:rsidRPr="00155F80">
        <w:rPr>
          <w:rFonts w:ascii="Times New Roman" w:hAnsi="Times New Roman"/>
          <w:lang w:val="hr-HR"/>
        </w:rPr>
        <w:t xml:space="preserve">, </w:t>
      </w:r>
      <w:r w:rsidRPr="00155F80">
        <w:rPr>
          <w:rFonts w:ascii="Times New Roman" w:hAnsi="Times New Roman"/>
        </w:rPr>
        <w:t>tako</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ljudi</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ž</w:t>
      </w:r>
      <w:r w:rsidRPr="00155F80">
        <w:rPr>
          <w:rFonts w:ascii="Times New Roman" w:hAnsi="Times New Roman"/>
        </w:rPr>
        <w:t>ivotinje</w:t>
      </w:r>
      <w:r w:rsidRPr="00155F80">
        <w:rPr>
          <w:rFonts w:ascii="Times New Roman" w:hAnsi="Times New Roman"/>
          <w:lang w:val="hr-HR"/>
        </w:rPr>
        <w:t xml:space="preserve"> </w:t>
      </w:r>
      <w:r w:rsidRPr="00155F80">
        <w:rPr>
          <w:rFonts w:ascii="Times New Roman" w:hAnsi="Times New Roman"/>
        </w:rPr>
        <w:t>neometano</w:t>
      </w:r>
      <w:r w:rsidRPr="00155F80">
        <w:rPr>
          <w:rFonts w:ascii="Times New Roman" w:hAnsi="Times New Roman"/>
          <w:lang w:val="hr-HR"/>
        </w:rPr>
        <w:t xml:space="preserve"> </w:t>
      </w:r>
      <w:r w:rsidRPr="00155F80">
        <w:rPr>
          <w:rFonts w:ascii="Times New Roman" w:hAnsi="Times New Roman"/>
        </w:rPr>
        <w:t>ulaze</w:t>
      </w:r>
      <w:r w:rsidRPr="00155F80">
        <w:rPr>
          <w:rFonts w:ascii="Times New Roman" w:hAnsi="Times New Roman"/>
          <w:lang w:val="hr-HR"/>
        </w:rPr>
        <w:t>, č</w:t>
      </w:r>
      <w:r w:rsidRPr="00155F80">
        <w:rPr>
          <w:rFonts w:ascii="Times New Roman" w:hAnsi="Times New Roman"/>
        </w:rPr>
        <w:t>ime</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pove</w:t>
      </w:r>
      <w:r w:rsidRPr="00155F80">
        <w:rPr>
          <w:rFonts w:ascii="Times New Roman" w:hAnsi="Times New Roman"/>
          <w:lang w:val="hr-HR"/>
        </w:rPr>
        <w:t>ć</w:t>
      </w:r>
      <w:r w:rsidRPr="00155F80">
        <w:rPr>
          <w:rFonts w:ascii="Times New Roman" w:hAnsi="Times New Roman"/>
        </w:rPr>
        <w:t>ava</w:t>
      </w:r>
      <w:r w:rsidRPr="00155F80">
        <w:rPr>
          <w:rFonts w:ascii="Times New Roman" w:hAnsi="Times New Roman"/>
          <w:lang w:val="hr-HR"/>
        </w:rPr>
        <w:t xml:space="preserve"> </w:t>
      </w:r>
      <w:r w:rsidRPr="00155F80">
        <w:rPr>
          <w:rFonts w:ascii="Times New Roman" w:hAnsi="Times New Roman"/>
        </w:rPr>
        <w:t>rizik</w:t>
      </w:r>
      <w:r w:rsidRPr="00155F80">
        <w:rPr>
          <w:rFonts w:ascii="Times New Roman" w:hAnsi="Times New Roman"/>
          <w:lang w:val="hr-HR"/>
        </w:rPr>
        <w:t xml:space="preserve"> </w:t>
      </w:r>
      <w:r w:rsidRPr="00155F80">
        <w:rPr>
          <w:rFonts w:ascii="Times New Roman" w:hAnsi="Times New Roman"/>
        </w:rPr>
        <w:t>od</w:t>
      </w:r>
      <w:r w:rsidRPr="00155F80">
        <w:rPr>
          <w:rFonts w:ascii="Times New Roman" w:hAnsi="Times New Roman"/>
          <w:lang w:val="hr-HR"/>
        </w:rPr>
        <w:t xml:space="preserve"> š</w:t>
      </w:r>
      <w:r w:rsidRPr="00155F80">
        <w:rPr>
          <w:rFonts w:ascii="Times New Roman" w:hAnsi="Times New Roman"/>
        </w:rPr>
        <w:t>irenja</w:t>
      </w:r>
      <w:r w:rsidRPr="00155F80">
        <w:rPr>
          <w:rFonts w:ascii="Times New Roman" w:hAnsi="Times New Roman"/>
          <w:lang w:val="hr-HR"/>
        </w:rPr>
        <w:t xml:space="preserve"> </w:t>
      </w:r>
      <w:r w:rsidRPr="00155F80">
        <w:rPr>
          <w:rFonts w:ascii="Times New Roman" w:hAnsi="Times New Roman"/>
        </w:rPr>
        <w:t>infektivnih</w:t>
      </w:r>
      <w:r w:rsidRPr="00155F80">
        <w:rPr>
          <w:rFonts w:ascii="Times New Roman" w:hAnsi="Times New Roman"/>
          <w:lang w:val="hr-HR"/>
        </w:rPr>
        <w:t xml:space="preserve"> </w:t>
      </w:r>
      <w:r w:rsidRPr="00155F80">
        <w:rPr>
          <w:rFonts w:ascii="Times New Roman" w:hAnsi="Times New Roman"/>
        </w:rPr>
        <w:t>bolesti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ve</w:t>
      </w:r>
      <w:r w:rsidRPr="00155F80">
        <w:rPr>
          <w:rFonts w:ascii="Times New Roman" w:hAnsi="Times New Roman"/>
          <w:lang w:val="hr-HR"/>
        </w:rPr>
        <w:t>ć</w:t>
      </w:r>
      <w:r w:rsidRPr="00155F80">
        <w:rPr>
          <w:rFonts w:ascii="Times New Roman" w:hAnsi="Times New Roman"/>
        </w:rPr>
        <w:t>ini</w:t>
      </w:r>
      <w:r w:rsidRPr="00155F80">
        <w:rPr>
          <w:rFonts w:ascii="Times New Roman" w:hAnsi="Times New Roman"/>
          <w:lang w:val="hr-HR"/>
        </w:rPr>
        <w:t xml:space="preserve"> </w:t>
      </w:r>
      <w:r w:rsidRPr="00155F80">
        <w:rPr>
          <w:rFonts w:ascii="Times New Roman" w:hAnsi="Times New Roman"/>
        </w:rPr>
        <w:t>ovih</w:t>
      </w:r>
      <w:r w:rsidRPr="00155F80">
        <w:rPr>
          <w:rFonts w:ascii="Times New Roman" w:hAnsi="Times New Roman"/>
          <w:lang w:val="hr-HR"/>
        </w:rPr>
        <w:t xml:space="preserve"> </w:t>
      </w:r>
      <w:r w:rsidR="002D27DE">
        <w:rPr>
          <w:rFonts w:ascii="Times New Roman" w:hAnsi="Times New Roman"/>
        </w:rPr>
        <w:t>deponija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sve</w:t>
      </w:r>
      <w:r w:rsidRPr="00155F80">
        <w:rPr>
          <w:rFonts w:ascii="Times New Roman" w:hAnsi="Times New Roman"/>
          <w:lang w:val="hr-HR"/>
        </w:rPr>
        <w:t xml:space="preserve"> </w:t>
      </w:r>
      <w:r w:rsidRPr="00155F80">
        <w:rPr>
          <w:rFonts w:ascii="Times New Roman" w:hAnsi="Times New Roman"/>
        </w:rPr>
        <w:t>vrste</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od</w:t>
      </w:r>
      <w:r w:rsidRPr="00155F80">
        <w:rPr>
          <w:rFonts w:ascii="Times New Roman" w:hAnsi="Times New Roman"/>
          <w:lang w:val="hr-HR"/>
        </w:rPr>
        <w:t xml:space="preserve"> </w:t>
      </w:r>
      <w:r w:rsidRPr="00155F80">
        <w:rPr>
          <w:rFonts w:ascii="Times New Roman" w:hAnsi="Times New Roman"/>
        </w:rPr>
        <w:t>industrijskog</w:t>
      </w:r>
      <w:r w:rsidRPr="00155F80">
        <w:rPr>
          <w:rFonts w:ascii="Times New Roman" w:hAnsi="Times New Roman"/>
          <w:lang w:val="hr-HR"/>
        </w:rPr>
        <w:t xml:space="preserve"> </w:t>
      </w:r>
      <w:r w:rsidRPr="00155F80">
        <w:rPr>
          <w:rFonts w:ascii="Times New Roman" w:hAnsi="Times New Roman"/>
        </w:rPr>
        <w:t>do</w:t>
      </w:r>
      <w:r w:rsidRPr="00155F80">
        <w:rPr>
          <w:rFonts w:ascii="Times New Roman" w:hAnsi="Times New Roman"/>
          <w:lang w:val="hr-HR"/>
        </w:rPr>
        <w:t xml:space="preserve"> </w:t>
      </w:r>
      <w:r w:rsidRPr="00155F80">
        <w:rPr>
          <w:rFonts w:ascii="Times New Roman" w:hAnsi="Times New Roman"/>
        </w:rPr>
        <w:t>medicinskog</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ž</w:t>
      </w:r>
      <w:r w:rsidRPr="00155F80">
        <w:rPr>
          <w:rFonts w:ascii="Times New Roman" w:hAnsi="Times New Roman"/>
        </w:rPr>
        <w:t>ivotinjskog</w:t>
      </w:r>
      <w:r w:rsidRPr="00155F80">
        <w:rPr>
          <w:rFonts w:ascii="Times New Roman" w:hAnsi="Times New Roman"/>
          <w:lang w:val="hr-HR"/>
        </w:rPr>
        <w:t xml:space="preserve"> </w:t>
      </w:r>
      <w:r w:rsidRPr="00155F80">
        <w:rPr>
          <w:rFonts w:ascii="Times New Roman" w:hAnsi="Times New Roman"/>
        </w:rPr>
        <w:t>po</w:t>
      </w:r>
      <w:r w:rsidR="002D27DE">
        <w:rPr>
          <w:rFonts w:ascii="Times New Roman" w:hAnsi="Times New Roman"/>
        </w:rPr>
        <w:t>d</w:t>
      </w:r>
      <w:r w:rsidRPr="00155F80">
        <w:rPr>
          <w:rFonts w:ascii="Times New Roman" w:hAnsi="Times New Roman"/>
        </w:rPr>
        <w:t>rije</w:t>
      </w:r>
      <w:r w:rsidR="002D27DE">
        <w:rPr>
          <w:rFonts w:ascii="Times New Roman" w:hAnsi="Times New Roman"/>
        </w:rPr>
        <w:t>t</w:t>
      </w:r>
      <w:r w:rsidRPr="00155F80">
        <w:rPr>
          <w:rFonts w:ascii="Times New Roman" w:hAnsi="Times New Roman"/>
        </w:rPr>
        <w:t>la</w:t>
      </w:r>
      <w:r w:rsidRPr="00155F80">
        <w:rPr>
          <w:rFonts w:ascii="Times New Roman" w:hAnsi="Times New Roman"/>
          <w:lang w:val="hr-HR"/>
        </w:rPr>
        <w:t xml:space="preserve"> (</w:t>
      </w:r>
      <w:r w:rsidRPr="00155F80">
        <w:rPr>
          <w:rFonts w:ascii="Times New Roman" w:hAnsi="Times New Roman"/>
        </w:rPr>
        <w:t>uginule</w:t>
      </w:r>
      <w:r w:rsidRPr="00155F80">
        <w:rPr>
          <w:rFonts w:ascii="Times New Roman" w:hAnsi="Times New Roman"/>
          <w:lang w:val="hr-HR"/>
        </w:rPr>
        <w:t xml:space="preserve"> ž</w:t>
      </w:r>
      <w:r w:rsidRPr="00155F80">
        <w:rPr>
          <w:rFonts w:ascii="Times New Roman" w:hAnsi="Times New Roman"/>
        </w:rPr>
        <w:t>ivotinje</w:t>
      </w:r>
      <w:r w:rsidRPr="00155F80">
        <w:rPr>
          <w:rFonts w:ascii="Times New Roman" w:hAnsi="Times New Roman"/>
          <w:lang w:val="hr-HR"/>
        </w:rPr>
        <w:t xml:space="preserve">)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preuzimaju</w:t>
      </w:r>
      <w:r w:rsidRPr="00155F80">
        <w:rPr>
          <w:rFonts w:ascii="Times New Roman" w:hAnsi="Times New Roman"/>
          <w:lang w:val="hr-HR"/>
        </w:rPr>
        <w:t xml:space="preserve"> </w:t>
      </w:r>
      <w:r w:rsidRPr="00155F80">
        <w:rPr>
          <w:rFonts w:ascii="Times New Roman" w:hAnsi="Times New Roman"/>
        </w:rPr>
        <w:t>komunalna</w:t>
      </w:r>
      <w:r w:rsidRPr="00155F80">
        <w:rPr>
          <w:rFonts w:ascii="Times New Roman" w:hAnsi="Times New Roman"/>
          <w:lang w:val="hr-HR"/>
        </w:rPr>
        <w:t xml:space="preserve"> </w:t>
      </w:r>
      <w:r w:rsidRPr="00155F80">
        <w:rPr>
          <w:rFonts w:ascii="Times New Roman" w:hAnsi="Times New Roman"/>
        </w:rPr>
        <w:t>poduze</w:t>
      </w:r>
      <w:r w:rsidRPr="00155F80">
        <w:rPr>
          <w:rFonts w:ascii="Times New Roman" w:hAnsi="Times New Roman"/>
          <w:lang w:val="hr-HR"/>
        </w:rPr>
        <w:t>ć</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Po</w:t>
      </w:r>
      <w:r w:rsidR="00CB080B">
        <w:rPr>
          <w:rFonts w:ascii="Times New Roman" w:hAnsi="Times New Roman"/>
        </w:rPr>
        <w:t>stepen</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ž</w:t>
      </w:r>
      <w:r w:rsidRPr="00155F80">
        <w:rPr>
          <w:rFonts w:ascii="Times New Roman" w:hAnsi="Times New Roman"/>
        </w:rPr>
        <w:t>ivotinjskog</w:t>
      </w:r>
      <w:r w:rsidRPr="00155F80">
        <w:rPr>
          <w:rFonts w:ascii="Times New Roman" w:hAnsi="Times New Roman"/>
          <w:lang w:val="hr-HR"/>
        </w:rPr>
        <w:t xml:space="preserve"> </w:t>
      </w:r>
      <w:r w:rsidRPr="00155F80">
        <w:rPr>
          <w:rFonts w:ascii="Times New Roman" w:hAnsi="Times New Roman"/>
        </w:rPr>
        <w:t>po</w:t>
      </w:r>
      <w:r w:rsidR="002D27DE">
        <w:rPr>
          <w:rFonts w:ascii="Times New Roman" w:hAnsi="Times New Roman"/>
        </w:rPr>
        <w:t>d</w:t>
      </w:r>
      <w:r w:rsidRPr="00155F80">
        <w:rPr>
          <w:rFonts w:ascii="Times New Roman" w:hAnsi="Times New Roman"/>
        </w:rPr>
        <w:t>rije</w:t>
      </w:r>
      <w:r w:rsidR="002D27DE">
        <w:rPr>
          <w:rFonts w:ascii="Times New Roman" w:hAnsi="Times New Roman"/>
        </w:rPr>
        <w:t>t</w:t>
      </w:r>
      <w:r w:rsidRPr="00155F80">
        <w:rPr>
          <w:rFonts w:ascii="Times New Roman" w:hAnsi="Times New Roman"/>
        </w:rPr>
        <w:t>la</w:t>
      </w:r>
      <w:r w:rsidRPr="00155F80">
        <w:rPr>
          <w:rFonts w:ascii="Times New Roman" w:hAnsi="Times New Roman"/>
          <w:lang w:val="hr-HR"/>
        </w:rPr>
        <w:t xml:space="preserve"> </w:t>
      </w:r>
      <w:r w:rsidRPr="00155F80">
        <w:rPr>
          <w:rFonts w:ascii="Times New Roman" w:hAnsi="Times New Roman"/>
        </w:rPr>
        <w:t>nije</w:t>
      </w:r>
      <w:r w:rsidRPr="00155F80">
        <w:rPr>
          <w:rFonts w:ascii="Times New Roman" w:hAnsi="Times New Roman"/>
          <w:lang w:val="hr-HR"/>
        </w:rPr>
        <w:t xml:space="preserve"> </w:t>
      </w:r>
      <w:r w:rsidR="00526FD0">
        <w:rPr>
          <w:rFonts w:ascii="Times New Roman" w:hAnsi="Times New Roman"/>
        </w:rPr>
        <w:t>u skladu sa</w:t>
      </w:r>
      <w:r w:rsidRPr="00155F80">
        <w:rPr>
          <w:rFonts w:ascii="Times New Roman" w:hAnsi="Times New Roman"/>
          <w:lang w:val="hr-HR"/>
        </w:rPr>
        <w:t xml:space="preserve"> </w:t>
      </w:r>
      <w:r w:rsidRPr="00155F80">
        <w:rPr>
          <w:rFonts w:ascii="Times New Roman" w:hAnsi="Times New Roman"/>
        </w:rPr>
        <w:t>va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ć</w:t>
      </w:r>
      <w:r w:rsidRPr="00155F80">
        <w:rPr>
          <w:rFonts w:ascii="Times New Roman" w:hAnsi="Times New Roman"/>
        </w:rPr>
        <w:t>im</w:t>
      </w:r>
      <w:r w:rsidRPr="00155F80">
        <w:rPr>
          <w:rFonts w:ascii="Times New Roman" w:hAnsi="Times New Roman"/>
          <w:lang w:val="hr-HR"/>
        </w:rPr>
        <w:t xml:space="preserve"> </w:t>
      </w:r>
      <w:r w:rsidRPr="00155F80">
        <w:rPr>
          <w:rFonts w:ascii="Times New Roman" w:hAnsi="Times New Roman"/>
        </w:rPr>
        <w:t>propisima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standardima</w:t>
      </w:r>
      <w:r w:rsidRPr="00155F80">
        <w:rPr>
          <w:rFonts w:ascii="Times New Roman" w:hAnsi="Times New Roman"/>
          <w:lang w:val="hr-HR"/>
        </w:rPr>
        <w:t xml:space="preserve"> </w:t>
      </w:r>
      <w:r w:rsidRPr="00155F80">
        <w:rPr>
          <w:rFonts w:ascii="Times New Roman" w:hAnsi="Times New Roman"/>
        </w:rPr>
        <w:t>EU</w:t>
      </w:r>
      <w:r w:rsidR="00AA0D77"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Rezultati</w:t>
      </w:r>
      <w:r w:rsidRPr="00155F80">
        <w:rPr>
          <w:rFonts w:ascii="Times New Roman" w:hAnsi="Times New Roman"/>
          <w:lang w:val="hr-HR"/>
        </w:rPr>
        <w:t xml:space="preserve"> „</w:t>
      </w:r>
      <w:r w:rsidRPr="00155F80">
        <w:rPr>
          <w:rFonts w:ascii="Times New Roman" w:hAnsi="Times New Roman"/>
        </w:rPr>
        <w:t>Istra</w:t>
      </w:r>
      <w:r w:rsidRPr="00155F80">
        <w:rPr>
          <w:rFonts w:ascii="Times New Roman" w:hAnsi="Times New Roman"/>
          <w:lang w:val="hr-HR"/>
        </w:rPr>
        <w:t>ž</w:t>
      </w:r>
      <w:r w:rsidRPr="00155F80">
        <w:rPr>
          <w:rFonts w:ascii="Times New Roman" w:hAnsi="Times New Roman"/>
        </w:rPr>
        <w:t>ivanja</w:t>
      </w:r>
      <w:r w:rsidRPr="00155F80">
        <w:rPr>
          <w:rFonts w:ascii="Times New Roman" w:hAnsi="Times New Roman"/>
          <w:lang w:val="hr-HR"/>
        </w:rPr>
        <w:t xml:space="preserve"> </w:t>
      </w:r>
      <w:r w:rsidRPr="00155F80">
        <w:rPr>
          <w:rFonts w:ascii="Times New Roman" w:hAnsi="Times New Roman"/>
        </w:rPr>
        <w:t>metoda</w:t>
      </w:r>
      <w:r w:rsidRPr="00155F80">
        <w:rPr>
          <w:rFonts w:ascii="Times New Roman" w:hAnsi="Times New Roman"/>
          <w:lang w:val="hr-HR"/>
        </w:rPr>
        <w:t xml:space="preserve"> </w:t>
      </w:r>
      <w:r w:rsidRPr="00155F80">
        <w:rPr>
          <w:rFonts w:ascii="Times New Roman" w:hAnsi="Times New Roman"/>
        </w:rPr>
        <w:t>uklanjanja</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medicinskog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zdravstvenim</w:t>
      </w:r>
      <w:r w:rsidRPr="00155F80">
        <w:rPr>
          <w:rFonts w:ascii="Times New Roman" w:hAnsi="Times New Roman"/>
          <w:lang w:val="hr-HR"/>
        </w:rPr>
        <w:t xml:space="preserve"> </w:t>
      </w:r>
      <w:r w:rsidRPr="00155F80">
        <w:rPr>
          <w:rFonts w:ascii="Times New Roman" w:hAnsi="Times New Roman"/>
        </w:rPr>
        <w:t>ustanovama</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provedeno</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podru</w:t>
      </w:r>
      <w:r w:rsidRPr="00155F80">
        <w:rPr>
          <w:rFonts w:ascii="Times New Roman" w:hAnsi="Times New Roman"/>
          <w:lang w:val="hr-HR"/>
        </w:rPr>
        <w:t>č</w:t>
      </w:r>
      <w:r w:rsidRPr="00155F80">
        <w:rPr>
          <w:rFonts w:ascii="Times New Roman" w:hAnsi="Times New Roman"/>
        </w:rPr>
        <w:t>ju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2011/2012., </w:t>
      </w:r>
      <w:r w:rsidRPr="00155F80">
        <w:rPr>
          <w:rFonts w:ascii="Times New Roman" w:hAnsi="Times New Roman"/>
        </w:rPr>
        <w:t>pokazali</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55% </w:t>
      </w:r>
      <w:r w:rsidRPr="00155F80">
        <w:rPr>
          <w:rFonts w:ascii="Times New Roman" w:hAnsi="Times New Roman"/>
        </w:rPr>
        <w:t>potencijalno</w:t>
      </w:r>
      <w:r w:rsidRPr="00155F80">
        <w:rPr>
          <w:rFonts w:ascii="Times New Roman" w:hAnsi="Times New Roman"/>
          <w:lang w:val="hr-HR"/>
        </w:rPr>
        <w:t xml:space="preserve"> </w:t>
      </w:r>
      <w:r w:rsidRPr="00155F80">
        <w:rPr>
          <w:rFonts w:ascii="Times New Roman" w:hAnsi="Times New Roman"/>
        </w:rPr>
        <w:t>infektivnog</w:t>
      </w:r>
      <w:r w:rsidRPr="00155F80">
        <w:rPr>
          <w:rFonts w:ascii="Times New Roman" w:hAnsi="Times New Roman"/>
          <w:lang w:val="hr-HR"/>
        </w:rPr>
        <w:t xml:space="preserve">, 23% </w:t>
      </w:r>
      <w:r w:rsidR="00950A64">
        <w:rPr>
          <w:rFonts w:ascii="Times New Roman" w:hAnsi="Times New Roman"/>
        </w:rPr>
        <w:t>hemijskog</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20% </w:t>
      </w:r>
      <w:r w:rsidRPr="00155F80">
        <w:rPr>
          <w:rFonts w:ascii="Times New Roman" w:hAnsi="Times New Roman"/>
        </w:rPr>
        <w:t>farmaceutskog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iz</w:t>
      </w:r>
      <w:r w:rsidRPr="00155F80">
        <w:rPr>
          <w:rFonts w:ascii="Times New Roman" w:hAnsi="Times New Roman"/>
          <w:lang w:val="hr-HR"/>
        </w:rPr>
        <w:t xml:space="preserve"> </w:t>
      </w:r>
      <w:r w:rsidRPr="00155F80">
        <w:rPr>
          <w:rFonts w:ascii="Times New Roman" w:hAnsi="Times New Roman"/>
        </w:rPr>
        <w:t>zdravstvenih</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zavr</w:t>
      </w:r>
      <w:r w:rsidRPr="00155F80">
        <w:rPr>
          <w:rFonts w:ascii="Times New Roman" w:hAnsi="Times New Roman"/>
          <w:lang w:val="hr-HR"/>
        </w:rPr>
        <w:t>š</w:t>
      </w:r>
      <w:r w:rsidRPr="00155F80">
        <w:rPr>
          <w:rFonts w:ascii="Times New Roman" w:hAnsi="Times New Roman"/>
        </w:rPr>
        <w:t>ava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komunalnim</w:t>
      </w:r>
      <w:r w:rsidRPr="00155F80">
        <w:rPr>
          <w:rFonts w:ascii="Times New Roman" w:hAnsi="Times New Roman"/>
          <w:lang w:val="hr-HR"/>
        </w:rPr>
        <w:t xml:space="preserve"> </w:t>
      </w:r>
      <w:r w:rsidR="002D27DE">
        <w:rPr>
          <w:rFonts w:ascii="Times New Roman" w:hAnsi="Times New Roman"/>
        </w:rPr>
        <w:t>odlagalištima otpada</w:t>
      </w:r>
      <w:r w:rsidRPr="00155F80">
        <w:rPr>
          <w:rFonts w:ascii="Times New Roman" w:hAnsi="Times New Roman"/>
          <w:lang w:val="hr-HR"/>
        </w:rPr>
        <w:t xml:space="preserve">. </w:t>
      </w:r>
      <w:r w:rsidRPr="00155F80">
        <w:rPr>
          <w:rFonts w:ascii="Times New Roman" w:hAnsi="Times New Roman"/>
        </w:rPr>
        <w:t>Ovo</w:t>
      </w:r>
      <w:r w:rsidRPr="00155F80">
        <w:rPr>
          <w:rFonts w:ascii="Times New Roman" w:hAnsi="Times New Roman"/>
          <w:lang w:val="hr-HR"/>
        </w:rPr>
        <w:t xml:space="preserve"> </w:t>
      </w:r>
      <w:r w:rsidRPr="00155F80">
        <w:rPr>
          <w:rFonts w:ascii="Times New Roman" w:hAnsi="Times New Roman"/>
        </w:rPr>
        <w:t>istra</w:t>
      </w:r>
      <w:r w:rsidRPr="00155F80">
        <w:rPr>
          <w:rFonts w:ascii="Times New Roman" w:hAnsi="Times New Roman"/>
          <w:lang w:val="hr-HR"/>
        </w:rPr>
        <w:t>ž</w:t>
      </w:r>
      <w:r w:rsidRPr="00155F80">
        <w:rPr>
          <w:rFonts w:ascii="Times New Roman" w:hAnsi="Times New Roman"/>
        </w:rPr>
        <w:t>ivanje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tako</w:t>
      </w:r>
      <w:r w:rsidRPr="00155F80">
        <w:rPr>
          <w:rFonts w:ascii="Times New Roman" w:hAnsi="Times New Roman"/>
          <w:lang w:val="hr-HR"/>
        </w:rPr>
        <w:t>đ</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pokazalo</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samo</w:t>
      </w:r>
      <w:r w:rsidRPr="00155F80">
        <w:rPr>
          <w:rFonts w:ascii="Times New Roman" w:hAnsi="Times New Roman"/>
          <w:lang w:val="hr-HR"/>
        </w:rPr>
        <w:t xml:space="preserve"> 42% </w:t>
      </w:r>
      <w:r w:rsidRPr="00155F80">
        <w:rPr>
          <w:rFonts w:ascii="Times New Roman" w:hAnsi="Times New Roman"/>
        </w:rPr>
        <w:t>zdravstvenih</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podru</w:t>
      </w:r>
      <w:r w:rsidRPr="00155F80">
        <w:rPr>
          <w:rFonts w:ascii="Times New Roman" w:hAnsi="Times New Roman"/>
          <w:lang w:val="hr-HR"/>
        </w:rPr>
        <w:t>č</w:t>
      </w:r>
      <w:r w:rsidRPr="00155F80">
        <w:rPr>
          <w:rFonts w:ascii="Times New Roman" w:hAnsi="Times New Roman"/>
        </w:rPr>
        <w:t>ju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ima</w:t>
      </w:r>
      <w:r w:rsidRPr="00155F80">
        <w:rPr>
          <w:rFonts w:ascii="Times New Roman" w:hAnsi="Times New Roman"/>
          <w:lang w:val="hr-HR"/>
        </w:rPr>
        <w:t xml:space="preserve"> </w:t>
      </w:r>
      <w:r w:rsidRPr="00155F80">
        <w:rPr>
          <w:rFonts w:ascii="Times New Roman" w:hAnsi="Times New Roman"/>
        </w:rPr>
        <w:t>izra</w:t>
      </w:r>
      <w:r w:rsidRPr="00155F80">
        <w:rPr>
          <w:rFonts w:ascii="Times New Roman" w:hAnsi="Times New Roman"/>
          <w:lang w:val="hr-HR"/>
        </w:rPr>
        <w:t>đ</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Plan</w:t>
      </w:r>
      <w:r w:rsidRPr="00155F80">
        <w:rPr>
          <w:rFonts w:ascii="Times New Roman" w:hAnsi="Times New Roman"/>
          <w:lang w:val="hr-HR"/>
        </w:rPr>
        <w:t xml:space="preserve"> </w:t>
      </w:r>
      <w:r w:rsidRPr="00155F80">
        <w:rPr>
          <w:rFonts w:ascii="Times New Roman" w:hAnsi="Times New Roman"/>
        </w:rPr>
        <w:t>upravljanja</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w:t>
      </w:r>
      <w:r w:rsidR="00526FD0">
        <w:rPr>
          <w:rFonts w:ascii="Times New Roman" w:hAnsi="Times New Roman"/>
        </w:rPr>
        <w:t>u skladu sa</w:t>
      </w:r>
      <w:r w:rsidRPr="00155F80">
        <w:rPr>
          <w:rFonts w:ascii="Times New Roman" w:hAnsi="Times New Roman"/>
          <w:lang w:val="hr-HR"/>
        </w:rPr>
        <w:t xml:space="preserve"> </w:t>
      </w:r>
      <w:r w:rsidRPr="00155F80">
        <w:rPr>
          <w:rFonts w:ascii="Times New Roman" w:hAnsi="Times New Roman"/>
        </w:rPr>
        <w:t>Pravilnik</w:t>
      </w:r>
      <w:r w:rsidR="0027028E">
        <w:rPr>
          <w:rFonts w:ascii="Times New Roman" w:hAnsi="Times New Roman"/>
        </w:rPr>
        <w:t>om</w:t>
      </w:r>
      <w:r w:rsidRPr="00155F80">
        <w:rPr>
          <w:rFonts w:ascii="Times New Roman" w:hAnsi="Times New Roman"/>
          <w:lang w:val="hr-HR"/>
        </w:rPr>
        <w:t xml:space="preserve"> </w:t>
      </w:r>
      <w:r w:rsidRPr="00155F80">
        <w:rPr>
          <w:rFonts w:ascii="Times New Roman" w:hAnsi="Times New Roman"/>
        </w:rPr>
        <w:t>o</w:t>
      </w:r>
      <w:r w:rsidRPr="00155F80">
        <w:rPr>
          <w:rFonts w:ascii="Times New Roman" w:hAnsi="Times New Roman"/>
          <w:lang w:val="hr-HR"/>
        </w:rPr>
        <w:t xml:space="preserve"> </w:t>
      </w:r>
      <w:r w:rsidRPr="00155F80">
        <w:rPr>
          <w:rFonts w:ascii="Times New Roman" w:hAnsi="Times New Roman"/>
        </w:rPr>
        <w:t>upravljanju</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w:t>
      </w:r>
      <w:r w:rsidRPr="00155F80">
        <w:rPr>
          <w:rFonts w:ascii="Times New Roman" w:hAnsi="Times New Roman"/>
        </w:rPr>
        <w:t>FBiH</w:t>
      </w:r>
      <w:r w:rsidRPr="00F83CAD">
        <w:rPr>
          <w:rFonts w:ascii="Times New Roman" w:hAnsi="Times New Roman"/>
          <w:lang w:val="hr-HR"/>
        </w:rPr>
        <w:t xml:space="preserve">. </w:t>
      </w:r>
      <w:r w:rsidR="00092D83" w:rsidRPr="00F83CAD">
        <w:rPr>
          <w:rFonts w:ascii="Times New Roman" w:hAnsi="Times New Roman"/>
          <w:lang w:val="hr-HR"/>
        </w:rPr>
        <w:t>(12)</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E</w:t>
      </w:r>
      <w:r w:rsidR="002D27DE">
        <w:rPr>
          <w:rFonts w:ascii="Times New Roman" w:hAnsi="Times New Roman"/>
          <w:lang w:val="hr-HR"/>
        </w:rPr>
        <w:t>u</w:t>
      </w:r>
      <w:r w:rsidRPr="00155F80">
        <w:rPr>
          <w:rFonts w:ascii="Times New Roman" w:hAnsi="Times New Roman"/>
          <w:lang w:val="hr-HR"/>
        </w:rPr>
        <w:t>ropske zahtjeve za sanitarn</w:t>
      </w:r>
      <w:r w:rsidR="0085238E">
        <w:rPr>
          <w:rFonts w:ascii="Times New Roman" w:hAnsi="Times New Roman"/>
          <w:lang w:val="hr-HR"/>
        </w:rPr>
        <w:t>a</w:t>
      </w:r>
      <w:r w:rsidRPr="00155F80">
        <w:rPr>
          <w:rFonts w:ascii="Times New Roman" w:hAnsi="Times New Roman"/>
          <w:lang w:val="hr-HR"/>
        </w:rPr>
        <w:t xml:space="preserve"> </w:t>
      </w:r>
      <w:r w:rsidR="0085238E">
        <w:rPr>
          <w:rFonts w:ascii="Times New Roman" w:hAnsi="Times New Roman"/>
          <w:lang w:val="hr-HR"/>
        </w:rPr>
        <w:t>odlagališta</w:t>
      </w:r>
      <w:r w:rsidRPr="00155F80">
        <w:rPr>
          <w:rFonts w:ascii="Times New Roman" w:hAnsi="Times New Roman"/>
          <w:lang w:val="hr-HR"/>
        </w:rPr>
        <w:t xml:space="preserve"> djel</w:t>
      </w:r>
      <w:r w:rsidR="002D27DE">
        <w:rPr>
          <w:rFonts w:ascii="Times New Roman" w:hAnsi="Times New Roman"/>
          <w:lang w:val="hr-HR"/>
        </w:rPr>
        <w:t>o</w:t>
      </w:r>
      <w:r w:rsidRPr="00155F80">
        <w:rPr>
          <w:rFonts w:ascii="Times New Roman" w:hAnsi="Times New Roman"/>
          <w:lang w:val="hr-HR"/>
        </w:rPr>
        <w:t xml:space="preserve">mično zadovoljavaju </w:t>
      </w:r>
      <w:r w:rsidR="0085238E">
        <w:rPr>
          <w:rFonts w:ascii="Times New Roman" w:hAnsi="Times New Roman"/>
          <w:lang w:val="hr-HR"/>
        </w:rPr>
        <w:t>odlagališta</w:t>
      </w:r>
      <w:r w:rsidRPr="00155F80">
        <w:rPr>
          <w:rFonts w:ascii="Times New Roman" w:hAnsi="Times New Roman"/>
          <w:lang w:val="hr-HR"/>
        </w:rPr>
        <w:t xml:space="preserve"> u Sarajevu, Zenici, Mostaru i Bosanskoj Krupi. Na sanitarn</w:t>
      </w:r>
      <w:r w:rsidR="0085238E">
        <w:rPr>
          <w:rFonts w:ascii="Times New Roman" w:hAnsi="Times New Roman"/>
          <w:lang w:val="hr-HR"/>
        </w:rPr>
        <w:t>a</w:t>
      </w:r>
      <w:r w:rsidRPr="00155F80">
        <w:rPr>
          <w:rFonts w:ascii="Times New Roman" w:hAnsi="Times New Roman"/>
          <w:lang w:val="hr-HR"/>
        </w:rPr>
        <w:t xml:space="preserve"> </w:t>
      </w:r>
      <w:r w:rsidR="0085238E">
        <w:rPr>
          <w:rFonts w:ascii="Times New Roman" w:hAnsi="Times New Roman"/>
          <w:lang w:val="hr-HR"/>
        </w:rPr>
        <w:t>odlagališta</w:t>
      </w:r>
      <w:r w:rsidRPr="00155F80">
        <w:rPr>
          <w:rFonts w:ascii="Times New Roman" w:hAnsi="Times New Roman"/>
          <w:lang w:val="hr-HR"/>
        </w:rPr>
        <w:t xml:space="preserve"> se odlaže 18% otpada iz zdravstvenih i 12% iz veterinarskih ustanova, a opremu za neškodljivo uništavanje ovog otpada imaju tri zdravstvene ustanove (UKC, Opća bolnica „Abdulah Nakaš“ u Sarajevu i Kantonalni zavod za javno zdravstvo Travnik) i dvije veterinarske ustanove. </w:t>
      </w:r>
      <w:r w:rsidRPr="00155F80">
        <w:rPr>
          <w:rFonts w:ascii="Times New Roman" w:hAnsi="Times New Roman"/>
        </w:rPr>
        <w:t>Ostale</w:t>
      </w:r>
      <w:r w:rsidRPr="00155F80">
        <w:rPr>
          <w:rFonts w:ascii="Times New Roman" w:hAnsi="Times New Roman"/>
          <w:lang w:val="hr-HR"/>
        </w:rPr>
        <w:t xml:space="preserve"> </w:t>
      </w:r>
      <w:r w:rsidRPr="00155F80">
        <w:rPr>
          <w:rFonts w:ascii="Times New Roman" w:hAnsi="Times New Roman"/>
        </w:rPr>
        <w:t>zdravstvene</w:t>
      </w:r>
      <w:r w:rsidRPr="00155F80">
        <w:rPr>
          <w:rFonts w:ascii="Times New Roman" w:hAnsi="Times New Roman"/>
          <w:lang w:val="hr-HR"/>
        </w:rPr>
        <w:t xml:space="preserve"> </w:t>
      </w:r>
      <w:r w:rsidRPr="00155F80">
        <w:rPr>
          <w:rFonts w:ascii="Times New Roman" w:hAnsi="Times New Roman"/>
        </w:rPr>
        <w:t>ustanove</w:t>
      </w:r>
      <w:r w:rsidRPr="00155F80">
        <w:rPr>
          <w:rFonts w:ascii="Times New Roman" w:hAnsi="Times New Roman"/>
          <w:lang w:val="hr-HR"/>
        </w:rPr>
        <w:t xml:space="preserve"> </w:t>
      </w:r>
      <w:r w:rsidRPr="00155F80">
        <w:rPr>
          <w:rFonts w:ascii="Times New Roman" w:hAnsi="Times New Roman"/>
        </w:rPr>
        <w:t>medicinski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predaju</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zbrinjavanje</w:t>
      </w:r>
      <w:r w:rsidRPr="00155F80">
        <w:rPr>
          <w:rFonts w:ascii="Times New Roman" w:hAnsi="Times New Roman"/>
          <w:lang w:val="hr-HR"/>
        </w:rPr>
        <w:t xml:space="preserve"> </w:t>
      </w:r>
      <w:r w:rsidRPr="00155F80">
        <w:rPr>
          <w:rFonts w:ascii="Times New Roman" w:hAnsi="Times New Roman"/>
        </w:rPr>
        <w:t>komunalnim</w:t>
      </w:r>
      <w:r w:rsidRPr="00155F80">
        <w:rPr>
          <w:rFonts w:ascii="Times New Roman" w:hAnsi="Times New Roman"/>
          <w:lang w:val="hr-HR"/>
        </w:rPr>
        <w:t xml:space="preserve"> </w:t>
      </w:r>
      <w:r w:rsidRPr="00155F80">
        <w:rPr>
          <w:rFonts w:ascii="Times New Roman" w:hAnsi="Times New Roman"/>
        </w:rPr>
        <w:t>p</w:t>
      </w:r>
      <w:r w:rsidR="0085238E">
        <w:rPr>
          <w:rFonts w:ascii="Times New Roman" w:hAnsi="Times New Roman"/>
        </w:rPr>
        <w:t>o</w:t>
      </w:r>
      <w:r w:rsidRPr="00155F80">
        <w:rPr>
          <w:rFonts w:ascii="Times New Roman" w:hAnsi="Times New Roman"/>
        </w:rPr>
        <w:t>duze</w:t>
      </w:r>
      <w:r w:rsidRPr="00155F80">
        <w:rPr>
          <w:rFonts w:ascii="Times New Roman" w:hAnsi="Times New Roman"/>
          <w:lang w:val="hr-HR"/>
        </w:rPr>
        <w:t>ć</w:t>
      </w:r>
      <w:r w:rsidRPr="00155F80">
        <w:rPr>
          <w:rFonts w:ascii="Times New Roman" w:hAnsi="Times New Roman"/>
        </w:rPr>
        <w:t>ima</w:t>
      </w:r>
      <w:r w:rsidRPr="00155F80">
        <w:rPr>
          <w:rFonts w:ascii="Times New Roman" w:hAnsi="Times New Roman"/>
          <w:lang w:val="hr-HR"/>
        </w:rPr>
        <w:t xml:space="preserve"> ili o</w:t>
      </w:r>
      <w:r w:rsidRPr="00155F80">
        <w:rPr>
          <w:rFonts w:ascii="Times New Roman" w:hAnsi="Times New Roman"/>
        </w:rPr>
        <w:t>vla</w:t>
      </w:r>
      <w:r w:rsidRPr="00155F80">
        <w:rPr>
          <w:rFonts w:ascii="Times New Roman" w:hAnsi="Times New Roman"/>
          <w:lang w:val="hr-HR"/>
        </w:rPr>
        <w:t>š</w:t>
      </w:r>
      <w:r w:rsidRPr="00155F80">
        <w:rPr>
          <w:rFonts w:ascii="Times New Roman" w:hAnsi="Times New Roman"/>
        </w:rPr>
        <w:t>tenim</w:t>
      </w:r>
      <w:r w:rsidRPr="00155F80">
        <w:rPr>
          <w:rFonts w:ascii="Times New Roman" w:hAnsi="Times New Roman"/>
          <w:lang w:val="hr-HR"/>
        </w:rPr>
        <w:t xml:space="preserve"> </w:t>
      </w:r>
      <w:r w:rsidR="0085238E">
        <w:rPr>
          <w:rFonts w:ascii="Times New Roman" w:hAnsi="Times New Roman"/>
        </w:rPr>
        <w:t>tvrtkama</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bave</w:t>
      </w:r>
      <w:r w:rsidRPr="00155F80">
        <w:rPr>
          <w:rFonts w:ascii="Times New Roman" w:hAnsi="Times New Roman"/>
          <w:lang w:val="hr-HR"/>
        </w:rPr>
        <w:t xml:space="preserve"> </w:t>
      </w:r>
      <w:r w:rsidRPr="00155F80">
        <w:rPr>
          <w:rFonts w:ascii="Times New Roman" w:hAnsi="Times New Roman"/>
        </w:rPr>
        <w:t>njegovim</w:t>
      </w:r>
      <w:r w:rsidRPr="00155F80">
        <w:rPr>
          <w:rFonts w:ascii="Times New Roman" w:hAnsi="Times New Roman"/>
          <w:lang w:val="hr-HR"/>
        </w:rPr>
        <w:t xml:space="preserve"> adekvatnim uništavanjem (infektivni otpad) ili </w:t>
      </w:r>
      <w:r w:rsidRPr="00155F80">
        <w:rPr>
          <w:rFonts w:ascii="Times New Roman" w:hAnsi="Times New Roman"/>
        </w:rPr>
        <w:t>izvozom</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druge</w:t>
      </w:r>
      <w:r w:rsidRPr="00155F80">
        <w:rPr>
          <w:rFonts w:ascii="Times New Roman" w:hAnsi="Times New Roman"/>
          <w:lang w:val="hr-HR"/>
        </w:rPr>
        <w:t xml:space="preserve"> </w:t>
      </w:r>
      <w:r w:rsidRPr="00155F80">
        <w:rPr>
          <w:rFonts w:ascii="Times New Roman" w:hAnsi="Times New Roman"/>
        </w:rPr>
        <w:t>zemlje</w:t>
      </w:r>
      <w:r w:rsidRPr="00155F80">
        <w:rPr>
          <w:rFonts w:ascii="Times New Roman" w:hAnsi="Times New Roman"/>
          <w:lang w:val="hr-HR"/>
        </w:rPr>
        <w:t xml:space="preserve"> (</w:t>
      </w:r>
      <w:r w:rsidR="00950A64">
        <w:rPr>
          <w:rFonts w:ascii="Times New Roman" w:hAnsi="Times New Roman"/>
        </w:rPr>
        <w:t>hemijski</w:t>
      </w:r>
      <w:r w:rsidRPr="00155F80">
        <w:rPr>
          <w:rFonts w:ascii="Times New Roman" w:hAnsi="Times New Roman"/>
          <w:lang w:val="hr-HR"/>
        </w:rPr>
        <w:t xml:space="preserve"> i </w:t>
      </w:r>
      <w:r w:rsidRPr="00155F80">
        <w:rPr>
          <w:rFonts w:ascii="Times New Roman" w:hAnsi="Times New Roman"/>
        </w:rPr>
        <w:t>farmaceutski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Prema</w:t>
      </w:r>
      <w:r w:rsidRPr="00155F80">
        <w:rPr>
          <w:rFonts w:ascii="Times New Roman" w:hAnsi="Times New Roman"/>
          <w:lang w:val="hr-HR"/>
        </w:rPr>
        <w:t xml:space="preserve"> </w:t>
      </w:r>
      <w:r w:rsidR="002B489B">
        <w:rPr>
          <w:rFonts w:ascii="Times New Roman" w:hAnsi="Times New Roman"/>
        </w:rPr>
        <w:t>podaci</w:t>
      </w:r>
      <w:r w:rsidRPr="00155F80">
        <w:rPr>
          <w:rFonts w:ascii="Times New Roman" w:hAnsi="Times New Roman"/>
        </w:rPr>
        <w:t>ma</w:t>
      </w:r>
      <w:r w:rsidRPr="00155F80">
        <w:rPr>
          <w:rFonts w:ascii="Times New Roman" w:hAnsi="Times New Roman"/>
          <w:lang w:val="hr-HR"/>
        </w:rPr>
        <w:t xml:space="preserve"> Ministarstva prostornog uređenja i zaštite </w:t>
      </w:r>
      <w:r w:rsidR="00526FD0">
        <w:rPr>
          <w:rFonts w:ascii="Times New Roman" w:hAnsi="Times New Roman"/>
          <w:lang w:val="hr-HR"/>
        </w:rPr>
        <w:t>okoline</w:t>
      </w:r>
      <w:r w:rsidRPr="00155F80">
        <w:rPr>
          <w:rFonts w:ascii="Times New Roman" w:hAnsi="Times New Roman"/>
          <w:lang w:val="hr-HR"/>
        </w:rPr>
        <w:t xml:space="preserve"> Kantona Sarajevo, </w:t>
      </w:r>
      <w:r w:rsidRPr="00155F80">
        <w:rPr>
          <w:rFonts w:ascii="Times New Roman" w:hAnsi="Times New Roman"/>
        </w:rPr>
        <w:t>na</w:t>
      </w:r>
      <w:r w:rsidRPr="00155F80">
        <w:rPr>
          <w:rFonts w:ascii="Times New Roman" w:hAnsi="Times New Roman"/>
          <w:lang w:val="hr-HR"/>
        </w:rPr>
        <w:t xml:space="preserve"> </w:t>
      </w:r>
      <w:r w:rsidR="0085238E">
        <w:rPr>
          <w:rFonts w:ascii="Times New Roman" w:hAnsi="Times New Roman"/>
          <w:lang w:val="hr-HR"/>
        </w:rPr>
        <w:t>odlagalište</w:t>
      </w:r>
      <w:r w:rsidRPr="00155F80">
        <w:rPr>
          <w:rFonts w:ascii="Times New Roman" w:hAnsi="Times New Roman"/>
          <w:lang w:val="hr-HR"/>
        </w:rPr>
        <w:t xml:space="preserve"> „</w:t>
      </w:r>
      <w:r w:rsidRPr="00155F80">
        <w:rPr>
          <w:rFonts w:ascii="Times New Roman" w:hAnsi="Times New Roman"/>
        </w:rPr>
        <w:t>Smiljevi</w:t>
      </w:r>
      <w:r w:rsidRPr="00155F80">
        <w:rPr>
          <w:rFonts w:ascii="Times New Roman" w:hAnsi="Times New Roman"/>
          <w:lang w:val="hr-HR"/>
        </w:rPr>
        <w:t>ć</w:t>
      </w:r>
      <w:r w:rsidRPr="00155F80">
        <w:rPr>
          <w:rFonts w:ascii="Times New Roman" w:hAnsi="Times New Roman"/>
        </w:rPr>
        <w:t>i</w:t>
      </w:r>
      <w:r w:rsidRPr="00155F80">
        <w:rPr>
          <w:rFonts w:ascii="Times New Roman" w:hAnsi="Times New Roman"/>
          <w:lang w:val="hr-HR"/>
        </w:rPr>
        <w:t>“</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odlo</w:t>
      </w:r>
      <w:r w:rsidRPr="00155F80">
        <w:rPr>
          <w:rFonts w:ascii="Times New Roman" w:hAnsi="Times New Roman"/>
          <w:lang w:val="hr-HR"/>
        </w:rPr>
        <w:t>ž</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godi</w:t>
      </w:r>
      <w:r w:rsidRPr="00155F80">
        <w:rPr>
          <w:rFonts w:ascii="Times New Roman" w:hAnsi="Times New Roman"/>
          <w:lang w:val="hr-HR"/>
        </w:rPr>
        <w:t>š</w:t>
      </w:r>
      <w:r w:rsidRPr="00155F80">
        <w:rPr>
          <w:rFonts w:ascii="Times New Roman" w:hAnsi="Times New Roman"/>
        </w:rPr>
        <w:t>nje</w:t>
      </w:r>
      <w:r w:rsidRPr="00155F80">
        <w:rPr>
          <w:rFonts w:ascii="Times New Roman" w:hAnsi="Times New Roman"/>
          <w:lang w:val="hr-HR"/>
        </w:rPr>
        <w:t xml:space="preserve"> </w:t>
      </w:r>
      <w:r w:rsidRPr="00155F80">
        <w:rPr>
          <w:rFonts w:ascii="Times New Roman" w:hAnsi="Times New Roman"/>
        </w:rPr>
        <w:t>oko</w:t>
      </w:r>
      <w:r w:rsidRPr="00155F80">
        <w:rPr>
          <w:rFonts w:ascii="Times New Roman" w:hAnsi="Times New Roman"/>
          <w:lang w:val="hr-HR"/>
        </w:rPr>
        <w:t xml:space="preserve"> 249.000 </w:t>
      </w:r>
      <w:r w:rsidRPr="00155F80">
        <w:rPr>
          <w:rFonts w:ascii="Times New Roman" w:hAnsi="Times New Roman"/>
        </w:rPr>
        <w:t>tona</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Nerije</w:t>
      </w:r>
      <w:r w:rsidRPr="00155F80">
        <w:rPr>
          <w:rFonts w:ascii="Times New Roman" w:hAnsi="Times New Roman"/>
          <w:lang w:val="hr-HR"/>
        </w:rPr>
        <w:t>š</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problem</w:t>
      </w:r>
      <w:r w:rsidRPr="00155F80">
        <w:rPr>
          <w:rFonts w:ascii="Times New Roman" w:hAnsi="Times New Roman"/>
          <w:lang w:val="hr-HR"/>
        </w:rPr>
        <w:t xml:space="preserve"> </w:t>
      </w:r>
      <w:r w:rsidRPr="00155F80">
        <w:rPr>
          <w:rFonts w:ascii="Times New Roman" w:hAnsi="Times New Roman"/>
        </w:rPr>
        <w:t>klaoni</w:t>
      </w:r>
      <w:r w:rsidRPr="00155F80">
        <w:rPr>
          <w:rFonts w:ascii="Times New Roman" w:hAnsi="Times New Roman"/>
          <w:lang w:val="hr-HR"/>
        </w:rPr>
        <w:t>č</w:t>
      </w:r>
      <w:r w:rsidRPr="00155F80">
        <w:rPr>
          <w:rFonts w:ascii="Times New Roman" w:hAnsi="Times New Roman"/>
        </w:rPr>
        <w:t>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deponiji</w:t>
      </w:r>
      <w:r w:rsidRPr="00155F80">
        <w:rPr>
          <w:rFonts w:ascii="Times New Roman" w:hAnsi="Times New Roman"/>
          <w:lang w:val="hr-HR"/>
        </w:rPr>
        <w:t xml:space="preserve">, </w:t>
      </w:r>
      <w:r w:rsidRPr="00155F80">
        <w:rPr>
          <w:rFonts w:ascii="Times New Roman" w:hAnsi="Times New Roman"/>
        </w:rPr>
        <w:t>dok</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le</w:t>
      </w:r>
      <w:r w:rsidRPr="00155F80">
        <w:rPr>
          <w:rFonts w:ascii="Times New Roman" w:hAnsi="Times New Roman"/>
          <w:lang w:val="hr-HR"/>
        </w:rPr>
        <w:t>š</w:t>
      </w:r>
      <w:r w:rsidRPr="00155F80">
        <w:rPr>
          <w:rFonts w:ascii="Times New Roman" w:hAnsi="Times New Roman"/>
        </w:rPr>
        <w:t>evi</w:t>
      </w:r>
      <w:r w:rsidRPr="00155F80">
        <w:rPr>
          <w:rFonts w:ascii="Times New Roman" w:hAnsi="Times New Roman"/>
          <w:lang w:val="hr-HR"/>
        </w:rPr>
        <w:t xml:space="preserve"> </w:t>
      </w:r>
      <w:r w:rsidRPr="00155F80">
        <w:rPr>
          <w:rFonts w:ascii="Times New Roman" w:hAnsi="Times New Roman"/>
        </w:rPr>
        <w:t>uginulih</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eutanaziranih</w:t>
      </w:r>
      <w:r w:rsidRPr="00155F80">
        <w:rPr>
          <w:rFonts w:ascii="Times New Roman" w:hAnsi="Times New Roman"/>
          <w:lang w:val="hr-HR"/>
        </w:rPr>
        <w:t xml:space="preserve"> ž</w:t>
      </w:r>
      <w:r w:rsidRPr="00155F80">
        <w:rPr>
          <w:rFonts w:ascii="Times New Roman" w:hAnsi="Times New Roman"/>
        </w:rPr>
        <w:t>ivotinja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posebno</w:t>
      </w:r>
      <w:r w:rsidRPr="00155F80">
        <w:rPr>
          <w:rFonts w:ascii="Times New Roman" w:hAnsi="Times New Roman"/>
          <w:lang w:val="hr-HR"/>
        </w:rPr>
        <w:t xml:space="preserve"> </w:t>
      </w:r>
      <w:r w:rsidRPr="00155F80">
        <w:rPr>
          <w:rFonts w:ascii="Times New Roman" w:hAnsi="Times New Roman"/>
        </w:rPr>
        <w:t>izgra</w:t>
      </w:r>
      <w:r w:rsidRPr="00155F80">
        <w:rPr>
          <w:rFonts w:ascii="Times New Roman" w:hAnsi="Times New Roman"/>
          <w:lang w:val="hr-HR"/>
        </w:rPr>
        <w:t>đ</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jame</w:t>
      </w:r>
      <w:r w:rsidRPr="00155F80">
        <w:rPr>
          <w:rFonts w:ascii="Times New Roman" w:hAnsi="Times New Roman"/>
          <w:lang w:val="hr-HR"/>
        </w:rPr>
        <w:t>-</w:t>
      </w:r>
      <w:r w:rsidRPr="00155F80">
        <w:rPr>
          <w:rFonts w:ascii="Times New Roman" w:hAnsi="Times New Roman"/>
        </w:rPr>
        <w:t>grobnice</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druge</w:t>
      </w:r>
      <w:r w:rsidRPr="00155F80">
        <w:rPr>
          <w:rFonts w:ascii="Times New Roman" w:hAnsi="Times New Roman"/>
          <w:lang w:val="hr-HR"/>
        </w:rPr>
        <w:t xml:space="preserve"> </w:t>
      </w:r>
      <w:r w:rsidRPr="00155F80">
        <w:rPr>
          <w:rFonts w:ascii="Times New Roman" w:hAnsi="Times New Roman"/>
        </w:rPr>
        <w:t>strane</w:t>
      </w:r>
      <w:r w:rsidRPr="00155F80">
        <w:rPr>
          <w:rFonts w:ascii="Times New Roman" w:hAnsi="Times New Roman"/>
          <w:lang w:val="hr-HR"/>
        </w:rPr>
        <w:t xml:space="preserve">, </w:t>
      </w:r>
      <w:r w:rsidRPr="00155F80">
        <w:rPr>
          <w:rFonts w:ascii="Times New Roman" w:hAnsi="Times New Roman"/>
        </w:rPr>
        <w:t>medicinski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uglavnom</w:t>
      </w:r>
      <w:r w:rsidRPr="00155F80">
        <w:rPr>
          <w:rFonts w:ascii="Times New Roman" w:hAnsi="Times New Roman"/>
          <w:lang w:val="hr-HR"/>
        </w:rPr>
        <w:t xml:space="preserve"> </w:t>
      </w:r>
      <w:r w:rsidRPr="00155F80">
        <w:rPr>
          <w:rFonts w:ascii="Times New Roman" w:hAnsi="Times New Roman"/>
        </w:rPr>
        <w:t>dobro</w:t>
      </w:r>
      <w:r w:rsidRPr="00155F80">
        <w:rPr>
          <w:rFonts w:ascii="Times New Roman" w:hAnsi="Times New Roman"/>
          <w:lang w:val="hr-HR"/>
        </w:rPr>
        <w:t xml:space="preserve"> </w:t>
      </w:r>
      <w:r w:rsidRPr="00155F80">
        <w:rPr>
          <w:rFonts w:ascii="Times New Roman" w:hAnsi="Times New Roman"/>
        </w:rPr>
        <w:t>rije</w:t>
      </w:r>
      <w:r w:rsidRPr="00155F80">
        <w:rPr>
          <w:rFonts w:ascii="Times New Roman" w:hAnsi="Times New Roman"/>
          <w:lang w:val="hr-HR"/>
        </w:rPr>
        <w:t>š</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potrebno</w:t>
      </w:r>
      <w:r w:rsidRPr="00155F80">
        <w:rPr>
          <w:rFonts w:ascii="Times New Roman" w:hAnsi="Times New Roman"/>
          <w:lang w:val="hr-HR"/>
        </w:rPr>
        <w:t xml:space="preserve"> </w:t>
      </w:r>
      <w:r w:rsidRPr="00155F80">
        <w:rPr>
          <w:rFonts w:ascii="Times New Roman" w:hAnsi="Times New Roman"/>
        </w:rPr>
        <w:t>sve</w:t>
      </w:r>
      <w:r w:rsidRPr="00155F80">
        <w:rPr>
          <w:rFonts w:ascii="Times New Roman" w:hAnsi="Times New Roman"/>
          <w:lang w:val="hr-HR"/>
        </w:rPr>
        <w:t xml:space="preserve"> </w:t>
      </w:r>
      <w:r w:rsidRPr="00155F80">
        <w:rPr>
          <w:rFonts w:ascii="Times New Roman" w:hAnsi="Times New Roman"/>
        </w:rPr>
        <w:t>zdravstvene</w:t>
      </w:r>
      <w:r w:rsidRPr="00155F80">
        <w:rPr>
          <w:rFonts w:ascii="Times New Roman" w:hAnsi="Times New Roman"/>
          <w:lang w:val="hr-HR"/>
        </w:rPr>
        <w:t xml:space="preserve"> </w:t>
      </w:r>
      <w:r w:rsidRPr="00155F80">
        <w:rPr>
          <w:rFonts w:ascii="Times New Roman" w:hAnsi="Times New Roman"/>
        </w:rPr>
        <w:t>ustanove</w:t>
      </w:r>
      <w:r w:rsidRPr="00155F80">
        <w:rPr>
          <w:rFonts w:ascii="Times New Roman" w:hAnsi="Times New Roman"/>
          <w:lang w:val="hr-HR"/>
        </w:rPr>
        <w:t xml:space="preserve"> </w:t>
      </w:r>
      <w:r w:rsidRPr="00155F80">
        <w:rPr>
          <w:rFonts w:ascii="Times New Roman" w:hAnsi="Times New Roman"/>
        </w:rPr>
        <w:t>uklju</w:t>
      </w:r>
      <w:r w:rsidRPr="00155F80">
        <w:rPr>
          <w:rFonts w:ascii="Times New Roman" w:hAnsi="Times New Roman"/>
          <w:lang w:val="hr-HR"/>
        </w:rPr>
        <w:t>č</w:t>
      </w:r>
      <w:r w:rsidRPr="00155F80">
        <w:rPr>
          <w:rFonts w:ascii="Times New Roman" w:hAnsi="Times New Roman"/>
        </w:rPr>
        <w:t>iti</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organiz</w:t>
      </w:r>
      <w:r w:rsidR="0085238E">
        <w:rPr>
          <w:rFonts w:ascii="Times New Roman" w:hAnsi="Times New Roman"/>
        </w:rPr>
        <w:t>ira</w:t>
      </w:r>
      <w:r w:rsidRPr="00155F80">
        <w:rPr>
          <w:rFonts w:ascii="Times New Roman" w:hAnsi="Times New Roman"/>
        </w:rPr>
        <w:t>ni</w:t>
      </w:r>
      <w:r w:rsidRPr="00155F80">
        <w:rPr>
          <w:rFonts w:ascii="Times New Roman" w:hAnsi="Times New Roman"/>
          <w:lang w:val="hr-HR"/>
        </w:rPr>
        <w:t xml:space="preserve"> </w:t>
      </w:r>
      <w:r w:rsidR="00512E30">
        <w:rPr>
          <w:rFonts w:ascii="Times New Roman" w:hAnsi="Times New Roman"/>
        </w:rPr>
        <w:t>sistem</w:t>
      </w:r>
      <w:r w:rsidRPr="00155F80">
        <w:rPr>
          <w:rFonts w:ascii="Times New Roman" w:hAnsi="Times New Roman"/>
          <w:lang w:val="hr-HR"/>
        </w:rPr>
        <w:t xml:space="preserve"> </w:t>
      </w:r>
      <w:r w:rsidRPr="00155F80">
        <w:rPr>
          <w:rFonts w:ascii="Times New Roman" w:hAnsi="Times New Roman"/>
        </w:rPr>
        <w:t>zbrinjavanja</w:t>
      </w:r>
      <w:r w:rsidRPr="00155F80">
        <w:rPr>
          <w:rFonts w:ascii="Times New Roman" w:hAnsi="Times New Roman"/>
          <w:lang w:val="hr-HR"/>
        </w:rPr>
        <w:t xml:space="preserve"> </w:t>
      </w:r>
      <w:r w:rsidRPr="00155F80">
        <w:rPr>
          <w:rFonts w:ascii="Times New Roman" w:hAnsi="Times New Roman"/>
        </w:rPr>
        <w:t>ovog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000E56ED">
        <w:rPr>
          <w:rFonts w:ascii="Times New Roman" w:hAnsi="Times New Roman"/>
          <w:lang w:val="hr-HR"/>
        </w:rPr>
        <w:t>vezi</w:t>
      </w:r>
      <w:r w:rsidRPr="00155F80">
        <w:rPr>
          <w:rFonts w:ascii="Times New Roman" w:hAnsi="Times New Roman"/>
          <w:lang w:val="hr-HR"/>
        </w:rPr>
        <w:t xml:space="preserve">, </w:t>
      </w:r>
      <w:r w:rsidRPr="00155F80">
        <w:rPr>
          <w:rFonts w:ascii="Times New Roman" w:hAnsi="Times New Roman"/>
        </w:rPr>
        <w:t>svaka</w:t>
      </w:r>
      <w:r w:rsidRPr="00155F80">
        <w:rPr>
          <w:rFonts w:ascii="Times New Roman" w:hAnsi="Times New Roman"/>
          <w:lang w:val="hr-HR"/>
        </w:rPr>
        <w:t xml:space="preserve"> </w:t>
      </w:r>
      <w:r w:rsidRPr="00155F80">
        <w:rPr>
          <w:rFonts w:ascii="Times New Roman" w:hAnsi="Times New Roman"/>
        </w:rPr>
        <w:t>zdravstvena</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ima</w:t>
      </w:r>
      <w:r w:rsidRPr="00155F80">
        <w:rPr>
          <w:rFonts w:ascii="Times New Roman" w:hAnsi="Times New Roman"/>
          <w:lang w:val="hr-HR"/>
        </w:rPr>
        <w:t xml:space="preserve"> </w:t>
      </w:r>
      <w:r w:rsidR="000E56ED">
        <w:rPr>
          <w:rFonts w:ascii="Times New Roman" w:hAnsi="Times New Roman"/>
        </w:rPr>
        <w:t>obavezu</w:t>
      </w:r>
      <w:r w:rsidRPr="00155F80">
        <w:rPr>
          <w:rFonts w:ascii="Times New Roman" w:hAnsi="Times New Roman"/>
          <w:lang w:val="hr-HR"/>
        </w:rPr>
        <w:t xml:space="preserve"> </w:t>
      </w:r>
      <w:r w:rsidRPr="00155F80">
        <w:rPr>
          <w:rFonts w:ascii="Times New Roman" w:hAnsi="Times New Roman"/>
        </w:rPr>
        <w:t>pripremiti</w:t>
      </w:r>
      <w:r w:rsidRPr="00155F80">
        <w:rPr>
          <w:rFonts w:ascii="Times New Roman" w:hAnsi="Times New Roman"/>
          <w:lang w:val="hr-HR"/>
        </w:rPr>
        <w:t xml:space="preserve"> </w:t>
      </w:r>
      <w:r w:rsidRPr="00155F80">
        <w:rPr>
          <w:rFonts w:ascii="Times New Roman" w:hAnsi="Times New Roman"/>
        </w:rPr>
        <w:t>plan</w:t>
      </w:r>
      <w:r w:rsidRPr="00155F80">
        <w:rPr>
          <w:rFonts w:ascii="Times New Roman" w:hAnsi="Times New Roman"/>
          <w:lang w:val="hr-HR"/>
        </w:rPr>
        <w:t xml:space="preserve"> </w:t>
      </w:r>
      <w:r w:rsidRPr="00155F80">
        <w:rPr>
          <w:rFonts w:ascii="Times New Roman" w:hAnsi="Times New Roman"/>
        </w:rPr>
        <w:t>upravljanja</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Sredstvima</w:t>
      </w:r>
      <w:r w:rsidRPr="00155F80">
        <w:rPr>
          <w:rFonts w:ascii="Times New Roman" w:hAnsi="Times New Roman"/>
          <w:lang w:val="hr-HR"/>
        </w:rPr>
        <w:t xml:space="preserve"> </w:t>
      </w:r>
      <w:r w:rsidRPr="00155F80">
        <w:rPr>
          <w:rFonts w:ascii="Times New Roman" w:hAnsi="Times New Roman"/>
        </w:rPr>
        <w:t>Svjetske</w:t>
      </w:r>
      <w:r w:rsidRPr="00155F80">
        <w:rPr>
          <w:rFonts w:ascii="Times New Roman" w:hAnsi="Times New Roman"/>
          <w:lang w:val="hr-HR"/>
        </w:rPr>
        <w:t xml:space="preserve"> </w:t>
      </w:r>
      <w:r w:rsidRPr="00155F80">
        <w:rPr>
          <w:rFonts w:ascii="Times New Roman" w:hAnsi="Times New Roman"/>
        </w:rPr>
        <w:t>banke</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Zeni</w:t>
      </w:r>
      <w:r w:rsidRPr="00155F80">
        <w:rPr>
          <w:rFonts w:ascii="Times New Roman" w:hAnsi="Times New Roman"/>
          <w:lang w:val="hr-HR"/>
        </w:rPr>
        <w:t>č</w:t>
      </w:r>
      <w:r w:rsidRPr="00155F80">
        <w:rPr>
          <w:rFonts w:ascii="Times New Roman" w:hAnsi="Times New Roman"/>
        </w:rPr>
        <w:t>ko</w:t>
      </w:r>
      <w:r w:rsidRPr="00155F80">
        <w:rPr>
          <w:rFonts w:ascii="Times New Roman" w:hAnsi="Times New Roman"/>
          <w:lang w:val="hr-HR"/>
        </w:rPr>
        <w:t>-</w:t>
      </w:r>
      <w:r w:rsidRPr="00155F80">
        <w:rPr>
          <w:rFonts w:ascii="Times New Roman" w:hAnsi="Times New Roman"/>
        </w:rPr>
        <w:t>dobojskom</w:t>
      </w:r>
      <w:r w:rsidRPr="00155F80">
        <w:rPr>
          <w:rFonts w:ascii="Times New Roman" w:hAnsi="Times New Roman"/>
          <w:lang w:val="hr-HR"/>
        </w:rPr>
        <w:t xml:space="preserve"> </w:t>
      </w:r>
      <w:r w:rsidRPr="00155F80">
        <w:rPr>
          <w:rFonts w:ascii="Times New Roman" w:hAnsi="Times New Roman"/>
        </w:rPr>
        <w:t>Kantonu</w:t>
      </w:r>
      <w:r w:rsidRPr="00155F80">
        <w:rPr>
          <w:rFonts w:ascii="Times New Roman" w:hAnsi="Times New Roman"/>
          <w:lang w:val="hr-HR"/>
        </w:rPr>
        <w:t xml:space="preserve"> </w:t>
      </w:r>
      <w:r w:rsidRPr="00155F80">
        <w:rPr>
          <w:rFonts w:ascii="Times New Roman" w:hAnsi="Times New Roman"/>
        </w:rPr>
        <w:t>izgra</w:t>
      </w:r>
      <w:r w:rsidRPr="00155F80">
        <w:rPr>
          <w:rFonts w:ascii="Times New Roman" w:hAnsi="Times New Roman"/>
          <w:lang w:val="hr-HR"/>
        </w:rPr>
        <w:t>đ</w:t>
      </w:r>
      <w:r w:rsidRPr="00155F80">
        <w:rPr>
          <w:rFonts w:ascii="Times New Roman" w:hAnsi="Times New Roman"/>
        </w:rPr>
        <w:t>en</w:t>
      </w:r>
      <w:r w:rsidR="0085238E">
        <w:rPr>
          <w:rFonts w:ascii="Times New Roman" w:hAnsi="Times New Roman"/>
        </w:rPr>
        <w:t>o</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regionalna</w:t>
      </w:r>
      <w:r w:rsidRPr="00155F80">
        <w:rPr>
          <w:rFonts w:ascii="Times New Roman" w:hAnsi="Times New Roman"/>
          <w:lang w:val="hr-HR"/>
        </w:rPr>
        <w:t xml:space="preserve"> </w:t>
      </w:r>
      <w:r w:rsidR="0085238E">
        <w:rPr>
          <w:rFonts w:ascii="Times New Roman" w:hAnsi="Times New Roman"/>
        </w:rPr>
        <w:t>odlagalište</w:t>
      </w:r>
      <w:r w:rsidRPr="00155F80">
        <w:rPr>
          <w:rFonts w:ascii="Times New Roman" w:hAnsi="Times New Roman"/>
          <w:lang w:val="hr-HR"/>
        </w:rPr>
        <w:t xml:space="preserve"> </w:t>
      </w:r>
      <w:r w:rsidRPr="00155F80">
        <w:rPr>
          <w:rFonts w:ascii="Times New Roman" w:hAnsi="Times New Roman"/>
        </w:rPr>
        <w:t>koj</w:t>
      </w:r>
      <w:r w:rsidR="0085238E">
        <w:rPr>
          <w:rFonts w:ascii="Times New Roman" w:hAnsi="Times New Roman"/>
        </w:rPr>
        <w:t>i</w:t>
      </w:r>
      <w:r w:rsidRPr="00155F80">
        <w:rPr>
          <w:rFonts w:ascii="Times New Roman" w:hAnsi="Times New Roman"/>
        </w:rPr>
        <w:t>m</w:t>
      </w:r>
      <w:r w:rsidRPr="00155F80">
        <w:rPr>
          <w:rFonts w:ascii="Times New Roman" w:hAnsi="Times New Roman"/>
          <w:lang w:val="hr-HR"/>
        </w:rPr>
        <w:t xml:space="preserve"> </w:t>
      </w:r>
      <w:r w:rsidRPr="00155F80">
        <w:rPr>
          <w:rFonts w:ascii="Times New Roman" w:hAnsi="Times New Roman"/>
        </w:rPr>
        <w:t>upravlja</w:t>
      </w:r>
      <w:r w:rsidRPr="00155F80">
        <w:rPr>
          <w:rFonts w:ascii="Times New Roman" w:hAnsi="Times New Roman"/>
          <w:lang w:val="hr-HR"/>
        </w:rPr>
        <w:t xml:space="preserve"> </w:t>
      </w:r>
      <w:r w:rsidRPr="00155F80">
        <w:rPr>
          <w:rFonts w:ascii="Times New Roman" w:hAnsi="Times New Roman"/>
        </w:rPr>
        <w:t>Javno</w:t>
      </w:r>
      <w:r w:rsidRPr="00155F80">
        <w:rPr>
          <w:rFonts w:ascii="Times New Roman" w:hAnsi="Times New Roman"/>
          <w:lang w:val="hr-HR"/>
        </w:rPr>
        <w:t xml:space="preserve"> </w:t>
      </w:r>
      <w:r w:rsidRPr="00155F80">
        <w:rPr>
          <w:rFonts w:ascii="Times New Roman" w:hAnsi="Times New Roman"/>
        </w:rPr>
        <w:t>p</w:t>
      </w:r>
      <w:r w:rsidR="0085238E">
        <w:rPr>
          <w:rFonts w:ascii="Times New Roman" w:hAnsi="Times New Roman"/>
        </w:rPr>
        <w:t>o</w:t>
      </w:r>
      <w:r w:rsidRPr="00155F80">
        <w:rPr>
          <w:rFonts w:ascii="Times New Roman" w:hAnsi="Times New Roman"/>
        </w:rPr>
        <w:t>duze</w:t>
      </w:r>
      <w:r w:rsidRPr="00155F80">
        <w:rPr>
          <w:rFonts w:ascii="Times New Roman" w:hAnsi="Times New Roman"/>
          <w:lang w:val="hr-HR"/>
        </w:rPr>
        <w:t>ć</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Mo</w:t>
      </w:r>
      <w:r w:rsidRPr="00155F80">
        <w:rPr>
          <w:rFonts w:ascii="Times New Roman" w:hAnsi="Times New Roman"/>
          <w:lang w:val="hr-HR"/>
        </w:rPr>
        <w:t>šć</w:t>
      </w:r>
      <w:r w:rsidRPr="00155F80">
        <w:rPr>
          <w:rFonts w:ascii="Times New Roman" w:hAnsi="Times New Roman"/>
        </w:rPr>
        <w:t>anica</w:t>
      </w:r>
      <w:r w:rsidRPr="00155F80">
        <w:rPr>
          <w:rFonts w:ascii="Times New Roman" w:hAnsi="Times New Roman"/>
          <w:lang w:val="hr-HR"/>
        </w:rPr>
        <w:t xml:space="preserve"> </w:t>
      </w:r>
      <w:r w:rsidRPr="00155F80">
        <w:rPr>
          <w:rFonts w:ascii="Times New Roman" w:hAnsi="Times New Roman"/>
        </w:rPr>
        <w:t>d</w:t>
      </w:r>
      <w:r w:rsidRPr="00155F80">
        <w:rPr>
          <w:rFonts w:ascii="Times New Roman" w:hAnsi="Times New Roman"/>
          <w:lang w:val="hr-HR"/>
        </w:rPr>
        <w:t>.</w:t>
      </w:r>
      <w:r w:rsidRPr="00155F80">
        <w:rPr>
          <w:rFonts w:ascii="Times New Roman" w:hAnsi="Times New Roman"/>
        </w:rPr>
        <w:t>o</w:t>
      </w:r>
      <w:r w:rsidRPr="00155F80">
        <w:rPr>
          <w:rFonts w:ascii="Times New Roman" w:hAnsi="Times New Roman"/>
          <w:lang w:val="hr-HR"/>
        </w:rPr>
        <w:t>.</w:t>
      </w:r>
      <w:r w:rsidRPr="00155F80">
        <w:rPr>
          <w:rFonts w:ascii="Times New Roman" w:hAnsi="Times New Roman"/>
        </w:rPr>
        <w:t>o</w:t>
      </w:r>
      <w:r w:rsidRPr="00155F80">
        <w:rPr>
          <w:rFonts w:ascii="Times New Roman" w:hAnsi="Times New Roman"/>
          <w:lang w:val="hr-HR"/>
        </w:rPr>
        <w:t xml:space="preserve">. </w:t>
      </w:r>
      <w:r w:rsidR="0085238E">
        <w:rPr>
          <w:rFonts w:ascii="Times New Roman" w:hAnsi="Times New Roman"/>
        </w:rPr>
        <w:t>Odlagalište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po</w:t>
      </w:r>
      <w:r w:rsidRPr="00155F80">
        <w:rPr>
          <w:rFonts w:ascii="Times New Roman" w:hAnsi="Times New Roman"/>
          <w:lang w:val="hr-HR"/>
        </w:rPr>
        <w:t>č</w:t>
      </w:r>
      <w:r w:rsidRPr="00155F80">
        <w:rPr>
          <w:rFonts w:ascii="Times New Roman" w:hAnsi="Times New Roman"/>
        </w:rPr>
        <w:t>el</w:t>
      </w:r>
      <w:r w:rsidR="0085238E">
        <w:rPr>
          <w:rFonts w:ascii="Times New Roman" w:hAnsi="Times New Roman"/>
        </w:rPr>
        <w:t>o</w:t>
      </w:r>
      <w:r w:rsidRPr="00155F80">
        <w:rPr>
          <w:rFonts w:ascii="Times New Roman" w:hAnsi="Times New Roman"/>
          <w:lang w:val="hr-HR"/>
        </w:rPr>
        <w:t xml:space="preserve">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radom</w:t>
      </w:r>
      <w:r w:rsidRPr="00155F80">
        <w:rPr>
          <w:rFonts w:ascii="Times New Roman" w:hAnsi="Times New Roman"/>
          <w:lang w:val="hr-HR"/>
        </w:rPr>
        <w:t xml:space="preserve"> 2008.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0085238E">
        <w:rPr>
          <w:rFonts w:ascii="Times New Roman" w:hAnsi="Times New Roman"/>
        </w:rPr>
        <w:t>odlagalištu</w:t>
      </w:r>
      <w:r w:rsidRPr="00155F80">
        <w:rPr>
          <w:rFonts w:ascii="Times New Roman" w:hAnsi="Times New Roman"/>
          <w:lang w:val="hr-HR"/>
        </w:rPr>
        <w:t xml:space="preserve"> </w:t>
      </w:r>
      <w:r w:rsidR="0085238E">
        <w:rPr>
          <w:rFonts w:ascii="Times New Roman" w:hAnsi="Times New Roman"/>
          <w:lang w:val="hr-HR"/>
        </w:rPr>
        <w:t xml:space="preserve">se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iz</w:t>
      </w:r>
      <w:r w:rsidRPr="00155F80">
        <w:rPr>
          <w:rFonts w:ascii="Times New Roman" w:hAnsi="Times New Roman"/>
          <w:lang w:val="hr-HR"/>
        </w:rPr>
        <w:t xml:space="preserve"> 6 </w:t>
      </w:r>
      <w:r w:rsidR="00CB080B">
        <w:rPr>
          <w:rFonts w:ascii="Times New Roman" w:hAnsi="Times New Roman"/>
        </w:rPr>
        <w:t>opšti</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Zenica</w:t>
      </w:r>
      <w:r w:rsidRPr="00155F80">
        <w:rPr>
          <w:rFonts w:ascii="Times New Roman" w:hAnsi="Times New Roman"/>
          <w:lang w:val="hr-HR"/>
        </w:rPr>
        <w:t xml:space="preserve">, </w:t>
      </w:r>
      <w:r w:rsidRPr="00155F80">
        <w:rPr>
          <w:rFonts w:ascii="Times New Roman" w:hAnsi="Times New Roman"/>
        </w:rPr>
        <w:t>Travnik</w:t>
      </w:r>
      <w:r w:rsidRPr="00155F80">
        <w:rPr>
          <w:rFonts w:ascii="Times New Roman" w:hAnsi="Times New Roman"/>
          <w:lang w:val="hr-HR"/>
        </w:rPr>
        <w:t>, Ž</w:t>
      </w:r>
      <w:r w:rsidRPr="00155F80">
        <w:rPr>
          <w:rFonts w:ascii="Times New Roman" w:hAnsi="Times New Roman"/>
        </w:rPr>
        <w:t>ep</w:t>
      </w:r>
      <w:r w:rsidRPr="00155F80">
        <w:rPr>
          <w:rFonts w:ascii="Times New Roman" w:hAnsi="Times New Roman"/>
          <w:lang w:val="hr-HR"/>
        </w:rPr>
        <w:t>č</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Busova</w:t>
      </w:r>
      <w:r w:rsidRPr="00155F80">
        <w:rPr>
          <w:rFonts w:ascii="Times New Roman" w:hAnsi="Times New Roman"/>
          <w:lang w:val="hr-HR"/>
        </w:rPr>
        <w:t>č</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Visoko</w:t>
      </w:r>
      <w:r w:rsidRPr="00155F80">
        <w:rPr>
          <w:rFonts w:ascii="Times New Roman" w:hAnsi="Times New Roman"/>
          <w:lang w:val="hr-HR"/>
        </w:rPr>
        <w:t xml:space="preserve">, </w:t>
      </w:r>
      <w:r w:rsidRPr="00155F80">
        <w:rPr>
          <w:rFonts w:ascii="Times New Roman" w:hAnsi="Times New Roman"/>
        </w:rPr>
        <w:t>te</w:t>
      </w:r>
      <w:r w:rsidRPr="00155F80">
        <w:rPr>
          <w:rFonts w:ascii="Times New Roman" w:hAnsi="Times New Roman"/>
          <w:lang w:val="hr-HR"/>
        </w:rPr>
        <w:t xml:space="preserve"> </w:t>
      </w:r>
      <w:r w:rsidR="00CB080B">
        <w:rPr>
          <w:rFonts w:ascii="Times New Roman" w:hAnsi="Times New Roman"/>
        </w:rPr>
        <w:t>opšti</w:t>
      </w:r>
      <w:r w:rsidRPr="00155F80">
        <w:rPr>
          <w:rFonts w:ascii="Times New Roman" w:hAnsi="Times New Roman"/>
        </w:rPr>
        <w:t>ne</w:t>
      </w:r>
      <w:r w:rsidRPr="00155F80">
        <w:rPr>
          <w:rFonts w:ascii="Times New Roman" w:hAnsi="Times New Roman"/>
          <w:lang w:val="hr-HR"/>
        </w:rPr>
        <w:t xml:space="preserve"> </w:t>
      </w:r>
      <w:r w:rsidRPr="00155F80">
        <w:rPr>
          <w:rFonts w:ascii="Times New Roman" w:hAnsi="Times New Roman"/>
        </w:rPr>
        <w:t>Bugojno</w:t>
      </w:r>
      <w:r w:rsidRPr="00155F80">
        <w:rPr>
          <w:rFonts w:ascii="Times New Roman" w:hAnsi="Times New Roman"/>
          <w:lang w:val="hr-HR"/>
        </w:rPr>
        <w:t xml:space="preserve"> </w:t>
      </w:r>
      <w:r w:rsidRPr="00155F80">
        <w:rPr>
          <w:rFonts w:ascii="Times New Roman" w:hAnsi="Times New Roman"/>
        </w:rPr>
        <w:t>koja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povremeno</w:t>
      </w:r>
      <w:r w:rsidRPr="00155F80">
        <w:rPr>
          <w:rFonts w:ascii="Times New Roman" w:hAnsi="Times New Roman"/>
          <w:lang w:val="hr-HR"/>
        </w:rPr>
        <w:t xml:space="preserve">. </w:t>
      </w:r>
      <w:r w:rsidRPr="00155F80">
        <w:rPr>
          <w:rFonts w:ascii="Times New Roman" w:hAnsi="Times New Roman"/>
        </w:rPr>
        <w:t>Djelomi</w:t>
      </w:r>
      <w:r w:rsidRPr="00155F80">
        <w:rPr>
          <w:rFonts w:ascii="Times New Roman" w:hAnsi="Times New Roman"/>
          <w:lang w:val="hr-HR"/>
        </w:rPr>
        <w:t>č</w:t>
      </w:r>
      <w:r w:rsidRPr="00155F80">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ure</w:t>
      </w:r>
      <w:r w:rsidRPr="00155F80">
        <w:rPr>
          <w:rFonts w:ascii="Times New Roman" w:hAnsi="Times New Roman"/>
          <w:lang w:val="hr-HR"/>
        </w:rPr>
        <w:t>đ</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deponije</w:t>
      </w:r>
      <w:r w:rsidRPr="00155F80">
        <w:rPr>
          <w:rFonts w:ascii="Times New Roman" w:hAnsi="Times New Roman"/>
          <w:lang w:val="hr-HR"/>
        </w:rPr>
        <w:t xml:space="preserve"> </w:t>
      </w:r>
      <w:r w:rsidR="00CB080B">
        <w:rPr>
          <w:rFonts w:ascii="Times New Roman" w:hAnsi="Times New Roman"/>
        </w:rPr>
        <w:t>opšti</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Srebrenik</w:t>
      </w:r>
      <w:r w:rsidRPr="00155F80">
        <w:rPr>
          <w:rFonts w:ascii="Times New Roman" w:hAnsi="Times New Roman"/>
          <w:lang w:val="hr-HR"/>
        </w:rPr>
        <w:t xml:space="preserve">, </w:t>
      </w:r>
      <w:r w:rsidRPr="00155F80">
        <w:rPr>
          <w:rFonts w:ascii="Times New Roman" w:hAnsi="Times New Roman"/>
        </w:rPr>
        <w:t>Te</w:t>
      </w:r>
      <w:r w:rsidRPr="00155F80">
        <w:rPr>
          <w:rFonts w:ascii="Times New Roman" w:hAnsi="Times New Roman"/>
          <w:lang w:val="hr-HR"/>
        </w:rPr>
        <w:t>š</w:t>
      </w:r>
      <w:r w:rsidRPr="00155F80">
        <w:rPr>
          <w:rFonts w:ascii="Times New Roman" w:hAnsi="Times New Roman"/>
        </w:rPr>
        <w:t>anj</w:t>
      </w:r>
      <w:r w:rsidRPr="00155F80">
        <w:rPr>
          <w:rFonts w:ascii="Times New Roman" w:hAnsi="Times New Roman"/>
          <w:lang w:val="hr-HR"/>
        </w:rPr>
        <w:t xml:space="preserve">, </w:t>
      </w:r>
      <w:r w:rsidRPr="00155F80">
        <w:rPr>
          <w:rFonts w:ascii="Times New Roman" w:hAnsi="Times New Roman"/>
        </w:rPr>
        <w:t>Bosanska</w:t>
      </w:r>
      <w:r w:rsidRPr="00155F80">
        <w:rPr>
          <w:rFonts w:ascii="Times New Roman" w:hAnsi="Times New Roman"/>
          <w:lang w:val="hr-HR"/>
        </w:rPr>
        <w:t xml:space="preserve"> </w:t>
      </w:r>
      <w:r w:rsidRPr="00155F80">
        <w:rPr>
          <w:rFonts w:ascii="Times New Roman" w:hAnsi="Times New Roman"/>
        </w:rPr>
        <w:t>Krupa</w:t>
      </w:r>
      <w:r w:rsidRPr="00155F80">
        <w:rPr>
          <w:rFonts w:ascii="Times New Roman" w:hAnsi="Times New Roman"/>
          <w:lang w:val="hr-HR"/>
        </w:rPr>
        <w:t xml:space="preserve"> (</w:t>
      </w:r>
      <w:r w:rsidRPr="00155F80">
        <w:rPr>
          <w:rFonts w:ascii="Times New Roman" w:hAnsi="Times New Roman"/>
        </w:rPr>
        <w:t>Krivodol</w:t>
      </w:r>
      <w:r w:rsidRPr="00155F80">
        <w:rPr>
          <w:rFonts w:ascii="Times New Roman" w:hAnsi="Times New Roman"/>
          <w:lang w:val="hr-HR"/>
        </w:rPr>
        <w:t xml:space="preserve">), </w:t>
      </w:r>
      <w:r w:rsidRPr="00155F80">
        <w:rPr>
          <w:rFonts w:ascii="Times New Roman" w:hAnsi="Times New Roman"/>
        </w:rPr>
        <w:t>Mostar</w:t>
      </w:r>
      <w:r w:rsidRPr="00155F80">
        <w:rPr>
          <w:rFonts w:ascii="Times New Roman" w:hAnsi="Times New Roman"/>
          <w:lang w:val="hr-HR"/>
        </w:rPr>
        <w:t xml:space="preserve"> (</w:t>
      </w:r>
      <w:r w:rsidRPr="00155F80">
        <w:rPr>
          <w:rFonts w:ascii="Times New Roman" w:hAnsi="Times New Roman"/>
        </w:rPr>
        <w:t>Uborak</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Gornji</w:t>
      </w:r>
      <w:r w:rsidRPr="00155F80">
        <w:rPr>
          <w:rFonts w:ascii="Times New Roman" w:hAnsi="Times New Roman"/>
          <w:lang w:val="hr-HR"/>
        </w:rPr>
        <w:t xml:space="preserve"> </w:t>
      </w:r>
      <w:r w:rsidRPr="00155F80">
        <w:rPr>
          <w:rFonts w:ascii="Times New Roman" w:hAnsi="Times New Roman"/>
        </w:rPr>
        <w:t>Vakuf</w:t>
      </w:r>
      <w:r w:rsidRPr="00155F80">
        <w:rPr>
          <w:rFonts w:ascii="Times New Roman" w:hAnsi="Times New Roman"/>
          <w:lang w:val="hr-HR"/>
        </w:rPr>
        <w:t>/</w:t>
      </w:r>
      <w:r w:rsidRPr="00155F80">
        <w:rPr>
          <w:rFonts w:ascii="Times New Roman" w:hAnsi="Times New Roman"/>
        </w:rPr>
        <w:t>Uskoplje</w:t>
      </w:r>
      <w:r w:rsidRPr="00155F80">
        <w:rPr>
          <w:rFonts w:ascii="Times New Roman" w:hAnsi="Times New Roman"/>
          <w:lang w:val="hr-HR"/>
        </w:rPr>
        <w:t>. (15)</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Na području grada Mostara prestalo je odlaganje na </w:t>
      </w:r>
      <w:r w:rsidR="0085238E">
        <w:rPr>
          <w:rFonts w:ascii="Times New Roman" w:hAnsi="Times New Roman"/>
          <w:lang w:val="hr-HR"/>
        </w:rPr>
        <w:t>odlagalište</w:t>
      </w:r>
      <w:r w:rsidRPr="00155F80">
        <w:rPr>
          <w:rFonts w:ascii="Times New Roman" w:hAnsi="Times New Roman"/>
          <w:lang w:val="hr-HR"/>
        </w:rPr>
        <w:t xml:space="preserve"> „Uborak“ koj</w:t>
      </w:r>
      <w:r w:rsidR="0085238E">
        <w:rPr>
          <w:rFonts w:ascii="Times New Roman" w:hAnsi="Times New Roman"/>
          <w:lang w:val="hr-HR"/>
        </w:rPr>
        <w:t>e</w:t>
      </w:r>
      <w:r w:rsidRPr="00155F80">
        <w:rPr>
          <w:rFonts w:ascii="Times New Roman" w:hAnsi="Times New Roman"/>
          <w:lang w:val="hr-HR"/>
        </w:rPr>
        <w:t xml:space="preserve"> je zadovoljaval</w:t>
      </w:r>
      <w:r w:rsidR="0085238E">
        <w:rPr>
          <w:rFonts w:ascii="Times New Roman" w:hAnsi="Times New Roman"/>
          <w:lang w:val="hr-HR"/>
        </w:rPr>
        <w:t>o</w:t>
      </w:r>
      <w:r w:rsidRPr="00155F80">
        <w:rPr>
          <w:rFonts w:ascii="Times New Roman" w:hAnsi="Times New Roman"/>
          <w:lang w:val="hr-HR"/>
        </w:rPr>
        <w:t xml:space="preserve"> osnovne kriterijume sanitarn</w:t>
      </w:r>
      <w:r w:rsidR="0085238E">
        <w:rPr>
          <w:rFonts w:ascii="Times New Roman" w:hAnsi="Times New Roman"/>
          <w:lang w:val="hr-HR"/>
        </w:rPr>
        <w:t>og odlagališta</w:t>
      </w:r>
      <w:r w:rsidRPr="00155F80">
        <w:rPr>
          <w:rFonts w:ascii="Times New Roman" w:hAnsi="Times New Roman"/>
          <w:lang w:val="hr-HR"/>
        </w:rPr>
        <w:t xml:space="preserve"> za komunalni otpad. Od </w:t>
      </w:r>
      <w:r w:rsidR="0085238E">
        <w:rPr>
          <w:rFonts w:ascii="Times New Roman" w:hAnsi="Times New Roman"/>
          <w:lang w:val="hr-HR"/>
        </w:rPr>
        <w:t>rujna</w:t>
      </w:r>
      <w:r w:rsidRPr="00155F80">
        <w:rPr>
          <w:rFonts w:ascii="Times New Roman" w:hAnsi="Times New Roman"/>
          <w:lang w:val="hr-HR"/>
        </w:rPr>
        <w:t xml:space="preserve"> 2014. godine, komunalni otpad se odlaže na nov</w:t>
      </w:r>
      <w:r w:rsidR="0085238E">
        <w:rPr>
          <w:rFonts w:ascii="Times New Roman" w:hAnsi="Times New Roman"/>
          <w:lang w:val="hr-HR"/>
        </w:rPr>
        <w:t>o odlagalište</w:t>
      </w:r>
      <w:r w:rsidRPr="00155F80">
        <w:rPr>
          <w:rFonts w:ascii="Times New Roman" w:hAnsi="Times New Roman"/>
          <w:lang w:val="hr-HR"/>
        </w:rPr>
        <w:t>, koja posjeduje postrojenje za odvajanje otpada koji se može koristiti kao pogonsko gorivo, najčešće u cementarama (15% od ukupnog  otpada). Od ukupne količine otpada 25% se izdvaja za reciklažu, a ostalih 60% se odlaže na uređen</w:t>
      </w:r>
      <w:r w:rsidR="0085238E">
        <w:rPr>
          <w:rFonts w:ascii="Times New Roman" w:hAnsi="Times New Roman"/>
          <w:lang w:val="hr-HR"/>
        </w:rPr>
        <w:t>o</w:t>
      </w:r>
      <w:r w:rsidRPr="00155F80">
        <w:rPr>
          <w:rFonts w:ascii="Times New Roman" w:hAnsi="Times New Roman"/>
          <w:lang w:val="hr-HR"/>
        </w:rPr>
        <w:t xml:space="preserve"> sanitarn</w:t>
      </w:r>
      <w:r w:rsidR="0085238E">
        <w:rPr>
          <w:rFonts w:ascii="Times New Roman" w:hAnsi="Times New Roman"/>
          <w:lang w:val="hr-HR"/>
        </w:rPr>
        <w:t>o odlagalište</w:t>
      </w:r>
      <w:r w:rsidRPr="00155F80">
        <w:rPr>
          <w:rFonts w:ascii="Times New Roman" w:hAnsi="Times New Roman"/>
          <w:lang w:val="hr-HR"/>
        </w:rPr>
        <w:t>. Ov</w:t>
      </w:r>
      <w:r w:rsidR="0085238E">
        <w:rPr>
          <w:rFonts w:ascii="Times New Roman" w:hAnsi="Times New Roman"/>
          <w:lang w:val="hr-HR"/>
        </w:rPr>
        <w:t>o odlagalište</w:t>
      </w:r>
      <w:r w:rsidRPr="00155F80">
        <w:rPr>
          <w:rFonts w:ascii="Times New Roman" w:hAnsi="Times New Roman"/>
          <w:lang w:val="hr-HR"/>
        </w:rPr>
        <w:t xml:space="preserve"> prihvata otpad iz Mostara i tri </w:t>
      </w:r>
      <w:r w:rsidR="00CB080B">
        <w:rPr>
          <w:rFonts w:ascii="Times New Roman" w:hAnsi="Times New Roman"/>
          <w:lang w:val="hr-HR"/>
        </w:rPr>
        <w:t>opšti</w:t>
      </w:r>
      <w:r w:rsidRPr="00155F80">
        <w:rPr>
          <w:rFonts w:ascii="Times New Roman" w:hAnsi="Times New Roman"/>
          <w:lang w:val="hr-HR"/>
        </w:rPr>
        <w:t>ne iz Zapadnohercegovačkog kantona. (11)</w:t>
      </w:r>
    </w:p>
    <w:p w:rsidR="00A131AD" w:rsidRPr="00155F80" w:rsidRDefault="00A131AD" w:rsidP="000C0138">
      <w:pPr>
        <w:spacing w:line="276" w:lineRule="auto"/>
        <w:rPr>
          <w:rStyle w:val="Emphasis"/>
          <w:rFonts w:ascii="Times New Roman" w:hAnsi="Times New Roman"/>
          <w:i w:val="0"/>
          <w:iCs w:val="0"/>
          <w:lang w:val="hr-HR"/>
        </w:rPr>
      </w:pPr>
      <w:r w:rsidRPr="00155F80">
        <w:rPr>
          <w:rFonts w:ascii="Times New Roman" w:hAnsi="Times New Roman"/>
          <w:lang w:val="pl-PL"/>
        </w:rPr>
        <w:t>Na području Federacije BiH, 57,5% stanovništva je priključeno na kanalizaci</w:t>
      </w:r>
      <w:r w:rsidR="0085238E">
        <w:rPr>
          <w:rFonts w:ascii="Times New Roman" w:hAnsi="Times New Roman"/>
          <w:lang w:val="pl-PL"/>
        </w:rPr>
        <w:t>jski</w:t>
      </w:r>
      <w:r w:rsidRPr="00155F80">
        <w:rPr>
          <w:rFonts w:ascii="Times New Roman" w:hAnsi="Times New Roman"/>
          <w:lang w:val="pl-PL"/>
        </w:rPr>
        <w:t xml:space="preserve"> </w:t>
      </w:r>
      <w:r w:rsidR="00512E30">
        <w:rPr>
          <w:rFonts w:ascii="Times New Roman" w:hAnsi="Times New Roman"/>
          <w:lang w:val="pl-PL"/>
        </w:rPr>
        <w:t>sistem</w:t>
      </w:r>
      <w:r w:rsidRPr="00155F80">
        <w:rPr>
          <w:rFonts w:ascii="Times New Roman" w:hAnsi="Times New Roman"/>
          <w:lang w:val="pl-PL"/>
        </w:rPr>
        <w:t xml:space="preserve"> (2). Nepr</w:t>
      </w:r>
      <w:r w:rsidR="0085238E">
        <w:rPr>
          <w:rFonts w:ascii="Times New Roman" w:hAnsi="Times New Roman"/>
          <w:lang w:val="pl-PL"/>
        </w:rPr>
        <w:t>o</w:t>
      </w:r>
      <w:r w:rsidRPr="00155F80">
        <w:rPr>
          <w:rFonts w:ascii="Times New Roman" w:hAnsi="Times New Roman"/>
          <w:lang w:val="pl-PL"/>
        </w:rPr>
        <w:t xml:space="preserve">čišćene otpadne vode ne ugrožavaju samo vodotoke i njihovu floru i faunu, nego i podzemne vode, što predstavlja veliki rizik po zdravlje stanovništva. Osim toga, kontroli kvaliteta voda rijeka i jezera ne posvećuje se dovoljna pažnja, što predstavlja značajan epidemiološki rizik, </w:t>
      </w:r>
      <w:r w:rsidR="0085238E">
        <w:rPr>
          <w:rFonts w:ascii="Times New Roman" w:hAnsi="Times New Roman"/>
          <w:lang w:val="pl-PL"/>
        </w:rPr>
        <w:t>osobito</w:t>
      </w:r>
      <w:r w:rsidRPr="00155F80">
        <w:rPr>
          <w:rFonts w:ascii="Times New Roman" w:hAnsi="Times New Roman"/>
          <w:lang w:val="pl-PL"/>
        </w:rPr>
        <w:t xml:space="preserve"> u ljetnim mjesecima kada je nizak vodostaj rijeka. Vode rijeka i jezera na području Federacije su </w:t>
      </w:r>
      <w:r w:rsidRPr="00155F80">
        <w:rPr>
          <w:rFonts w:ascii="Times New Roman" w:hAnsi="Times New Roman"/>
          <w:lang w:val="hr-HR"/>
        </w:rPr>
        <w:t xml:space="preserve">znatno mikrobiološki </w:t>
      </w:r>
      <w:r w:rsidR="00FE3B0D">
        <w:rPr>
          <w:rFonts w:ascii="Times New Roman" w:hAnsi="Times New Roman"/>
          <w:lang w:val="hr-HR"/>
        </w:rPr>
        <w:t>onečišćene</w:t>
      </w:r>
      <w:r w:rsidRPr="00155F80">
        <w:rPr>
          <w:rFonts w:ascii="Times New Roman" w:hAnsi="Times New Roman"/>
          <w:lang w:val="hr-HR"/>
        </w:rPr>
        <w:t>, jer većina njih služe kao recipijent za fekalne i industrijske otpadne vode. Kontrola i biološko-</w:t>
      </w:r>
      <w:r w:rsidR="0085238E">
        <w:rPr>
          <w:rFonts w:ascii="Times New Roman" w:hAnsi="Times New Roman"/>
          <w:lang w:val="hr-HR"/>
        </w:rPr>
        <w:t>k</w:t>
      </w:r>
      <w:r w:rsidRPr="00155F80">
        <w:rPr>
          <w:rFonts w:ascii="Times New Roman" w:hAnsi="Times New Roman"/>
          <w:lang w:val="hr-HR"/>
        </w:rPr>
        <w:t>emijsko pr</w:t>
      </w:r>
      <w:r w:rsidR="0085238E">
        <w:rPr>
          <w:rFonts w:ascii="Times New Roman" w:hAnsi="Times New Roman"/>
          <w:lang w:val="hr-HR"/>
        </w:rPr>
        <w:t>o</w:t>
      </w:r>
      <w:r w:rsidRPr="00155F80">
        <w:rPr>
          <w:rFonts w:ascii="Times New Roman" w:hAnsi="Times New Roman"/>
          <w:lang w:val="hr-HR"/>
        </w:rPr>
        <w:t xml:space="preserve">čišćavanje tečnih otpadnih materija koje se ispuštaju u vodotoke se ne </w:t>
      </w:r>
      <w:r w:rsidR="0085238E">
        <w:rPr>
          <w:rFonts w:ascii="Times New Roman" w:hAnsi="Times New Roman"/>
          <w:lang w:val="hr-HR"/>
        </w:rPr>
        <w:t>obavlja</w:t>
      </w:r>
      <w:r w:rsidRPr="00155F80">
        <w:rPr>
          <w:rFonts w:ascii="Times New Roman" w:hAnsi="Times New Roman"/>
          <w:lang w:val="hr-HR"/>
        </w:rPr>
        <w:t>. Fizičko-</w:t>
      </w:r>
      <w:r w:rsidR="0085238E">
        <w:rPr>
          <w:rFonts w:ascii="Times New Roman" w:hAnsi="Times New Roman"/>
          <w:lang w:val="hr-HR"/>
        </w:rPr>
        <w:t>k</w:t>
      </w:r>
      <w:r w:rsidRPr="00155F80">
        <w:rPr>
          <w:rFonts w:ascii="Times New Roman" w:hAnsi="Times New Roman"/>
          <w:lang w:val="hr-HR"/>
        </w:rPr>
        <w:t xml:space="preserve">emijske analize pokazuju da ove vode nisu opterećene značajnim količinama toksičnih materija, kao što su teški metali i organski otrovi, što je rezultat činjenice da mnogi industrijski pogoni nisu u funkciji. </w:t>
      </w:r>
      <w:r w:rsidR="00FE3B0D">
        <w:rPr>
          <w:rFonts w:ascii="Times New Roman" w:hAnsi="Times New Roman"/>
          <w:lang w:val="hr-HR"/>
        </w:rPr>
        <w:t>Onečišćenje</w:t>
      </w:r>
      <w:r w:rsidRPr="00155F80">
        <w:rPr>
          <w:rFonts w:ascii="Times New Roman" w:hAnsi="Times New Roman"/>
          <w:lang w:val="hr-HR"/>
        </w:rPr>
        <w:t xml:space="preserve"> vode pot</w:t>
      </w:r>
      <w:r w:rsidR="0085238E">
        <w:rPr>
          <w:rFonts w:ascii="Times New Roman" w:hAnsi="Times New Roman"/>
          <w:lang w:val="hr-HR"/>
        </w:rPr>
        <w:t>je</w:t>
      </w:r>
      <w:r w:rsidRPr="00155F80">
        <w:rPr>
          <w:rFonts w:ascii="Times New Roman" w:hAnsi="Times New Roman"/>
          <w:lang w:val="hr-HR"/>
        </w:rPr>
        <w:t>če uglavnom od kanalizaci</w:t>
      </w:r>
      <w:r w:rsidR="0085238E">
        <w:rPr>
          <w:rFonts w:ascii="Times New Roman" w:hAnsi="Times New Roman"/>
          <w:lang w:val="hr-HR"/>
        </w:rPr>
        <w:t>jskih</w:t>
      </w:r>
      <w:r w:rsidRPr="00155F80">
        <w:rPr>
          <w:rFonts w:ascii="Times New Roman" w:hAnsi="Times New Roman"/>
          <w:lang w:val="hr-HR"/>
        </w:rPr>
        <w:t xml:space="preserve">, tj. fekalnih voda, zbog čega se većina rijeka (npr. Zujevina, Krivaja, Jala, Miljacka,  Željeznica) ne može koristiti za rekreativne svrhe. Izuzetak je rijeka Bosna, prije ulijevanja Miljacke i Željeznice. </w:t>
      </w:r>
    </w:p>
    <w:p w:rsidR="00A131AD" w:rsidRPr="00155F80" w:rsidRDefault="00A131AD" w:rsidP="000C0138">
      <w:pPr>
        <w:spacing w:line="276" w:lineRule="auto"/>
        <w:rPr>
          <w:rFonts w:ascii="Times New Roman" w:hAnsi="Times New Roman"/>
        </w:rPr>
      </w:pPr>
      <w:r w:rsidRPr="00155F80">
        <w:rPr>
          <w:rFonts w:ascii="Times New Roman" w:hAnsi="Times New Roman"/>
        </w:rPr>
        <w:t>Do</w:t>
      </w:r>
      <w:r w:rsidRPr="00155F80">
        <w:rPr>
          <w:rFonts w:ascii="Times New Roman" w:hAnsi="Times New Roman"/>
          <w:lang w:val="hr-HR"/>
        </w:rPr>
        <w:t xml:space="preserve"> </w:t>
      </w:r>
      <w:r w:rsidRPr="00155F80">
        <w:rPr>
          <w:rFonts w:ascii="Times New Roman" w:hAnsi="Times New Roman"/>
        </w:rPr>
        <w:t>sada</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praksa</w:t>
      </w:r>
      <w:r w:rsidRPr="00155F80">
        <w:rPr>
          <w:rFonts w:ascii="Times New Roman" w:hAnsi="Times New Roman"/>
          <w:lang w:val="hr-HR"/>
        </w:rPr>
        <w:t xml:space="preserve"> </w:t>
      </w:r>
      <w:r w:rsidRPr="00155F80">
        <w:rPr>
          <w:rFonts w:ascii="Times New Roman" w:hAnsi="Times New Roman"/>
        </w:rPr>
        <w:t>zbrinjavanja</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bila</w:t>
      </w:r>
      <w:r w:rsidRPr="00155F80">
        <w:rPr>
          <w:rFonts w:ascii="Times New Roman" w:hAnsi="Times New Roman"/>
          <w:lang w:val="hr-HR"/>
        </w:rPr>
        <w:t xml:space="preserve"> </w:t>
      </w:r>
      <w:r w:rsidRPr="00155F80">
        <w:rPr>
          <w:rFonts w:ascii="Times New Roman" w:hAnsi="Times New Roman"/>
        </w:rPr>
        <w:t>usmjerena</w:t>
      </w:r>
      <w:r w:rsidRPr="00155F80">
        <w:rPr>
          <w:rFonts w:ascii="Times New Roman" w:hAnsi="Times New Roman"/>
          <w:lang w:val="hr-HR"/>
        </w:rPr>
        <w:t xml:space="preserve"> </w:t>
      </w:r>
      <w:r w:rsidRPr="00155F80">
        <w:rPr>
          <w:rFonts w:ascii="Times New Roman" w:hAnsi="Times New Roman"/>
        </w:rPr>
        <w:t>ka</w:t>
      </w:r>
      <w:r w:rsidRPr="00155F80">
        <w:rPr>
          <w:rFonts w:ascii="Times New Roman" w:hAnsi="Times New Roman"/>
          <w:lang w:val="hr-HR"/>
        </w:rPr>
        <w:t xml:space="preserve"> </w:t>
      </w:r>
      <w:r w:rsidRPr="00155F80">
        <w:rPr>
          <w:rFonts w:ascii="Times New Roman" w:hAnsi="Times New Roman"/>
        </w:rPr>
        <w:t>izvozu</w:t>
      </w:r>
      <w:r w:rsidRPr="00155F80">
        <w:rPr>
          <w:rFonts w:ascii="Times New Roman" w:hAnsi="Times New Roman"/>
          <w:lang w:val="hr-HR"/>
        </w:rPr>
        <w:t xml:space="preserve">, </w:t>
      </w:r>
      <w:r w:rsidRPr="00155F80">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prema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č</w:t>
      </w:r>
      <w:r w:rsidRPr="00155F80">
        <w:rPr>
          <w:rFonts w:ascii="Times New Roman" w:hAnsi="Times New Roman"/>
        </w:rPr>
        <w:t>elima</w:t>
      </w:r>
      <w:r w:rsidRPr="00155F80">
        <w:rPr>
          <w:rFonts w:ascii="Times New Roman" w:hAnsi="Times New Roman"/>
          <w:lang w:val="hr-HR"/>
        </w:rPr>
        <w:t xml:space="preserve"> </w:t>
      </w:r>
      <w:r w:rsidRPr="00155F80">
        <w:rPr>
          <w:rFonts w:ascii="Times New Roman" w:hAnsi="Times New Roman"/>
        </w:rPr>
        <w:t>tr</w:t>
      </w:r>
      <w:r w:rsidRPr="00155F80">
        <w:rPr>
          <w:rFonts w:ascii="Times New Roman" w:hAnsi="Times New Roman"/>
          <w:lang w:val="hr-HR"/>
        </w:rPr>
        <w:t>ž</w:t>
      </w:r>
      <w:r w:rsidRPr="00155F80">
        <w:rPr>
          <w:rFonts w:ascii="Times New Roman" w:hAnsi="Times New Roman"/>
        </w:rPr>
        <w:t>i</w:t>
      </w:r>
      <w:r w:rsidRPr="00155F80">
        <w:rPr>
          <w:rFonts w:ascii="Times New Roman" w:hAnsi="Times New Roman"/>
          <w:lang w:val="hr-HR"/>
        </w:rPr>
        <w:t>š</w:t>
      </w:r>
      <w:r w:rsidRPr="00155F80">
        <w:rPr>
          <w:rFonts w:ascii="Times New Roman" w:hAnsi="Times New Roman"/>
        </w:rPr>
        <w:t>ta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polako</w:t>
      </w:r>
      <w:r w:rsidRPr="00155F80">
        <w:rPr>
          <w:rFonts w:ascii="Times New Roman" w:hAnsi="Times New Roman"/>
          <w:lang w:val="hr-HR"/>
        </w:rPr>
        <w:t xml:space="preserve"> </w:t>
      </w:r>
      <w:r w:rsidRPr="00155F80">
        <w:rPr>
          <w:rFonts w:ascii="Times New Roman" w:hAnsi="Times New Roman"/>
        </w:rPr>
        <w:t>po</w:t>
      </w:r>
      <w:r w:rsidRPr="00155F80">
        <w:rPr>
          <w:rFonts w:ascii="Times New Roman" w:hAnsi="Times New Roman"/>
          <w:lang w:val="hr-HR"/>
        </w:rPr>
        <w:t>č</w:t>
      </w:r>
      <w:r w:rsidRPr="00155F80">
        <w:rPr>
          <w:rFonts w:ascii="Times New Roman" w:hAnsi="Times New Roman"/>
        </w:rPr>
        <w:t>inju</w:t>
      </w:r>
      <w:r w:rsidRPr="00155F80">
        <w:rPr>
          <w:rFonts w:ascii="Times New Roman" w:hAnsi="Times New Roman"/>
          <w:lang w:val="hr-HR"/>
        </w:rPr>
        <w:t xml:space="preserve"> </w:t>
      </w:r>
      <w:r w:rsidRPr="00155F80">
        <w:rPr>
          <w:rFonts w:ascii="Times New Roman" w:hAnsi="Times New Roman"/>
        </w:rPr>
        <w:t>razvijati</w:t>
      </w:r>
      <w:r w:rsidRPr="00155F80">
        <w:rPr>
          <w:rFonts w:ascii="Times New Roman" w:hAnsi="Times New Roman"/>
          <w:lang w:val="hr-HR"/>
        </w:rPr>
        <w:t xml:space="preserve"> </w:t>
      </w:r>
      <w:r w:rsidRPr="00155F80">
        <w:rPr>
          <w:rFonts w:ascii="Times New Roman" w:hAnsi="Times New Roman"/>
        </w:rPr>
        <w:t>tehni</w:t>
      </w:r>
      <w:r w:rsidRPr="00155F80">
        <w:rPr>
          <w:rFonts w:ascii="Times New Roman" w:hAnsi="Times New Roman"/>
          <w:lang w:val="hr-HR"/>
        </w:rPr>
        <w:t>č</w:t>
      </w:r>
      <w:r w:rsidRPr="00155F80">
        <w:rPr>
          <w:rFonts w:ascii="Times New Roman" w:hAnsi="Times New Roman"/>
        </w:rPr>
        <w:t>ko</w:t>
      </w:r>
      <w:r w:rsidRPr="00155F80">
        <w:rPr>
          <w:rFonts w:ascii="Times New Roman" w:hAnsi="Times New Roman"/>
          <w:lang w:val="hr-HR"/>
        </w:rPr>
        <w:t>-</w:t>
      </w:r>
      <w:r w:rsidRPr="00155F80">
        <w:rPr>
          <w:rFonts w:ascii="Times New Roman" w:hAnsi="Times New Roman"/>
        </w:rPr>
        <w:t>tehnolo</w:t>
      </w:r>
      <w:r w:rsidRPr="00155F80">
        <w:rPr>
          <w:rFonts w:ascii="Times New Roman" w:hAnsi="Times New Roman"/>
          <w:lang w:val="hr-HR"/>
        </w:rPr>
        <w:t>š</w:t>
      </w:r>
      <w:r w:rsidRPr="00155F80">
        <w:rPr>
          <w:rFonts w:ascii="Times New Roman" w:hAnsi="Times New Roman"/>
        </w:rPr>
        <w:t>ki</w:t>
      </w:r>
      <w:r w:rsidRPr="00155F80">
        <w:rPr>
          <w:rFonts w:ascii="Times New Roman" w:hAnsi="Times New Roman"/>
          <w:lang w:val="hr-HR"/>
        </w:rPr>
        <w:t xml:space="preserve"> </w:t>
      </w:r>
      <w:r w:rsidRPr="00155F80">
        <w:rPr>
          <w:rFonts w:ascii="Times New Roman" w:hAnsi="Times New Roman"/>
        </w:rPr>
        <w:t>kapaciteti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prikupljanje</w:t>
      </w:r>
      <w:r w:rsidRPr="00155F80">
        <w:rPr>
          <w:rFonts w:ascii="Times New Roman" w:hAnsi="Times New Roman"/>
          <w:lang w:val="hr-HR"/>
        </w:rPr>
        <w:t xml:space="preserve">, </w:t>
      </w:r>
      <w:r w:rsidR="0085238E">
        <w:rPr>
          <w:rFonts w:ascii="Times New Roman" w:hAnsi="Times New Roman"/>
        </w:rPr>
        <w:t>pohranu</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obradu</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Nekoliko privrednih subjekata dobilo je dozvole za prikupljanje, prijevoz i privremen</w:t>
      </w:r>
      <w:r w:rsidR="0085238E">
        <w:rPr>
          <w:rFonts w:ascii="Times New Roman" w:hAnsi="Times New Roman"/>
        </w:rPr>
        <w:t>u</w:t>
      </w:r>
      <w:r w:rsidRPr="00155F80">
        <w:rPr>
          <w:rFonts w:ascii="Times New Roman" w:hAnsi="Times New Roman"/>
        </w:rPr>
        <w:t xml:space="preserve"> </w:t>
      </w:r>
      <w:r w:rsidR="0085238E">
        <w:rPr>
          <w:rFonts w:ascii="Times New Roman" w:hAnsi="Times New Roman"/>
        </w:rPr>
        <w:t>pohranu</w:t>
      </w:r>
      <w:r w:rsidRPr="00155F80">
        <w:rPr>
          <w:rFonts w:ascii="Times New Roman" w:hAnsi="Times New Roman"/>
        </w:rPr>
        <w:t xml:space="preserve"> ovog otpada. Također, postoji nekoliko manjih specijaliziranih objekata namijenjenih za obradu opasnog otpada, te postoje određeni kapaciteti u okviru većih industrijskih postrojenja koji se koriste za obradu. Federalno ministarstvo </w:t>
      </w:r>
      <w:r w:rsidR="00526FD0">
        <w:rPr>
          <w:rFonts w:ascii="Times New Roman" w:hAnsi="Times New Roman"/>
        </w:rPr>
        <w:t>okoline</w:t>
      </w:r>
      <w:r w:rsidRPr="00155F80">
        <w:rPr>
          <w:rFonts w:ascii="Times New Roman" w:hAnsi="Times New Roman"/>
        </w:rPr>
        <w:t xml:space="preserve"> i turizma </w:t>
      </w:r>
      <w:r w:rsidR="0085238E">
        <w:rPr>
          <w:rFonts w:ascii="Times New Roman" w:hAnsi="Times New Roman"/>
        </w:rPr>
        <w:t>obavlja</w:t>
      </w:r>
      <w:r w:rsidRPr="00155F80">
        <w:rPr>
          <w:rFonts w:ascii="Times New Roman" w:hAnsi="Times New Roman"/>
        </w:rPr>
        <w:t xml:space="preserve"> izvoz opasnog otpada (azbestni otpad, galvanski mulj, otpadne boje i lakovi, otpadni olovni akumulatori, farmaceutski otpad i citostatici, </w:t>
      </w:r>
      <w:r w:rsidR="0085238E">
        <w:rPr>
          <w:rFonts w:ascii="Times New Roman" w:hAnsi="Times New Roman"/>
        </w:rPr>
        <w:t>k</w:t>
      </w:r>
      <w:r w:rsidRPr="00155F80">
        <w:rPr>
          <w:rFonts w:ascii="Times New Roman" w:hAnsi="Times New Roman"/>
        </w:rPr>
        <w:t xml:space="preserve">emikalije itd.) </w:t>
      </w:r>
      <w:r w:rsidR="00526FD0">
        <w:rPr>
          <w:rFonts w:ascii="Times New Roman" w:hAnsi="Times New Roman"/>
        </w:rPr>
        <w:t>u skladu sa</w:t>
      </w:r>
      <w:r w:rsidRPr="00155F80">
        <w:rPr>
          <w:rFonts w:ascii="Times New Roman" w:hAnsi="Times New Roman"/>
        </w:rPr>
        <w:t xml:space="preserve"> odredbama Ba</w:t>
      </w:r>
      <w:r w:rsidR="00D80166">
        <w:rPr>
          <w:rFonts w:ascii="Times New Roman" w:hAnsi="Times New Roman"/>
        </w:rPr>
        <w:t>z</w:t>
      </w:r>
      <w:r w:rsidRPr="00155F80">
        <w:rPr>
          <w:rFonts w:ascii="Times New Roman" w:hAnsi="Times New Roman"/>
        </w:rPr>
        <w:t xml:space="preserve">elske konvencije o prekograničnom prometu opasnog </w:t>
      </w:r>
      <w:r w:rsidR="00092D83" w:rsidRPr="00155F80">
        <w:rPr>
          <w:rFonts w:ascii="Times New Roman" w:hAnsi="Times New Roman"/>
        </w:rPr>
        <w:t xml:space="preserve">otpada i njegovom </w:t>
      </w:r>
      <w:r w:rsidR="00092D83" w:rsidRPr="00F83CAD">
        <w:rPr>
          <w:rFonts w:ascii="Times New Roman" w:hAnsi="Times New Roman"/>
        </w:rPr>
        <w:t>odlaganju. (13</w:t>
      </w:r>
      <w:r w:rsidRPr="00F83CAD">
        <w:rPr>
          <w:rFonts w:ascii="Times New Roman" w:hAnsi="Times New Roman"/>
        </w:rPr>
        <w:t>)</w:t>
      </w:r>
    </w:p>
    <w:p w:rsidR="00A131AD" w:rsidRPr="00155F80" w:rsidRDefault="00A131AD" w:rsidP="000C0138">
      <w:pPr>
        <w:spacing w:line="276" w:lineRule="auto"/>
        <w:rPr>
          <w:rStyle w:val="Emphasis"/>
          <w:rFonts w:ascii="Times New Roman" w:hAnsi="Times New Roman"/>
          <w:b/>
          <w:i w:val="0"/>
          <w:lang w:val="pl-PL"/>
        </w:rPr>
      </w:pPr>
    </w:p>
    <w:p w:rsidR="00A131AD" w:rsidRPr="00155F80" w:rsidRDefault="008F6458" w:rsidP="000C0138">
      <w:pPr>
        <w:pStyle w:val="Poglavlje3"/>
        <w:spacing w:line="276" w:lineRule="auto"/>
        <w:rPr>
          <w:rStyle w:val="Emphasis"/>
          <w:b w:val="0"/>
          <w:lang w:val="pl-PL"/>
        </w:rPr>
      </w:pPr>
      <w:bookmarkStart w:id="332" w:name="_Toc460929213"/>
      <w:r>
        <w:rPr>
          <w:i w:val="0"/>
        </w:rPr>
        <w:t>4.2</w:t>
      </w:r>
      <w:r w:rsidR="00301140">
        <w:rPr>
          <w:i w:val="0"/>
        </w:rPr>
        <w:t>.4</w:t>
      </w:r>
      <w:r w:rsidR="000E1376" w:rsidRPr="00155F80">
        <w:rPr>
          <w:i w:val="0"/>
        </w:rPr>
        <w:t xml:space="preserve"> </w:t>
      </w:r>
      <w:r w:rsidR="00D80166">
        <w:rPr>
          <w:i w:val="0"/>
        </w:rPr>
        <w:t>I</w:t>
      </w:r>
      <w:r w:rsidR="00A131AD" w:rsidRPr="00155F80">
        <w:rPr>
          <w:i w:val="0"/>
        </w:rPr>
        <w:t>onizirajuće zračenje</w:t>
      </w:r>
      <w:bookmarkEnd w:id="332"/>
      <w:r w:rsidR="003230A0" w:rsidRPr="00155F80">
        <w:rPr>
          <w:rStyle w:val="Emphasis"/>
          <w:b w:val="0"/>
          <w:lang w:val="pl-PL"/>
        </w:rPr>
        <w:t xml:space="preserve"> </w:t>
      </w:r>
      <w:r w:rsidR="00A131AD" w:rsidRPr="00155F80">
        <w:rPr>
          <w:rStyle w:val="Emphasis"/>
          <w:b w:val="0"/>
          <w:lang w:val="pl-PL"/>
        </w:rPr>
        <w:t xml:space="preserve"> </w:t>
      </w:r>
    </w:p>
    <w:p w:rsidR="00A131AD" w:rsidRPr="00155F80" w:rsidRDefault="00A131AD" w:rsidP="000C0138">
      <w:pPr>
        <w:spacing w:line="276" w:lineRule="auto"/>
        <w:rPr>
          <w:rStyle w:val="Emphasis"/>
          <w:rFonts w:ascii="Times New Roman" w:hAnsi="Times New Roman"/>
          <w:b/>
          <w:i w:val="0"/>
          <w:lang w:val="pl-PL"/>
        </w:rPr>
      </w:pPr>
    </w:p>
    <w:p w:rsidR="00A131AD" w:rsidRPr="00155F80" w:rsidRDefault="0006688D" w:rsidP="000C0138">
      <w:pPr>
        <w:autoSpaceDE w:val="0"/>
        <w:autoSpaceDN w:val="0"/>
        <w:adjustRightInd w:val="0"/>
        <w:spacing w:line="276" w:lineRule="auto"/>
        <w:rPr>
          <w:rFonts w:ascii="Times New Roman" w:hAnsi="Times New Roman"/>
          <w:color w:val="000000"/>
        </w:rPr>
      </w:pPr>
      <w:r>
        <w:rPr>
          <w:rFonts w:ascii="Times New Roman" w:hAnsi="Times New Roman"/>
          <w:color w:val="000000"/>
        </w:rPr>
        <w:t>I</w:t>
      </w:r>
      <w:r w:rsidR="00A131AD" w:rsidRPr="00155F80">
        <w:rPr>
          <w:rFonts w:ascii="Times New Roman" w:hAnsi="Times New Roman"/>
          <w:color w:val="000000"/>
        </w:rPr>
        <w:t xml:space="preserve">onizirajuće zračenje je prirodni fenomen prisutan u svakodnevnom životu, koje sa sobom nosi određene rizike kako po ljude tako i po životnu sredinu. Razvoj </w:t>
      </w:r>
      <w:r>
        <w:rPr>
          <w:rFonts w:ascii="Times New Roman" w:hAnsi="Times New Roman"/>
          <w:color w:val="000000"/>
        </w:rPr>
        <w:t>znanosti</w:t>
      </w:r>
      <w:r w:rsidR="00A131AD" w:rsidRPr="00155F80">
        <w:rPr>
          <w:rFonts w:ascii="Times New Roman" w:hAnsi="Times New Roman"/>
          <w:color w:val="000000"/>
        </w:rPr>
        <w:t xml:space="preserve"> i tehnologije omogućio je da se danas </w:t>
      </w:r>
      <w:r>
        <w:rPr>
          <w:rFonts w:ascii="Times New Roman" w:hAnsi="Times New Roman"/>
          <w:color w:val="000000"/>
        </w:rPr>
        <w:t>i</w:t>
      </w:r>
      <w:r w:rsidR="00A131AD" w:rsidRPr="00155F80">
        <w:rPr>
          <w:rFonts w:ascii="Times New Roman" w:hAnsi="Times New Roman"/>
          <w:color w:val="000000"/>
        </w:rPr>
        <w:t>onizirajuće zračenje primijenjuj</w:t>
      </w:r>
      <w:r>
        <w:rPr>
          <w:rFonts w:ascii="Times New Roman" w:hAnsi="Times New Roman"/>
          <w:color w:val="000000"/>
        </w:rPr>
        <w:t>e</w:t>
      </w:r>
      <w:r w:rsidR="00A131AD" w:rsidRPr="00155F80">
        <w:rPr>
          <w:rFonts w:ascii="Times New Roman" w:hAnsi="Times New Roman"/>
          <w:color w:val="000000"/>
        </w:rPr>
        <w:t xml:space="preserve"> u različitim djelatnostima: medicini (za radioterapijske i radiodijagnostičke tretmane), medicini, industriji i različitim sferama istraživanja, tako da se pored izloženosti prirodnim izvorima </w:t>
      </w:r>
      <w:r>
        <w:rPr>
          <w:rFonts w:ascii="Times New Roman" w:hAnsi="Times New Roman"/>
          <w:color w:val="000000"/>
        </w:rPr>
        <w:t>i</w:t>
      </w:r>
      <w:r w:rsidR="00A131AD" w:rsidRPr="00155F80">
        <w:rPr>
          <w:rFonts w:ascii="Times New Roman" w:hAnsi="Times New Roman"/>
          <w:color w:val="000000"/>
        </w:rPr>
        <w:t>onizirajućeg zračenja javlja i izloženost vještačkim izvorima zračenja.</w:t>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Veoma bitna je zaštita života i zdravlja ljudi, kao i zaštita životne sredine, od štetnog djelovanja </w:t>
      </w:r>
      <w:r w:rsidR="0006688D">
        <w:rPr>
          <w:rFonts w:ascii="Times New Roman" w:hAnsi="Times New Roman"/>
        </w:rPr>
        <w:t>i</w:t>
      </w:r>
      <w:r w:rsidRPr="00155F80">
        <w:rPr>
          <w:rFonts w:ascii="Times New Roman" w:hAnsi="Times New Roman"/>
        </w:rPr>
        <w:t xml:space="preserve">onizirajućeg zračenja. </w:t>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Zakonom o radijacijskoj i nuklearnoj sigurnosti u Bosni i Hercegovini („Službeni glasnik BiH“, broj 88/07) i Zakonom  o hrani ("Službeni glasnik BiH", broj 50/04), te nizom podzakonskih akata uspostavljen je </w:t>
      </w:r>
      <w:r w:rsidR="00CB080B">
        <w:rPr>
          <w:rFonts w:ascii="Times New Roman" w:hAnsi="Times New Roman"/>
        </w:rPr>
        <w:t>opšti</w:t>
      </w:r>
      <w:r w:rsidRPr="00155F80">
        <w:rPr>
          <w:rFonts w:ascii="Times New Roman" w:hAnsi="Times New Roman"/>
        </w:rPr>
        <w:t xml:space="preserve"> pravni okvir </w:t>
      </w:r>
      <w:r w:rsidR="00512E30">
        <w:rPr>
          <w:rFonts w:ascii="Times New Roman" w:hAnsi="Times New Roman"/>
        </w:rPr>
        <w:t>sistem</w:t>
      </w:r>
      <w:r w:rsidR="0006688D">
        <w:rPr>
          <w:rFonts w:ascii="Times New Roman" w:hAnsi="Times New Roman"/>
        </w:rPr>
        <w:t>a</w:t>
      </w:r>
      <w:r w:rsidRPr="00155F80">
        <w:rPr>
          <w:rFonts w:ascii="Times New Roman" w:hAnsi="Times New Roman"/>
        </w:rPr>
        <w:t xml:space="preserve"> kontrole nad izvorima </w:t>
      </w:r>
      <w:r w:rsidR="0006688D">
        <w:rPr>
          <w:rFonts w:ascii="Times New Roman" w:hAnsi="Times New Roman"/>
        </w:rPr>
        <w:t>i</w:t>
      </w:r>
      <w:r w:rsidRPr="00155F80">
        <w:rPr>
          <w:rFonts w:ascii="Times New Roman" w:hAnsi="Times New Roman"/>
        </w:rPr>
        <w:t xml:space="preserve">onizirajućeg zračenja, zaštite ljudi i životne sredine od ekspozicije ili potencijalne ekspozicije </w:t>
      </w:r>
      <w:r w:rsidR="0006688D">
        <w:rPr>
          <w:rFonts w:ascii="Times New Roman" w:hAnsi="Times New Roman"/>
        </w:rPr>
        <w:t>i</w:t>
      </w:r>
      <w:r w:rsidRPr="00155F80">
        <w:rPr>
          <w:rFonts w:ascii="Times New Roman" w:hAnsi="Times New Roman"/>
        </w:rPr>
        <w:t xml:space="preserve">onizirajućem zračenju. </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0C0138">
      <w:pPr>
        <w:pStyle w:val="Poglavlje4"/>
        <w:spacing w:line="276" w:lineRule="auto"/>
        <w:rPr>
          <w:i w:val="0"/>
        </w:rPr>
      </w:pPr>
      <w:r w:rsidRPr="00155F80">
        <w:rPr>
          <w:i w:val="0"/>
        </w:rPr>
        <w:t xml:space="preserve">Program monitoringa radioaktivnosti životne sredine u FBiH </w:t>
      </w:r>
    </w:p>
    <w:p w:rsidR="003066C2" w:rsidRDefault="00A131AD" w:rsidP="00250204">
      <w:pPr>
        <w:pStyle w:val="TEKST"/>
        <w:rPr>
          <w:rStyle w:val="longtext"/>
        </w:rPr>
      </w:pPr>
      <w:r w:rsidRPr="00155F80">
        <w:t xml:space="preserve">Program monitoringa radioaktivnosti životne sredine u FBiH uspostavljen je 2004. godine, kao </w:t>
      </w:r>
      <w:r w:rsidR="00512E30">
        <w:t>sistem</w:t>
      </w:r>
      <w:r w:rsidR="0006688D">
        <w:t>ni</w:t>
      </w:r>
      <w:r w:rsidRPr="00155F80">
        <w:t xml:space="preserve"> oblik praćenja rizika po zdravlje stanovništva i zaštitu životne sredine od neželjenih </w:t>
      </w:r>
      <w:r w:rsidR="0006688D">
        <w:t>učinaka</w:t>
      </w:r>
      <w:r w:rsidRPr="00155F80">
        <w:t xml:space="preserve"> </w:t>
      </w:r>
      <w:r w:rsidR="0006688D">
        <w:t>i</w:t>
      </w:r>
      <w:r w:rsidRPr="00155F80">
        <w:t>onizirajućeg zračenja. Program se realiz</w:t>
      </w:r>
      <w:r w:rsidR="0006688D">
        <w:t>ira</w:t>
      </w:r>
      <w:r w:rsidRPr="00155F80">
        <w:rPr>
          <w:rStyle w:val="longtext"/>
        </w:rPr>
        <w:t xml:space="preserve"> praćenjem radioaktivnosti u životnoj sredini </w:t>
      </w:r>
      <w:r w:rsidRPr="00155F80">
        <w:rPr>
          <w:rStyle w:val="hps"/>
        </w:rPr>
        <w:t xml:space="preserve">s ciljem procjene efektivne doze. Efektivna doza je </w:t>
      </w:r>
      <w:r w:rsidR="00D21A46">
        <w:rPr>
          <w:rStyle w:val="hps"/>
        </w:rPr>
        <w:t>znak</w:t>
      </w:r>
      <w:r w:rsidRPr="00155F80">
        <w:rPr>
          <w:rStyle w:val="hps"/>
        </w:rPr>
        <w:t xml:space="preserve"> zdravstvenog</w:t>
      </w:r>
      <w:r w:rsidRPr="00155F80">
        <w:rPr>
          <w:rStyle w:val="longtext"/>
        </w:rPr>
        <w:t xml:space="preserve"> </w:t>
      </w:r>
      <w:r w:rsidRPr="00155F80">
        <w:rPr>
          <w:rStyle w:val="hps"/>
        </w:rPr>
        <w:t xml:space="preserve">rizika povezanog s neželjenim </w:t>
      </w:r>
      <w:r w:rsidR="0006688D">
        <w:rPr>
          <w:rStyle w:val="hps"/>
        </w:rPr>
        <w:t>učincima</w:t>
      </w:r>
      <w:r w:rsidRPr="00155F80">
        <w:rPr>
          <w:rStyle w:val="hps"/>
        </w:rPr>
        <w:t xml:space="preserve"> </w:t>
      </w:r>
      <w:r w:rsidR="0006688D">
        <w:rPr>
          <w:rStyle w:val="hps"/>
        </w:rPr>
        <w:t>i</w:t>
      </w:r>
      <w:r w:rsidRPr="00155F80">
        <w:rPr>
          <w:rStyle w:val="hps"/>
        </w:rPr>
        <w:t>onizirajućeg</w:t>
      </w:r>
      <w:r w:rsidRPr="00155F80">
        <w:rPr>
          <w:rStyle w:val="longtext"/>
        </w:rPr>
        <w:t xml:space="preserve"> </w:t>
      </w:r>
      <w:r w:rsidRPr="00155F80">
        <w:rPr>
          <w:rStyle w:val="hps"/>
        </w:rPr>
        <w:t>zračenja</w:t>
      </w:r>
      <w:r w:rsidRPr="00155F80">
        <w:rPr>
          <w:rStyle w:val="longtext"/>
        </w:rPr>
        <w:t xml:space="preserve">, a provodi ga Zavod za javno zdravstvo FBiH. </w:t>
      </w:r>
      <w:r w:rsidRPr="00155F80">
        <w:t xml:space="preserve"> </w:t>
      </w:r>
      <w:r w:rsidRPr="00155F80">
        <w:rPr>
          <w:rStyle w:val="longtext"/>
        </w:rPr>
        <w:t xml:space="preserve"> </w:t>
      </w:r>
    </w:p>
    <w:p w:rsidR="00A131AD" w:rsidRPr="00155F80" w:rsidRDefault="00A131AD" w:rsidP="00250204">
      <w:pPr>
        <w:pStyle w:val="TEKST"/>
        <w:rPr>
          <w:i/>
        </w:rPr>
      </w:pPr>
      <w:r w:rsidRPr="00155F80">
        <w:t xml:space="preserve">Praćenje </w:t>
      </w:r>
      <w:r w:rsidR="0006688D">
        <w:t>i</w:t>
      </w:r>
      <w:r w:rsidRPr="00155F80">
        <w:t xml:space="preserve">onizirajućeg zračenja u životnoj sredini </w:t>
      </w:r>
      <w:r w:rsidR="0006688D">
        <w:t>obavlja</w:t>
      </w:r>
      <w:r w:rsidRPr="00155F80">
        <w:t xml:space="preserve"> se mjerenjem brzine ambijentalnog doznog ekvivalenta gama zračenja u zraku, prostornog ekvivalenta doze gama zračenja u zraku, kao i mjerenjem aktivnosti radionuklida u uzorcima životne sredine.Kao dio integralnog </w:t>
      </w:r>
      <w:r w:rsidR="00512E30">
        <w:t>sistem</w:t>
      </w:r>
      <w:r w:rsidR="0006688D">
        <w:t>a</w:t>
      </w:r>
      <w:r w:rsidRPr="00155F80">
        <w:t xml:space="preserve"> u Bosni i Hercegovini namijenjenog za praćenje i ranu dojavu prisustva radioaktivne kontaminacije u zraku mjerenje brzine ambijentalnog doznog ekvivalenta  u zraku </w:t>
      </w:r>
      <w:r w:rsidR="0006688D">
        <w:t>obavlja</w:t>
      </w:r>
      <w:r w:rsidRPr="00155F80">
        <w:t xml:space="preserve"> se na šest lokacija u FBiH: Sarajevu, Jajcu (od </w:t>
      </w:r>
      <w:r w:rsidR="0006688D">
        <w:t>lipnja</w:t>
      </w:r>
      <w:r w:rsidRPr="00155F80">
        <w:t xml:space="preserve"> 2011.), Tuzli, Livnu, Bihaću i Mostaru. Za potrebe FBiH praćenje i obradu podataka </w:t>
      </w:r>
      <w:r w:rsidR="0006688D">
        <w:t>obavlja</w:t>
      </w:r>
      <w:r w:rsidRPr="00155F80">
        <w:t xml:space="preserve"> Zavod za javno zdravstv</w:t>
      </w:r>
      <w:r w:rsidR="0006688D">
        <w:t>o</w:t>
      </w:r>
      <w:r w:rsidRPr="00155F80">
        <w:t xml:space="preserve"> FBiH.</w:t>
      </w:r>
    </w:p>
    <w:p w:rsidR="00A131AD" w:rsidRPr="00155F80" w:rsidRDefault="002B489B" w:rsidP="00250204">
      <w:pPr>
        <w:pStyle w:val="TEKST"/>
        <w:rPr>
          <w:i/>
        </w:rPr>
      </w:pPr>
      <w:r>
        <w:t>Na osnovu</w:t>
      </w:r>
      <w:r w:rsidR="00A131AD" w:rsidRPr="00155F80">
        <w:t xml:space="preserve"> izmjerenih vrijednosti ambijentalnog doznog ekvivalenta na godišnj</w:t>
      </w:r>
      <w:r w:rsidR="0006688D">
        <w:t>oj</w:t>
      </w:r>
      <w:r w:rsidR="00A131AD" w:rsidRPr="00155F80">
        <w:t xml:space="preserve"> </w:t>
      </w:r>
      <w:r>
        <w:t>nivou</w:t>
      </w:r>
      <w:r w:rsidR="0059128D">
        <w:t xml:space="preserve"> za FBiH, da</w:t>
      </w:r>
      <w:r w:rsidR="0006688D">
        <w:t>n</w:t>
      </w:r>
      <w:r w:rsidR="0059128D">
        <w:t>ih u Grafikonu 87</w:t>
      </w:r>
      <w:r w:rsidR="00A131AD" w:rsidRPr="00155F80">
        <w:t>,  jasno je vidljivo da nije prekoračena maksimalno dozvoljena vrijednost (dozvoljeno od</w:t>
      </w:r>
      <w:r w:rsidR="00CB080B">
        <w:t>stepen</w:t>
      </w:r>
      <w:r w:rsidR="00A131AD" w:rsidRPr="00155F80">
        <w:t>e od 20% do 100% iznad prosječne vrijednosti za protekl</w:t>
      </w:r>
      <w:r w:rsidR="0006688D">
        <w:t xml:space="preserve">o </w:t>
      </w:r>
      <w:r w:rsidR="00F70FD4">
        <w:t>period</w:t>
      </w:r>
      <w:r w:rsidR="00A131AD" w:rsidRPr="00155F80">
        <w:t xml:space="preserve"> od jedne godine za datu lokaciju - Službeni list SFRJ 84/91). Srednja godišnja vrijednost brzine prostornog doznog ekvivalenta  na teritorij</w:t>
      </w:r>
      <w:r w:rsidR="0006688D">
        <w:t>u</w:t>
      </w:r>
      <w:r w:rsidR="00A131AD" w:rsidRPr="00155F80">
        <w:t xml:space="preserve"> Federacije Bosne i Hercegovine </w:t>
      </w:r>
      <w:r w:rsidR="0006688D">
        <w:t xml:space="preserve">u </w:t>
      </w:r>
      <w:r w:rsidR="00F70FD4">
        <w:t>periodu</w:t>
      </w:r>
      <w:r w:rsidR="00A131AD" w:rsidRPr="00155F80">
        <w:t xml:space="preserve"> 2010. - 2015. godina iznosila je 109 nSv/h.</w:t>
      </w:r>
    </w:p>
    <w:p w:rsidR="00A131AD" w:rsidRPr="00155F80" w:rsidRDefault="00A131AD" w:rsidP="000C0138">
      <w:pPr>
        <w:keepLines/>
        <w:spacing w:line="276" w:lineRule="auto"/>
        <w:rPr>
          <w:rFonts w:ascii="Times New Roman" w:hAnsi="Times New Roman"/>
          <w:lang w:val="hr-HR"/>
        </w:rPr>
      </w:pPr>
    </w:p>
    <w:p w:rsidR="00A131AD" w:rsidRPr="00155F80" w:rsidRDefault="00A131AD" w:rsidP="00B37E7E">
      <w:pPr>
        <w:pStyle w:val="refererere"/>
        <w:rPr>
          <w:lang w:val="hr-HR"/>
        </w:rPr>
      </w:pPr>
      <w:r w:rsidRPr="00155F80">
        <w:rPr>
          <w:lang w:val="hr-HR"/>
        </w:rPr>
        <w:t xml:space="preserve">Grafikon 87: Ambijentalni dozni ekvivalent, </w:t>
      </w:r>
      <w:r w:rsidR="00F70FD4">
        <w:rPr>
          <w:lang w:val="hr-HR"/>
        </w:rPr>
        <w:t>period</w:t>
      </w:r>
      <w:r w:rsidRPr="00155F80">
        <w:rPr>
          <w:lang w:val="hr-HR"/>
        </w:rPr>
        <w:t xml:space="preserve"> 2010. -2015. godina</w:t>
      </w:r>
    </w:p>
    <w:p w:rsidR="00A131AD" w:rsidRPr="00155F80" w:rsidRDefault="00A131AD" w:rsidP="000C0138">
      <w:pPr>
        <w:spacing w:line="276" w:lineRule="auto"/>
        <w:rPr>
          <w:rFonts w:ascii="Times New Roman" w:hAnsi="Times New Roman"/>
          <w:lang w:val="hr-HR"/>
        </w:rPr>
      </w:pPr>
      <w:r w:rsidRPr="00155F80">
        <w:rPr>
          <w:rFonts w:ascii="Times New Roman" w:hAnsi="Times New Roman"/>
          <w:noProof/>
          <w:lang w:eastAsia="en-GB"/>
        </w:rPr>
        <w:drawing>
          <wp:inline distT="0" distB="0" distL="0" distR="0" wp14:anchorId="2DECBD71" wp14:editId="6E2C7290">
            <wp:extent cx="5721877" cy="2286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35399" cy="2291402"/>
                    </a:xfrm>
                    <a:prstGeom prst="rect">
                      <a:avLst/>
                    </a:prstGeom>
                    <a:noFill/>
                    <a:ln>
                      <a:noFill/>
                    </a:ln>
                  </pic:spPr>
                </pic:pic>
              </a:graphicData>
            </a:graphic>
          </wp:inline>
        </w:drawing>
      </w:r>
    </w:p>
    <w:p w:rsidR="00A131AD" w:rsidRPr="00155F80" w:rsidRDefault="00A131AD" w:rsidP="003066C2">
      <w:pPr>
        <w:keepLines/>
        <w:spacing w:line="276" w:lineRule="auto"/>
        <w:rPr>
          <w:rFonts w:ascii="Times New Roman" w:hAnsi="Times New Roman"/>
        </w:rPr>
      </w:pPr>
      <w:r w:rsidRPr="00155F80">
        <w:rPr>
          <w:rFonts w:ascii="Times New Roman" w:hAnsi="Times New Roman"/>
          <w:lang w:val="hr-HR"/>
        </w:rPr>
        <w:t xml:space="preserve">Bez obzira na </w:t>
      </w:r>
      <w:r w:rsidR="0006688D">
        <w:rPr>
          <w:rFonts w:ascii="Times New Roman" w:hAnsi="Times New Roman"/>
          <w:lang w:val="hr-HR"/>
        </w:rPr>
        <w:t>tjedne</w:t>
      </w:r>
      <w:r w:rsidRPr="00155F80">
        <w:rPr>
          <w:rFonts w:ascii="Times New Roman" w:hAnsi="Times New Roman"/>
          <w:lang w:val="hr-HR"/>
        </w:rPr>
        <w:t xml:space="preserve">, mjesečne ili godišnje vrijednosti </w:t>
      </w:r>
      <w:r w:rsidRPr="00155F80">
        <w:rPr>
          <w:rFonts w:ascii="Times New Roman" w:hAnsi="Times New Roman"/>
        </w:rPr>
        <w:t>ambijentalnog doznog ekvivalenta</w:t>
      </w:r>
      <w:r w:rsidRPr="00155F80">
        <w:rPr>
          <w:rFonts w:ascii="Times New Roman" w:hAnsi="Times New Roman"/>
          <w:lang w:val="hr-HR"/>
        </w:rPr>
        <w:t xml:space="preserve"> evidentirana su statistički značajna o</w:t>
      </w:r>
      <w:r w:rsidRPr="00155F80">
        <w:rPr>
          <w:rFonts w:ascii="Times New Roman" w:hAnsi="Times New Roman"/>
          <w:bCs/>
          <w:lang w:val="hr-HR"/>
        </w:rPr>
        <w:t>d</w:t>
      </w:r>
      <w:r w:rsidR="00CB080B">
        <w:rPr>
          <w:rFonts w:ascii="Times New Roman" w:hAnsi="Times New Roman"/>
          <w:bCs/>
          <w:lang w:val="hr-HR"/>
        </w:rPr>
        <w:t>stepen</w:t>
      </w:r>
      <w:r w:rsidRPr="00155F80">
        <w:rPr>
          <w:rFonts w:ascii="Times New Roman" w:hAnsi="Times New Roman"/>
          <w:bCs/>
          <w:lang w:val="hr-HR"/>
        </w:rPr>
        <w:t xml:space="preserve">a vrijednosti brzine doze od srednje vrijednosti za grad Mostar, koja su se dešavala </w:t>
      </w:r>
      <w:r w:rsidR="00F0369C">
        <w:rPr>
          <w:rFonts w:ascii="Times New Roman" w:hAnsi="Times New Roman"/>
          <w:bCs/>
          <w:lang w:val="hr-HR"/>
        </w:rPr>
        <w:t>tokom</w:t>
      </w:r>
      <w:r w:rsidRPr="00155F80">
        <w:rPr>
          <w:rFonts w:ascii="Times New Roman" w:hAnsi="Times New Roman"/>
          <w:bCs/>
          <w:lang w:val="hr-HR"/>
        </w:rPr>
        <w:t xml:space="preserve"> cijele  2013. i 2014. godine u određenim vremenskim razmacima. Maksimalne vrijednosti zabilježene u navedenom </w:t>
      </w:r>
      <w:r w:rsidR="00F70FD4">
        <w:rPr>
          <w:rFonts w:ascii="Times New Roman" w:hAnsi="Times New Roman"/>
          <w:bCs/>
          <w:lang w:val="hr-HR"/>
        </w:rPr>
        <w:t>periodu</w:t>
      </w:r>
      <w:r w:rsidRPr="00155F80">
        <w:rPr>
          <w:rFonts w:ascii="Times New Roman" w:hAnsi="Times New Roman"/>
          <w:bCs/>
          <w:lang w:val="hr-HR"/>
        </w:rPr>
        <w:t xml:space="preserve"> su dostigle vrijednost od 239 nSv/h  i 290 nSv/h.</w:t>
      </w:r>
      <w:r w:rsidR="0006688D">
        <w:rPr>
          <w:rFonts w:ascii="Times New Roman" w:hAnsi="Times New Roman"/>
          <w:bCs/>
          <w:lang w:val="hr-HR"/>
        </w:rPr>
        <w:t xml:space="preserve"> </w:t>
      </w:r>
      <w:r w:rsidR="0059128D">
        <w:rPr>
          <w:rFonts w:ascii="Times New Roman" w:hAnsi="Times New Roman"/>
          <w:bCs/>
          <w:lang w:val="hr-HR"/>
        </w:rPr>
        <w:t xml:space="preserve">O </w:t>
      </w:r>
      <w:r w:rsidRPr="00155F80">
        <w:rPr>
          <w:rFonts w:ascii="Times New Roman" w:hAnsi="Times New Roman"/>
          <w:bCs/>
          <w:lang w:val="hr-HR"/>
        </w:rPr>
        <w:t>u</w:t>
      </w:r>
      <w:r w:rsidR="0006688D">
        <w:rPr>
          <w:rFonts w:ascii="Times New Roman" w:hAnsi="Times New Roman"/>
          <w:bCs/>
          <w:lang w:val="hr-HR"/>
        </w:rPr>
        <w:t>o</w:t>
      </w:r>
      <w:r w:rsidRPr="00155F80">
        <w:rPr>
          <w:rFonts w:ascii="Times New Roman" w:hAnsi="Times New Roman"/>
          <w:bCs/>
          <w:lang w:val="hr-HR"/>
        </w:rPr>
        <w:t xml:space="preserve">čenom problemu je obaviještena nadležna institucija Državna agencija za radijacijsku i nuklearnu sigurnost. Razlog navedenim visokim vrijednostima nije utvrđen. </w:t>
      </w:r>
    </w:p>
    <w:p w:rsidR="00A131AD" w:rsidRPr="00155F80" w:rsidRDefault="00A131AD" w:rsidP="000C0138">
      <w:pPr>
        <w:keepLines/>
        <w:widowControl w:val="0"/>
        <w:spacing w:line="276" w:lineRule="auto"/>
        <w:rPr>
          <w:rStyle w:val="Emphasis"/>
          <w:rFonts w:ascii="Times New Roman" w:hAnsi="Times New Roman"/>
          <w:i w:val="0"/>
          <w:lang w:val="pl-PL"/>
        </w:rPr>
      </w:pPr>
      <w:r w:rsidRPr="00155F80">
        <w:rPr>
          <w:rStyle w:val="Emphasis"/>
          <w:rFonts w:ascii="Times New Roman" w:hAnsi="Times New Roman"/>
          <w:i w:val="0"/>
          <w:lang w:val="pl-PL"/>
        </w:rPr>
        <w:t xml:space="preserve">U okviru Programa monitoringa radioaktivnosti u </w:t>
      </w:r>
      <w:r w:rsidR="00526FD0">
        <w:rPr>
          <w:rStyle w:val="Emphasis"/>
          <w:rFonts w:ascii="Times New Roman" w:hAnsi="Times New Roman"/>
          <w:i w:val="0"/>
          <w:lang w:val="pl-PL"/>
        </w:rPr>
        <w:t>okolini</w:t>
      </w:r>
      <w:r w:rsidRPr="00155F80">
        <w:rPr>
          <w:rStyle w:val="Emphasis"/>
          <w:rFonts w:ascii="Times New Roman" w:hAnsi="Times New Roman"/>
          <w:i w:val="0"/>
          <w:lang w:val="pl-PL"/>
        </w:rPr>
        <w:t xml:space="preserve">, Zavod za javno zdravstvo Federacije BiH, </w:t>
      </w:r>
      <w:r w:rsidR="0006688D">
        <w:rPr>
          <w:rStyle w:val="Emphasis"/>
          <w:rFonts w:ascii="Times New Roman" w:hAnsi="Times New Roman"/>
          <w:i w:val="0"/>
          <w:lang w:val="pl-PL"/>
        </w:rPr>
        <w:t>obavlja</w:t>
      </w:r>
      <w:r w:rsidRPr="00155F80">
        <w:rPr>
          <w:rStyle w:val="Emphasis"/>
          <w:rFonts w:ascii="Times New Roman" w:hAnsi="Times New Roman"/>
          <w:i w:val="0"/>
          <w:lang w:val="pl-PL"/>
        </w:rPr>
        <w:t xml:space="preserve"> kontrolu radioaktivnosti uzoraka iz </w:t>
      </w:r>
      <w:r w:rsidR="00526FD0">
        <w:rPr>
          <w:rStyle w:val="Emphasis"/>
          <w:rFonts w:ascii="Times New Roman" w:hAnsi="Times New Roman"/>
          <w:i w:val="0"/>
          <w:lang w:val="pl-PL"/>
        </w:rPr>
        <w:t>okoline</w:t>
      </w:r>
      <w:r w:rsidRPr="00155F80">
        <w:rPr>
          <w:rStyle w:val="Emphasis"/>
          <w:rFonts w:ascii="Times New Roman" w:hAnsi="Times New Roman"/>
          <w:i w:val="0"/>
          <w:lang w:val="pl-PL"/>
        </w:rPr>
        <w:t xml:space="preserve"> na odabranim lokacijama (uzorkovanje i mjerenje sadržaja radionuklida u zemlji, površinskoj vodi, vodi za piće, zraku, ljudskoj i stočnoj hrani), s ciljem procjene efektivne doze stanovništva.</w:t>
      </w:r>
    </w:p>
    <w:p w:rsidR="004975B7" w:rsidRDefault="00A131AD" w:rsidP="000C0138">
      <w:pPr>
        <w:keepLines/>
        <w:widowControl w:val="0"/>
        <w:spacing w:line="276" w:lineRule="auto"/>
        <w:rPr>
          <w:rStyle w:val="Emphasis"/>
          <w:rFonts w:ascii="Times New Roman" w:hAnsi="Times New Roman"/>
          <w:i w:val="0"/>
          <w:lang w:val="pl-PL"/>
        </w:rPr>
      </w:pPr>
      <w:bookmarkStart w:id="333" w:name="_Toc370891654"/>
      <w:r w:rsidRPr="00155F80">
        <w:rPr>
          <w:rStyle w:val="Emphasis"/>
          <w:rFonts w:ascii="Times New Roman" w:hAnsi="Times New Roman"/>
          <w:i w:val="0"/>
          <w:lang w:val="pl-PL"/>
        </w:rPr>
        <w:t xml:space="preserve">Na </w:t>
      </w:r>
      <w:r w:rsidR="0006688D">
        <w:rPr>
          <w:rStyle w:val="Emphasis"/>
          <w:rFonts w:ascii="Times New Roman" w:hAnsi="Times New Roman"/>
          <w:i w:val="0"/>
          <w:lang w:val="pl-PL"/>
        </w:rPr>
        <w:t>temelju</w:t>
      </w:r>
      <w:r w:rsidRPr="00155F80">
        <w:rPr>
          <w:rStyle w:val="Emphasis"/>
          <w:rFonts w:ascii="Times New Roman" w:hAnsi="Times New Roman"/>
          <w:i w:val="0"/>
          <w:lang w:val="pl-PL"/>
        </w:rPr>
        <w:t xml:space="preserve"> izmjerenih vrijednosti aktivnosti radionuklida u tlu </w:t>
      </w:r>
      <w:r w:rsidR="0006688D">
        <w:rPr>
          <w:rStyle w:val="Emphasis"/>
          <w:rFonts w:ascii="Times New Roman" w:hAnsi="Times New Roman"/>
          <w:i w:val="0"/>
          <w:lang w:val="pl-PL"/>
        </w:rPr>
        <w:t>obavlja</w:t>
      </w:r>
      <w:r w:rsidRPr="00155F80">
        <w:rPr>
          <w:rStyle w:val="Emphasis"/>
          <w:rFonts w:ascii="Times New Roman" w:hAnsi="Times New Roman"/>
          <w:i w:val="0"/>
          <w:lang w:val="pl-PL"/>
        </w:rPr>
        <w:t xml:space="preserve"> se procjena efektivne doze za stanovništvo za vrijeme boravka na otvorenom za deset lokacija. Razlike u vrijednostima za pojedine lokacije posljedica su </w:t>
      </w:r>
      <w:r w:rsidR="0006688D">
        <w:rPr>
          <w:rStyle w:val="Emphasis"/>
          <w:rFonts w:ascii="Times New Roman" w:hAnsi="Times New Roman"/>
          <w:i w:val="0"/>
          <w:lang w:val="pl-PL"/>
        </w:rPr>
        <w:t xml:space="preserve">zemljopisnog </w:t>
      </w:r>
      <w:r w:rsidRPr="00155F80">
        <w:rPr>
          <w:rStyle w:val="Emphasis"/>
          <w:rFonts w:ascii="Times New Roman" w:hAnsi="Times New Roman"/>
          <w:i w:val="0"/>
          <w:lang w:val="pl-PL"/>
        </w:rPr>
        <w:t xml:space="preserve">položaja lokacija uzorkovanja kao i geološke strukture tla. Za sve lokacije u proteklom </w:t>
      </w:r>
      <w:r w:rsidR="00F70FD4">
        <w:rPr>
          <w:rStyle w:val="Emphasis"/>
          <w:rFonts w:ascii="Times New Roman" w:hAnsi="Times New Roman"/>
          <w:i w:val="0"/>
          <w:lang w:val="pl-PL"/>
        </w:rPr>
        <w:t>periodu</w:t>
      </w:r>
      <w:r w:rsidRPr="00155F80">
        <w:rPr>
          <w:rStyle w:val="Emphasis"/>
          <w:rFonts w:ascii="Times New Roman" w:hAnsi="Times New Roman"/>
          <w:i w:val="0"/>
          <w:lang w:val="pl-PL"/>
        </w:rPr>
        <w:t xml:space="preserve"> rezultati su u okviru statističke nesigurnosti mjerenja</w:t>
      </w:r>
      <w:r w:rsidR="00533E46">
        <w:rPr>
          <w:rStyle w:val="Emphasis"/>
          <w:rFonts w:ascii="Times New Roman" w:hAnsi="Times New Roman"/>
          <w:i w:val="0"/>
          <w:lang w:val="pl-PL"/>
        </w:rPr>
        <w:t>.</w:t>
      </w:r>
    </w:p>
    <w:p w:rsidR="004975B7" w:rsidRDefault="004975B7" w:rsidP="000C0138">
      <w:pPr>
        <w:keepLines/>
        <w:widowControl w:val="0"/>
        <w:spacing w:line="276" w:lineRule="auto"/>
        <w:rPr>
          <w:rStyle w:val="Emphasis"/>
          <w:rFonts w:ascii="Times New Roman" w:hAnsi="Times New Roman"/>
          <w:i w:val="0"/>
          <w:lang w:val="pl-PL"/>
        </w:rPr>
      </w:pPr>
    </w:p>
    <w:p w:rsidR="00533E46" w:rsidRPr="00155F80" w:rsidRDefault="00533E46" w:rsidP="000C0138">
      <w:pPr>
        <w:keepLines/>
        <w:widowControl w:val="0"/>
        <w:spacing w:line="276" w:lineRule="auto"/>
        <w:rPr>
          <w:rFonts w:ascii="Times New Roman" w:hAnsi="Times New Roman"/>
          <w:iCs/>
          <w:lang w:val="pl-PL"/>
        </w:rPr>
      </w:pPr>
    </w:p>
    <w:tbl>
      <w:tblPr>
        <w:tblW w:w="9599" w:type="dxa"/>
        <w:tblInd w:w="93" w:type="dxa"/>
        <w:tblLook w:val="0000" w:firstRow="0" w:lastRow="0" w:firstColumn="0" w:lastColumn="0" w:noHBand="0" w:noVBand="0"/>
      </w:tblPr>
      <w:tblGrid>
        <w:gridCol w:w="2549"/>
        <w:gridCol w:w="860"/>
        <w:gridCol w:w="860"/>
        <w:gridCol w:w="860"/>
        <w:gridCol w:w="860"/>
        <w:gridCol w:w="860"/>
        <w:gridCol w:w="2514"/>
        <w:gridCol w:w="236"/>
      </w:tblGrid>
      <w:tr w:rsidR="00A131AD" w:rsidRPr="00155F80" w:rsidTr="001911A6">
        <w:trPr>
          <w:trHeight w:val="314"/>
        </w:trPr>
        <w:tc>
          <w:tcPr>
            <w:tcW w:w="9599" w:type="dxa"/>
            <w:gridSpan w:val="8"/>
            <w:tcBorders>
              <w:top w:val="nil"/>
              <w:left w:val="nil"/>
              <w:bottom w:val="nil"/>
              <w:right w:val="nil"/>
            </w:tcBorders>
            <w:shd w:val="clear" w:color="auto" w:fill="auto"/>
            <w:noWrap/>
            <w:vAlign w:val="bottom"/>
          </w:tcPr>
          <w:p w:rsidR="00A131AD" w:rsidRPr="00155F80" w:rsidRDefault="00A80006" w:rsidP="00B37E7E">
            <w:pPr>
              <w:pStyle w:val="refererere"/>
            </w:pPr>
            <w:r>
              <w:t>Tabela</w:t>
            </w:r>
            <w:r w:rsidR="00A131AD" w:rsidRPr="00155F80">
              <w:t xml:space="preserve"> 17: Procijenjena efektivne godišnje doze uslijed spoljašnje ekspozicije za vrijeme boravka na otvorenom (mikroSv/god)</w:t>
            </w:r>
          </w:p>
          <w:tbl>
            <w:tblPr>
              <w:tblStyle w:val="TableGrid"/>
              <w:tblW w:w="0" w:type="auto"/>
              <w:tblLook w:val="01E0" w:firstRow="1" w:lastRow="1" w:firstColumn="1" w:lastColumn="1" w:noHBand="0" w:noVBand="0"/>
            </w:tblPr>
            <w:tblGrid>
              <w:gridCol w:w="1878"/>
              <w:gridCol w:w="851"/>
              <w:gridCol w:w="851"/>
              <w:gridCol w:w="851"/>
              <w:gridCol w:w="851"/>
              <w:gridCol w:w="851"/>
              <w:gridCol w:w="851"/>
              <w:gridCol w:w="1796"/>
            </w:tblGrid>
            <w:tr w:rsidR="00A131AD" w:rsidRPr="00155F80" w:rsidTr="003066C2">
              <w:tc>
                <w:tcPr>
                  <w:tcW w:w="1878" w:type="dxa"/>
                  <w:tcBorders>
                    <w:bottom w:val="single" w:sz="4" w:space="0" w:color="auto"/>
                  </w:tcBorders>
                </w:tcPr>
                <w:p w:rsidR="00A131AD" w:rsidRPr="00155F80" w:rsidRDefault="00A131AD" w:rsidP="000C0138">
                  <w:pPr>
                    <w:spacing w:line="276" w:lineRule="auto"/>
                    <w:rPr>
                      <w:rFonts w:ascii="Times New Roman" w:hAnsi="Times New Roman"/>
                      <w:b/>
                      <w:bCs/>
                      <w:sz w:val="22"/>
                      <w:szCs w:val="22"/>
                    </w:rPr>
                  </w:pP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2010</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2011</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2012</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2013</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2014</w:t>
                  </w:r>
                </w:p>
              </w:tc>
              <w:tc>
                <w:tcPr>
                  <w:tcW w:w="851" w:type="dxa"/>
                </w:tcPr>
                <w:p w:rsidR="00A131AD" w:rsidRPr="00155F80" w:rsidRDefault="00A131AD" w:rsidP="000C0138">
                  <w:pPr>
                    <w:spacing w:line="276" w:lineRule="auto"/>
                    <w:rPr>
                      <w:rFonts w:ascii="Times New Roman" w:hAnsi="Times New Roman"/>
                      <w:b/>
                      <w:bCs/>
                      <w:sz w:val="22"/>
                      <w:szCs w:val="22"/>
                    </w:rPr>
                  </w:pPr>
                  <w:r w:rsidRPr="00155F80">
                    <w:rPr>
                      <w:rFonts w:ascii="Times New Roman" w:hAnsi="Times New Roman"/>
                      <w:b/>
                      <w:bCs/>
                      <w:sz w:val="22"/>
                      <w:szCs w:val="22"/>
                    </w:rPr>
                    <w:t>2015</w:t>
                  </w:r>
                </w:p>
              </w:tc>
              <w:tc>
                <w:tcPr>
                  <w:tcW w:w="1796" w:type="dxa"/>
                  <w:shd w:val="clear" w:color="auto" w:fill="C0C0C0"/>
                </w:tcPr>
                <w:p w:rsidR="00A131AD" w:rsidRPr="00155F80" w:rsidRDefault="00A131AD" w:rsidP="000C0138">
                  <w:pPr>
                    <w:spacing w:line="276" w:lineRule="auto"/>
                    <w:rPr>
                      <w:rFonts w:ascii="Times New Roman" w:hAnsi="Times New Roman"/>
                      <w:b/>
                      <w:bCs/>
                      <w:sz w:val="22"/>
                      <w:szCs w:val="22"/>
                    </w:rPr>
                  </w:pPr>
                  <w:r w:rsidRPr="00155F80">
                    <w:rPr>
                      <w:rFonts w:ascii="Times New Roman" w:hAnsi="Times New Roman"/>
                      <w:sz w:val="22"/>
                      <w:szCs w:val="22"/>
                    </w:rPr>
                    <w:t>Sred.vrijednost</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Sarajevo</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113</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113</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Mostar</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234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202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216</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Livno</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207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180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179</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191</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Tuzla</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114</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117</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Bihać</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159</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105</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Sanski Most</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172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163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166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159</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Jajce</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88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92</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Stolac</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123</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Zenica</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128</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127</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132</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Gradačac</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r>
          </w:tbl>
          <w:p w:rsidR="00A131AD" w:rsidRPr="00155F80" w:rsidRDefault="00A131AD" w:rsidP="000C0138">
            <w:pPr>
              <w:spacing w:line="276" w:lineRule="auto"/>
              <w:rPr>
                <w:rFonts w:ascii="Times New Roman" w:hAnsi="Times New Roman"/>
                <w:b/>
                <w:bCs/>
              </w:rPr>
            </w:pPr>
          </w:p>
        </w:tc>
      </w:tr>
      <w:tr w:rsidR="00A131AD" w:rsidRPr="00155F80" w:rsidTr="001911A6">
        <w:trPr>
          <w:trHeight w:val="314"/>
        </w:trPr>
        <w:tc>
          <w:tcPr>
            <w:tcW w:w="2549"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bCs/>
              </w:rPr>
            </w:pPr>
            <w:r w:rsidRPr="00155F80">
              <w:rPr>
                <w:rFonts w:ascii="Times New Roman" w:hAnsi="Times New Roman"/>
                <w:bCs/>
              </w:rPr>
              <w:t xml:space="preserve">* Nedostupni </w:t>
            </w:r>
            <w:r w:rsidR="002B489B">
              <w:rPr>
                <w:rFonts w:ascii="Times New Roman" w:hAnsi="Times New Roman"/>
                <w:bCs/>
              </w:rPr>
              <w:t>podaci</w:t>
            </w: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2514"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236"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r>
    </w:tbl>
    <w:p w:rsidR="003066C2" w:rsidRPr="00EC077A" w:rsidRDefault="00A131AD" w:rsidP="00250204">
      <w:pPr>
        <w:pStyle w:val="TEKST"/>
        <w:rPr>
          <w:rStyle w:val="Emphasis"/>
          <w:color w:val="FF0000"/>
        </w:rPr>
      </w:pPr>
      <w:r w:rsidRPr="00EC077A">
        <w:rPr>
          <w:rStyle w:val="Emphasis"/>
          <w:i w:val="0"/>
        </w:rPr>
        <w:t xml:space="preserve">Na </w:t>
      </w:r>
      <w:r w:rsidR="0006688D">
        <w:rPr>
          <w:rStyle w:val="Emphasis"/>
          <w:i w:val="0"/>
        </w:rPr>
        <w:t>temelju</w:t>
      </w:r>
      <w:r w:rsidRPr="00EC077A">
        <w:rPr>
          <w:rStyle w:val="Emphasis"/>
          <w:i w:val="0"/>
        </w:rPr>
        <w:t xml:space="preserve"> izmjerenih vrijednosti aktivnosti radionuklida u uzorcima hrane </w:t>
      </w:r>
      <w:r w:rsidR="0006688D">
        <w:rPr>
          <w:rStyle w:val="Emphasis"/>
          <w:i w:val="0"/>
        </w:rPr>
        <w:t>obavlja</w:t>
      </w:r>
      <w:r w:rsidRPr="00EC077A">
        <w:rPr>
          <w:rStyle w:val="Emphasis"/>
          <w:i w:val="0"/>
        </w:rPr>
        <w:t xml:space="preserve"> se procjena efektivne doze za stanovništvo po </w:t>
      </w:r>
      <w:r w:rsidR="00526FD0">
        <w:rPr>
          <w:rStyle w:val="Emphasis"/>
          <w:i w:val="0"/>
        </w:rPr>
        <w:t>starosnim</w:t>
      </w:r>
      <w:r w:rsidRPr="00EC077A">
        <w:rPr>
          <w:rStyle w:val="Emphasis"/>
          <w:i w:val="0"/>
        </w:rPr>
        <w:t xml:space="preserve"> </w:t>
      </w:r>
      <w:r w:rsidR="00D21A46">
        <w:rPr>
          <w:rStyle w:val="Emphasis"/>
          <w:i w:val="0"/>
        </w:rPr>
        <w:t>grupa</w:t>
      </w:r>
      <w:r w:rsidRPr="00EC077A">
        <w:rPr>
          <w:rStyle w:val="Emphasis"/>
          <w:i w:val="0"/>
        </w:rPr>
        <w:t>ma ingestijom.</w:t>
      </w:r>
      <w:r w:rsidRPr="00155F80">
        <w:rPr>
          <w:rStyle w:val="Emphasis"/>
        </w:rPr>
        <w:t xml:space="preserve"> </w:t>
      </w:r>
      <w:r w:rsidRPr="00155F80">
        <w:rPr>
          <w:bCs/>
        </w:rPr>
        <w:t xml:space="preserve">Na bazi procjene utvrđeno je da nisu prekoračene granice unosa vještačkih radionuklida </w:t>
      </w:r>
      <w:r w:rsidRPr="00155F80">
        <w:rPr>
          <w:bCs/>
          <w:vertAlign w:val="superscript"/>
        </w:rPr>
        <w:t>137</w:t>
      </w:r>
      <w:r w:rsidRPr="00155F80">
        <w:rPr>
          <w:bCs/>
        </w:rPr>
        <w:t xml:space="preserve">Cs </w:t>
      </w:r>
      <w:r w:rsidRPr="00155F80">
        <w:t xml:space="preserve">i </w:t>
      </w:r>
      <w:r w:rsidRPr="00155F80">
        <w:rPr>
          <w:vertAlign w:val="superscript"/>
        </w:rPr>
        <w:t>90</w:t>
      </w:r>
      <w:r w:rsidRPr="00155F80">
        <w:t>Sr/</w:t>
      </w:r>
      <w:r w:rsidRPr="00155F80">
        <w:rPr>
          <w:vertAlign w:val="superscript"/>
        </w:rPr>
        <w:t>89</w:t>
      </w:r>
      <w:r w:rsidRPr="00155F80">
        <w:t>Sr</w:t>
      </w:r>
      <w:r w:rsidRPr="00155F80">
        <w:rPr>
          <w:bCs/>
        </w:rPr>
        <w:t xml:space="preserve"> u organizam, propisane Pravilnikom</w:t>
      </w:r>
      <w:r w:rsidRPr="00155F80">
        <w:t xml:space="preserve"> o granicama sadržaja radionuklida u hrani, hrani za životinje, lijekovima, predmetima opće </w:t>
      </w:r>
      <w:r w:rsidR="00526FD0">
        <w:t>upotrebe</w:t>
      </w:r>
      <w:r w:rsidRPr="00155F80">
        <w:t>, građevinskom materijalu i drugoj robi koja se stavlja u promet (Službeni glasnik BIH broj 54/14</w:t>
      </w:r>
      <w:r w:rsidRPr="00155F80">
        <w:rPr>
          <w:bCs/>
        </w:rPr>
        <w:t xml:space="preserve">). </w:t>
      </w:r>
    </w:p>
    <w:p w:rsidR="003230A0" w:rsidRPr="00155F80" w:rsidRDefault="00A80006" w:rsidP="00B37E7E">
      <w:pPr>
        <w:pStyle w:val="refererere"/>
      </w:pPr>
      <w:r>
        <w:t>Tabela</w:t>
      </w:r>
      <w:r w:rsidR="00A131AD" w:rsidRPr="00155F80">
        <w:t xml:space="preserve"> 18: Procijenjena ef</w:t>
      </w:r>
      <w:r w:rsidR="00526FD0">
        <w:t>ektivna doza uslijed</w:t>
      </w:r>
      <w:r w:rsidR="00A131AD" w:rsidRPr="00155F80">
        <w:t xml:space="preserve"> unosa vještačkih radionuklida Cs i Sr ingestijom hrane i vode za piće za različite </w:t>
      </w:r>
      <w:r>
        <w:t>starosne</w:t>
      </w:r>
      <w:r w:rsidR="00A131AD" w:rsidRPr="00155F80">
        <w:t xml:space="preserve"> </w:t>
      </w:r>
      <w:r w:rsidR="00D21A46">
        <w:t>grupe</w:t>
      </w:r>
      <w:r w:rsidR="00A131AD" w:rsidRPr="00155F80">
        <w:t xml:space="preserve"> (mikroSv/god)</w:t>
      </w:r>
    </w:p>
    <w:tbl>
      <w:tblPr>
        <w:tblW w:w="9298" w:type="dxa"/>
        <w:tblLook w:val="0000" w:firstRow="0" w:lastRow="0" w:firstColumn="0" w:lastColumn="0" w:noHBand="0" w:noVBand="0"/>
      </w:tblPr>
      <w:tblGrid>
        <w:gridCol w:w="1805"/>
        <w:gridCol w:w="765"/>
        <w:gridCol w:w="1109"/>
        <w:gridCol w:w="764"/>
        <w:gridCol w:w="1109"/>
        <w:gridCol w:w="764"/>
        <w:gridCol w:w="1109"/>
        <w:gridCol w:w="764"/>
        <w:gridCol w:w="1109"/>
      </w:tblGrid>
      <w:tr w:rsidR="00A131AD" w:rsidRPr="00155F80" w:rsidTr="001911A6">
        <w:trPr>
          <w:trHeight w:val="235"/>
        </w:trPr>
        <w:tc>
          <w:tcPr>
            <w:tcW w:w="1805"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color w:val="000000"/>
              </w:rPr>
            </w:pPr>
          </w:p>
        </w:tc>
        <w:tc>
          <w:tcPr>
            <w:tcW w:w="76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r>
      <w:tr w:rsidR="00A131AD" w:rsidRPr="00155F80" w:rsidTr="001911A6">
        <w:trPr>
          <w:trHeight w:val="197"/>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Starosna dob</w:t>
            </w:r>
          </w:p>
        </w:tc>
        <w:tc>
          <w:tcPr>
            <w:tcW w:w="765" w:type="dxa"/>
            <w:tcBorders>
              <w:top w:val="nil"/>
              <w:left w:val="nil"/>
              <w:bottom w:val="nil"/>
              <w:right w:val="nil"/>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18+</w:t>
            </w:r>
          </w:p>
        </w:tc>
        <w:tc>
          <w:tcPr>
            <w:tcW w:w="1109" w:type="dxa"/>
            <w:tcBorders>
              <w:top w:val="nil"/>
              <w:left w:val="nil"/>
              <w:bottom w:val="nil"/>
              <w:right w:val="nil"/>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single" w:sz="4" w:space="0" w:color="auto"/>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w:t>
            </w:r>
          </w:p>
        </w:tc>
        <w:tc>
          <w:tcPr>
            <w:tcW w:w="1109" w:type="dxa"/>
            <w:tcBorders>
              <w:top w:val="single" w:sz="4" w:space="0" w:color="auto"/>
              <w:left w:val="single" w:sz="4" w:space="0" w:color="auto"/>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nil"/>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5</w:t>
            </w:r>
          </w:p>
        </w:tc>
        <w:tc>
          <w:tcPr>
            <w:tcW w:w="1109" w:type="dxa"/>
            <w:tcBorders>
              <w:top w:val="single" w:sz="4" w:space="0" w:color="auto"/>
              <w:left w:val="nil"/>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nil"/>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w:t>
            </w:r>
          </w:p>
        </w:tc>
        <w:tc>
          <w:tcPr>
            <w:tcW w:w="1109" w:type="dxa"/>
            <w:tcBorders>
              <w:top w:val="single" w:sz="4" w:space="0" w:color="auto"/>
              <w:left w:val="nil"/>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2010.</w:t>
            </w:r>
          </w:p>
        </w:tc>
        <w:tc>
          <w:tcPr>
            <w:tcW w:w="765"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0,55</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0,68</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0,22</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1,12</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0,19</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0,62</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0,28</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1,01</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2011.</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1,27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2012.</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0,35</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1,73</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1,33</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2,43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2013</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0,42</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1,49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0,94</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2014</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0,35</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0,19</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1,49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0,94</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1,58</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2015</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Sred.vrijednost</w:t>
            </w:r>
          </w:p>
        </w:tc>
        <w:tc>
          <w:tcPr>
            <w:tcW w:w="765"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0,45</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0,88</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1,31</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0,16</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0,78</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0,23</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1,30</w:t>
            </w:r>
          </w:p>
        </w:tc>
      </w:tr>
    </w:tbl>
    <w:p w:rsidR="00A131AD" w:rsidRPr="003066C2" w:rsidRDefault="00A131AD" w:rsidP="000C0138">
      <w:pPr>
        <w:spacing w:line="276" w:lineRule="auto"/>
        <w:rPr>
          <w:rStyle w:val="Emphasis"/>
          <w:rFonts w:ascii="Times New Roman" w:hAnsi="Times New Roman"/>
          <w:i w:val="0"/>
          <w:color w:val="FF0000"/>
          <w:sz w:val="20"/>
          <w:szCs w:val="20"/>
          <w:lang w:val="pl-PL"/>
        </w:rPr>
      </w:pPr>
      <w:r w:rsidRPr="003066C2">
        <w:rPr>
          <w:rFonts w:ascii="Times New Roman" w:hAnsi="Times New Roman"/>
          <w:bCs/>
          <w:color w:val="000000"/>
          <w:sz w:val="20"/>
          <w:szCs w:val="20"/>
        </w:rPr>
        <w:t xml:space="preserve">* Nedostupni </w:t>
      </w:r>
      <w:r w:rsidR="002B489B">
        <w:rPr>
          <w:rFonts w:ascii="Times New Roman" w:hAnsi="Times New Roman"/>
          <w:bCs/>
          <w:color w:val="000000"/>
          <w:sz w:val="20"/>
          <w:szCs w:val="20"/>
        </w:rPr>
        <w:t>podaci</w:t>
      </w:r>
    </w:p>
    <w:p w:rsidR="00A131AD" w:rsidRPr="00155F80" w:rsidRDefault="00A131AD" w:rsidP="000C0138">
      <w:pPr>
        <w:spacing w:line="276" w:lineRule="auto"/>
        <w:rPr>
          <w:rStyle w:val="Emphasis"/>
          <w:rFonts w:ascii="Times New Roman" w:hAnsi="Times New Roman"/>
          <w:i w:val="0"/>
          <w:lang w:val="pl-PL"/>
        </w:rPr>
      </w:pPr>
    </w:p>
    <w:p w:rsidR="00F8495E" w:rsidRDefault="00A131AD" w:rsidP="003066C2">
      <w:pPr>
        <w:spacing w:line="276" w:lineRule="auto"/>
        <w:rPr>
          <w:rStyle w:val="Emphasis"/>
          <w:rFonts w:ascii="Times New Roman" w:hAnsi="Times New Roman"/>
          <w:i w:val="0"/>
          <w:lang w:val="pl-PL"/>
        </w:rPr>
      </w:pPr>
      <w:r w:rsidRPr="00155F80">
        <w:rPr>
          <w:rStyle w:val="Emphasis"/>
          <w:rFonts w:ascii="Times New Roman" w:hAnsi="Times New Roman"/>
          <w:i w:val="0"/>
          <w:lang w:val="pl-PL"/>
        </w:rPr>
        <w:t xml:space="preserve">Na </w:t>
      </w:r>
      <w:r w:rsidR="00AC46A7">
        <w:rPr>
          <w:rStyle w:val="Emphasis"/>
          <w:rFonts w:ascii="Times New Roman" w:hAnsi="Times New Roman"/>
          <w:i w:val="0"/>
          <w:lang w:val="pl-PL"/>
        </w:rPr>
        <w:t>temelju</w:t>
      </w:r>
      <w:r w:rsidRPr="00155F80">
        <w:rPr>
          <w:rStyle w:val="Emphasis"/>
          <w:rFonts w:ascii="Times New Roman" w:hAnsi="Times New Roman"/>
          <w:i w:val="0"/>
          <w:lang w:val="pl-PL"/>
        </w:rPr>
        <w:t xml:space="preserve"> izmjerenih vrijednosti aktivnosti radionuklida u uzorcima zračnih filtera (čestična </w:t>
      </w:r>
      <w:r w:rsidR="00D21A46">
        <w:rPr>
          <w:rStyle w:val="Emphasis"/>
          <w:rFonts w:ascii="Times New Roman" w:hAnsi="Times New Roman"/>
          <w:i w:val="0"/>
          <w:lang w:val="pl-PL"/>
        </w:rPr>
        <w:t>materija</w:t>
      </w:r>
      <w:r w:rsidRPr="00155F80">
        <w:rPr>
          <w:rStyle w:val="Emphasis"/>
          <w:rFonts w:ascii="Times New Roman" w:hAnsi="Times New Roman"/>
          <w:i w:val="0"/>
          <w:lang w:val="pl-PL"/>
        </w:rPr>
        <w:t xml:space="preserve">) za lokaciju Sarajevo </w:t>
      </w:r>
      <w:r w:rsidR="00AC46A7">
        <w:rPr>
          <w:rStyle w:val="Emphasis"/>
          <w:rFonts w:ascii="Times New Roman" w:hAnsi="Times New Roman"/>
          <w:i w:val="0"/>
          <w:lang w:val="pl-PL"/>
        </w:rPr>
        <w:t>obavlja</w:t>
      </w:r>
      <w:r w:rsidRPr="00155F80">
        <w:rPr>
          <w:rStyle w:val="Emphasis"/>
          <w:rFonts w:ascii="Times New Roman" w:hAnsi="Times New Roman"/>
          <w:i w:val="0"/>
          <w:lang w:val="pl-PL"/>
        </w:rPr>
        <w:t xml:space="preserve"> se procjena efektivne doze za stanovništvo po </w:t>
      </w:r>
      <w:r w:rsidR="00526FD0">
        <w:rPr>
          <w:rStyle w:val="Emphasis"/>
          <w:rFonts w:ascii="Times New Roman" w:hAnsi="Times New Roman"/>
          <w:i w:val="0"/>
          <w:lang w:val="pl-PL"/>
        </w:rPr>
        <w:t>starosnim</w:t>
      </w:r>
      <w:r w:rsidRPr="00155F80">
        <w:rPr>
          <w:rStyle w:val="Emphasis"/>
          <w:rFonts w:ascii="Times New Roman" w:hAnsi="Times New Roman"/>
          <w:i w:val="0"/>
          <w:lang w:val="pl-PL"/>
        </w:rPr>
        <w:t xml:space="preserve"> </w:t>
      </w:r>
      <w:r w:rsidR="00D21A46">
        <w:rPr>
          <w:rStyle w:val="Emphasis"/>
          <w:rFonts w:ascii="Times New Roman" w:hAnsi="Times New Roman"/>
          <w:i w:val="0"/>
          <w:lang w:val="pl-PL"/>
        </w:rPr>
        <w:t>grupa</w:t>
      </w:r>
      <w:r w:rsidRPr="00155F80">
        <w:rPr>
          <w:rStyle w:val="Emphasis"/>
          <w:rFonts w:ascii="Times New Roman" w:hAnsi="Times New Roman"/>
          <w:i w:val="0"/>
          <w:lang w:val="pl-PL"/>
        </w:rPr>
        <w:t>ma inhalacijom. Povećane vrijednosti u 2011. godini posljedica su nesreće u nuklearnoj elektrani Fukushima, Japan. Dobi</w:t>
      </w:r>
      <w:r w:rsidR="00AC46A7">
        <w:rPr>
          <w:rStyle w:val="Emphasis"/>
          <w:rFonts w:ascii="Times New Roman" w:hAnsi="Times New Roman"/>
          <w:i w:val="0"/>
          <w:lang w:val="pl-PL"/>
        </w:rPr>
        <w:t>v</w:t>
      </w:r>
      <w:r w:rsidRPr="00155F80">
        <w:rPr>
          <w:rStyle w:val="Emphasis"/>
          <w:rFonts w:ascii="Times New Roman" w:hAnsi="Times New Roman"/>
          <w:i w:val="0"/>
          <w:lang w:val="pl-PL"/>
        </w:rPr>
        <w:t xml:space="preserve">ene vrijednosti su na </w:t>
      </w:r>
      <w:r w:rsidR="002B489B">
        <w:rPr>
          <w:rStyle w:val="Emphasis"/>
          <w:rFonts w:ascii="Times New Roman" w:hAnsi="Times New Roman"/>
          <w:i w:val="0"/>
          <w:lang w:val="pl-PL"/>
        </w:rPr>
        <w:t>nivou</w:t>
      </w:r>
      <w:r w:rsidRPr="00155F80">
        <w:rPr>
          <w:rStyle w:val="Emphasis"/>
          <w:rFonts w:ascii="Times New Roman" w:hAnsi="Times New Roman"/>
          <w:i w:val="0"/>
          <w:lang w:val="pl-PL"/>
        </w:rPr>
        <w:t xml:space="preserve"> vrijednosti zemalja u regiji. Rezultati su dati u </w:t>
      </w:r>
      <w:r w:rsidR="00F0369C">
        <w:rPr>
          <w:rStyle w:val="Emphasis"/>
          <w:rFonts w:ascii="Times New Roman" w:hAnsi="Times New Roman"/>
          <w:i w:val="0"/>
          <w:lang w:val="pl-PL"/>
        </w:rPr>
        <w:t>Tabeli</w:t>
      </w:r>
      <w:r w:rsidRPr="00155F80">
        <w:rPr>
          <w:rStyle w:val="Emphasis"/>
          <w:rFonts w:ascii="Times New Roman" w:hAnsi="Times New Roman"/>
          <w:i w:val="0"/>
          <w:lang w:val="pl-PL"/>
        </w:rPr>
        <w:t xml:space="preserve"> 19.</w:t>
      </w: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4975B7" w:rsidRDefault="004975B7" w:rsidP="003066C2">
      <w:pPr>
        <w:spacing w:line="276" w:lineRule="auto"/>
        <w:rPr>
          <w:rStyle w:val="Emphasis"/>
          <w:rFonts w:ascii="Times New Roman" w:hAnsi="Times New Roman"/>
          <w:i w:val="0"/>
          <w:lang w:val="pl-PL"/>
        </w:rPr>
      </w:pPr>
    </w:p>
    <w:p w:rsidR="003066C2" w:rsidRDefault="003066C2" w:rsidP="003066C2">
      <w:pPr>
        <w:spacing w:line="276" w:lineRule="auto"/>
        <w:rPr>
          <w:rStyle w:val="Emphasis"/>
          <w:rFonts w:ascii="Times New Roman" w:hAnsi="Times New Roman"/>
          <w:i w:val="0"/>
          <w:sz w:val="20"/>
          <w:szCs w:val="20"/>
          <w:lang w:val="pl-PL"/>
        </w:rPr>
      </w:pPr>
    </w:p>
    <w:p w:rsidR="003230A0" w:rsidRPr="00155F80" w:rsidRDefault="00A80006" w:rsidP="00B37E7E">
      <w:pPr>
        <w:pStyle w:val="refererere"/>
        <w:rPr>
          <w:rStyle w:val="Emphasis"/>
          <w:i w:val="0"/>
          <w:lang w:val="pl-PL"/>
        </w:rPr>
      </w:pPr>
      <w:r>
        <w:rPr>
          <w:rStyle w:val="Emphasis"/>
          <w:i w:val="0"/>
          <w:lang w:val="pl-PL"/>
        </w:rPr>
        <w:t>Tabela</w:t>
      </w:r>
      <w:r w:rsidR="00A131AD" w:rsidRPr="00155F80">
        <w:rPr>
          <w:rStyle w:val="Emphasis"/>
          <w:i w:val="0"/>
          <w:lang w:val="pl-PL"/>
        </w:rPr>
        <w:t xml:space="preserve"> 19: Procijenjena efektivna doza uslijed unut</w:t>
      </w:r>
      <w:r w:rsidR="00C861DA">
        <w:rPr>
          <w:rStyle w:val="Emphasis"/>
          <w:i w:val="0"/>
          <w:lang w:val="pl-PL"/>
        </w:rPr>
        <w:t>a</w:t>
      </w:r>
      <w:r w:rsidR="00A131AD" w:rsidRPr="00155F80">
        <w:rPr>
          <w:rStyle w:val="Emphasis"/>
          <w:i w:val="0"/>
          <w:lang w:val="pl-PL"/>
        </w:rPr>
        <w:t xml:space="preserve">rnje ekspozicije unosom vještačkog radionuklida Cs inhalacijom po starosnim </w:t>
      </w:r>
      <w:r w:rsidR="00D21A46">
        <w:rPr>
          <w:rStyle w:val="Emphasis"/>
          <w:i w:val="0"/>
          <w:lang w:val="pl-PL"/>
        </w:rPr>
        <w:t>grupa</w:t>
      </w:r>
      <w:r w:rsidR="00A131AD" w:rsidRPr="00155F80">
        <w:rPr>
          <w:rStyle w:val="Emphasis"/>
          <w:i w:val="0"/>
          <w:lang w:val="pl-PL"/>
        </w:rPr>
        <w:t>ma (nSv/god)</w:t>
      </w:r>
    </w:p>
    <w:tbl>
      <w:tblPr>
        <w:tblW w:w="8752" w:type="dxa"/>
        <w:tblInd w:w="93" w:type="dxa"/>
        <w:tblLook w:val="0000" w:firstRow="0" w:lastRow="0" w:firstColumn="0" w:lastColumn="0" w:noHBand="0" w:noVBand="0"/>
      </w:tblPr>
      <w:tblGrid>
        <w:gridCol w:w="2197"/>
        <w:gridCol w:w="1862"/>
        <w:gridCol w:w="1626"/>
        <w:gridCol w:w="1599"/>
        <w:gridCol w:w="1468"/>
      </w:tblGrid>
      <w:tr w:rsidR="00A131AD" w:rsidRPr="00155F80" w:rsidTr="001911A6">
        <w:trPr>
          <w:trHeight w:val="317"/>
        </w:trPr>
        <w:tc>
          <w:tcPr>
            <w:tcW w:w="2197"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color w:val="000000"/>
              </w:rPr>
            </w:pPr>
          </w:p>
        </w:tc>
        <w:tc>
          <w:tcPr>
            <w:tcW w:w="186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626"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59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468"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r>
      <w:tr w:rsidR="00A131AD" w:rsidRPr="00155F80" w:rsidTr="001911A6">
        <w:trPr>
          <w:trHeight w:val="266"/>
        </w:trPr>
        <w:tc>
          <w:tcPr>
            <w:tcW w:w="2197"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Starosna dob</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18+</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5</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10</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2010.</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0,62</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0,37</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0,44</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0,53</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2011.</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1,39</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0,83</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0,98</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1,18</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2012.</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0,90</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0,54</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0,64</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0,76</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2013</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0,46</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0,27</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0,32</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0,39</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2014</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0,25</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0,15</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0,17</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2015</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Sred.vrijednost</w:t>
            </w:r>
          </w:p>
        </w:tc>
        <w:tc>
          <w:tcPr>
            <w:tcW w:w="1862"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0,72</w:t>
            </w:r>
          </w:p>
        </w:tc>
        <w:tc>
          <w:tcPr>
            <w:tcW w:w="1626"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0,43</w:t>
            </w:r>
          </w:p>
        </w:tc>
        <w:tc>
          <w:tcPr>
            <w:tcW w:w="159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0,51</w:t>
            </w:r>
          </w:p>
        </w:tc>
        <w:tc>
          <w:tcPr>
            <w:tcW w:w="1468"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0,61</w:t>
            </w:r>
          </w:p>
        </w:tc>
      </w:tr>
    </w:tbl>
    <w:p w:rsidR="00A131AD" w:rsidRPr="00155F80" w:rsidRDefault="00A131AD" w:rsidP="000C0138">
      <w:pPr>
        <w:spacing w:line="276" w:lineRule="auto"/>
        <w:rPr>
          <w:rStyle w:val="Emphasis"/>
          <w:rFonts w:ascii="Times New Roman" w:hAnsi="Times New Roman"/>
          <w:i w:val="0"/>
          <w:color w:val="FF0000"/>
          <w:lang w:val="pl-PL"/>
        </w:rPr>
      </w:pPr>
      <w:r w:rsidRPr="00155F80">
        <w:rPr>
          <w:rFonts w:ascii="Times New Roman" w:hAnsi="Times New Roman"/>
          <w:bCs/>
          <w:color w:val="000000"/>
        </w:rPr>
        <w:t xml:space="preserve">* Nedostupni </w:t>
      </w:r>
      <w:r w:rsidR="002B489B">
        <w:rPr>
          <w:rFonts w:ascii="Times New Roman" w:hAnsi="Times New Roman"/>
          <w:bCs/>
          <w:color w:val="000000"/>
        </w:rPr>
        <w:t>podaci</w:t>
      </w:r>
    </w:p>
    <w:p w:rsidR="003066C2" w:rsidRDefault="00A131AD" w:rsidP="00250204">
      <w:pPr>
        <w:pStyle w:val="TEKST"/>
      </w:pPr>
      <w:r w:rsidRPr="00155F80">
        <w:t xml:space="preserve">Plan monitoringa nije </w:t>
      </w:r>
      <w:r w:rsidR="00F0369C">
        <w:t>realizovan</w:t>
      </w:r>
      <w:r w:rsidRPr="00155F80">
        <w:t xml:space="preserve"> u potpunosti u 2014. i 2015. godini, zbog preseljavanja i adaptacije laboratorija za mjerenje radioaktivnosti. </w:t>
      </w:r>
    </w:p>
    <w:p w:rsidR="008F6458" w:rsidRPr="003066C2" w:rsidRDefault="00A131AD" w:rsidP="00250204">
      <w:pPr>
        <w:pStyle w:val="TEKST"/>
        <w:rPr>
          <w:i/>
        </w:rPr>
      </w:pPr>
      <w:r w:rsidRPr="003066C2">
        <w:t xml:space="preserve">Projekat mapiranja radionuklida u tlu u Kantonu </w:t>
      </w:r>
      <w:r w:rsidR="008F6458" w:rsidRPr="003066C2">
        <w:t>10</w:t>
      </w:r>
    </w:p>
    <w:p w:rsidR="00A131AD" w:rsidRPr="00155F80" w:rsidRDefault="00A131AD" w:rsidP="00250204">
      <w:pPr>
        <w:pStyle w:val="TEKST"/>
        <w:rPr>
          <w:i/>
        </w:rPr>
      </w:pPr>
      <w:r w:rsidRPr="00155F80">
        <w:t xml:space="preserve">U okviru saradnje sa Međunarodnom agencijom za atomsku energiju u </w:t>
      </w:r>
      <w:r w:rsidR="00F70FD4">
        <w:t>periodu</w:t>
      </w:r>
      <w:r w:rsidRPr="00155F80">
        <w:t xml:space="preserve"> 2012-2014 </w:t>
      </w:r>
      <w:r w:rsidR="00F0369C">
        <w:t>realizovan</w:t>
      </w:r>
      <w:r w:rsidRPr="00155F80">
        <w:t xml:space="preserve"> je projekat mapiranja radionuklida u tlu u Kantunu 10. </w:t>
      </w:r>
    </w:p>
    <w:p w:rsidR="00A131AD" w:rsidRPr="00155F80" w:rsidRDefault="00A131AD" w:rsidP="00250204">
      <w:pPr>
        <w:pStyle w:val="TEKST"/>
        <w:rPr>
          <w:i/>
        </w:rPr>
      </w:pPr>
      <w:r w:rsidRPr="00155F80">
        <w:t xml:space="preserve">Izmjerene vrijednosti aktivnosti za prirodne radionuklide iznose: 17 Bq/kg-255 Bq/kg za </w:t>
      </w:r>
      <w:r w:rsidRPr="00155F80">
        <w:rPr>
          <w:vertAlign w:val="superscript"/>
        </w:rPr>
        <w:t>238</w:t>
      </w:r>
      <w:r w:rsidRPr="00155F80">
        <w:t xml:space="preserve">U, 9 Bq/kg-134 Bq/kg za </w:t>
      </w:r>
      <w:r w:rsidRPr="00155F80">
        <w:rPr>
          <w:vertAlign w:val="superscript"/>
        </w:rPr>
        <w:t>226</w:t>
      </w:r>
      <w:r w:rsidRPr="00155F80">
        <w:t xml:space="preserve">Ra, 11 Bq/kg -103 Bq/kg za </w:t>
      </w:r>
      <w:r w:rsidRPr="00155F80">
        <w:rPr>
          <w:vertAlign w:val="superscript"/>
        </w:rPr>
        <w:t>232</w:t>
      </w:r>
      <w:r w:rsidRPr="00155F80">
        <w:t xml:space="preserve">Th i 120 Bq/kg -1237 Bq/kg za </w:t>
      </w:r>
      <w:r w:rsidRPr="00155F80">
        <w:rPr>
          <w:vertAlign w:val="superscript"/>
        </w:rPr>
        <w:t>40</w:t>
      </w:r>
      <w:r w:rsidRPr="00155F80">
        <w:t xml:space="preserve">K. Srednja vrijednost aktivnosti za prirodne radionuklide iznose: 96 Bq/kg za </w:t>
      </w:r>
      <w:r w:rsidRPr="00155F80">
        <w:rPr>
          <w:vertAlign w:val="superscript"/>
        </w:rPr>
        <w:t>238</w:t>
      </w:r>
      <w:r w:rsidRPr="00155F80">
        <w:t xml:space="preserve">U, 61 Bq/kg za </w:t>
      </w:r>
      <w:r w:rsidRPr="00155F80">
        <w:rPr>
          <w:vertAlign w:val="superscript"/>
        </w:rPr>
        <w:t>226</w:t>
      </w:r>
      <w:r w:rsidRPr="00155F80">
        <w:t xml:space="preserve">Ra, 50 Bq/kg za </w:t>
      </w:r>
      <w:r w:rsidRPr="00155F80">
        <w:rPr>
          <w:vertAlign w:val="superscript"/>
        </w:rPr>
        <w:t>232</w:t>
      </w:r>
      <w:r w:rsidRPr="00155F80">
        <w:t xml:space="preserve">Th i 328 Bq/kg za </w:t>
      </w:r>
      <w:r w:rsidRPr="00155F80">
        <w:rPr>
          <w:vertAlign w:val="superscript"/>
        </w:rPr>
        <w:t>40</w:t>
      </w:r>
      <w:r w:rsidRPr="00155F80">
        <w:t xml:space="preserve">K. Raspon izmjerenih vrijednosti aktivnosti za prirodne radionuklide je na </w:t>
      </w:r>
      <w:r w:rsidR="002B489B">
        <w:t>nivou</w:t>
      </w:r>
      <w:r w:rsidRPr="00155F80">
        <w:t xml:space="preserve"> vrijednosti za regiju, a srednje vrijednosti aktivnosti su više za sve mjerene radionuklide, što pokazuje povećanu prirodnu radioaktivnost tla na ispitivanim lokacijama. Izmjerene vrijednosti u tlu za vještački radionuklid </w:t>
      </w:r>
      <w:r w:rsidRPr="00155F80">
        <w:rPr>
          <w:vertAlign w:val="superscript"/>
        </w:rPr>
        <w:t>137</w:t>
      </w:r>
      <w:r w:rsidRPr="00155F80">
        <w:t xml:space="preserve">Cs u tlu iznose 46 - 276 Bq/kg i na </w:t>
      </w:r>
      <w:r w:rsidR="002B489B">
        <w:t>nivou</w:t>
      </w:r>
      <w:r w:rsidRPr="00155F80">
        <w:t xml:space="preserve"> su mjerenih vrijednosti za FBiH koje iznose od 6 Bq/kg do 250 Bq/kg. Koncentracija vještačkog </w:t>
      </w:r>
      <w:r w:rsidRPr="00155F80">
        <w:rPr>
          <w:vertAlign w:val="superscript"/>
        </w:rPr>
        <w:t>137</w:t>
      </w:r>
      <w:r w:rsidRPr="00155F80">
        <w:t>Cs, na tri lokaliteta, je viša od preporučene maksimalne vrijednosti kontaminacije (200 Bq/kg). Vrijednosti radij ekvivalenta (Ra</w:t>
      </w:r>
      <w:r w:rsidRPr="00155F80">
        <w:rPr>
          <w:vertAlign w:val="subscript"/>
        </w:rPr>
        <w:t>eq</w:t>
      </w:r>
      <w:r w:rsidRPr="00155F80">
        <w:t>) za ispitivane uzorke tla su niže od 370 Bq/kg, što označava zanemarljiv radijaci</w:t>
      </w:r>
      <w:r w:rsidR="00AC46A7">
        <w:t>jski</w:t>
      </w:r>
      <w:r w:rsidRPr="00155F80">
        <w:t xml:space="preserve"> rizik od izloženosti zračenju iz tla. Apsorb</w:t>
      </w:r>
      <w:r w:rsidR="00AC46A7">
        <w:t xml:space="preserve">irana </w:t>
      </w:r>
      <w:r w:rsidRPr="00155F80">
        <w:t>doza u zraku iznosi od 24 nGy/h do 128 nGy/h, srednja vrijednost 81 nGy/h, što je više (≈30%) od prosječne globalne vrijednosti koja iznosi 58 nGy/h. Efektivna doza iznosi od 0,030 mSv/g do 0,157 mSv/g, srednja vrijednost 0,100 mSv/g, što je više od prosječne globalne vrijednosti od 0,066 mSv/g.</w:t>
      </w:r>
    </w:p>
    <w:p w:rsidR="0059128D" w:rsidRDefault="00A131AD" w:rsidP="00250204">
      <w:pPr>
        <w:pStyle w:val="TEKST"/>
      </w:pPr>
      <w:r w:rsidRPr="0059128D">
        <w:t>Program ispitivanja radioaktivnosti podzemnih voda u Hadžićima</w:t>
      </w:r>
    </w:p>
    <w:p w:rsidR="003066C2" w:rsidRPr="0059128D" w:rsidRDefault="003066C2" w:rsidP="00250204">
      <w:pPr>
        <w:pStyle w:val="TEKST"/>
      </w:pPr>
    </w:p>
    <w:p w:rsidR="00A131AD" w:rsidRPr="00155F80" w:rsidRDefault="00A131AD" w:rsidP="000C0138">
      <w:pPr>
        <w:spacing w:line="276" w:lineRule="auto"/>
        <w:rPr>
          <w:rFonts w:ascii="Times New Roman" w:hAnsi="Times New Roman"/>
          <w:lang w:val="pl-PL"/>
        </w:rPr>
      </w:pPr>
      <w:r w:rsidRPr="00155F80">
        <w:rPr>
          <w:rFonts w:ascii="Times New Roman" w:hAnsi="Times New Roman"/>
          <w:lang w:val="pl-PL"/>
        </w:rPr>
        <w:t xml:space="preserve">Ispitivanja urana u vodama na području Hadžica </w:t>
      </w:r>
      <w:r w:rsidR="00AC46A7">
        <w:rPr>
          <w:rFonts w:ascii="Times New Roman" w:hAnsi="Times New Roman"/>
          <w:lang w:val="pl-PL"/>
        </w:rPr>
        <w:t>obavljana</w:t>
      </w:r>
      <w:r w:rsidRPr="00155F80">
        <w:rPr>
          <w:rFonts w:ascii="Times New Roman" w:hAnsi="Times New Roman"/>
          <w:lang w:val="pl-PL"/>
        </w:rPr>
        <w:t xml:space="preserve"> su u </w:t>
      </w:r>
      <w:r w:rsidR="00F70FD4">
        <w:rPr>
          <w:rFonts w:ascii="Times New Roman" w:hAnsi="Times New Roman"/>
          <w:lang w:val="pl-PL"/>
        </w:rPr>
        <w:t>periodu</w:t>
      </w:r>
      <w:r w:rsidRPr="00155F80">
        <w:rPr>
          <w:rFonts w:ascii="Times New Roman" w:hAnsi="Times New Roman"/>
          <w:lang w:val="pl-PL"/>
        </w:rPr>
        <w:t xml:space="preserve"> 2010</w:t>
      </w:r>
      <w:r w:rsidR="00EC077A">
        <w:rPr>
          <w:rFonts w:ascii="Times New Roman" w:hAnsi="Times New Roman"/>
          <w:lang w:val="pl-PL"/>
        </w:rPr>
        <w:t>.</w:t>
      </w:r>
      <w:r w:rsidRPr="00155F80">
        <w:rPr>
          <w:rFonts w:ascii="Times New Roman" w:hAnsi="Times New Roman"/>
          <w:lang w:val="pl-PL"/>
        </w:rPr>
        <w:t>-2011. godine u okviru istraživačkog projekta, finan</w:t>
      </w:r>
      <w:r w:rsidR="00AC46A7">
        <w:rPr>
          <w:rFonts w:ascii="Times New Roman" w:hAnsi="Times New Roman"/>
          <w:lang w:val="pl-PL"/>
        </w:rPr>
        <w:t>c</w:t>
      </w:r>
      <w:r w:rsidRPr="00155F80">
        <w:rPr>
          <w:rFonts w:ascii="Times New Roman" w:hAnsi="Times New Roman"/>
          <w:lang w:val="pl-PL"/>
        </w:rPr>
        <w:t xml:space="preserve">iranog od Federalnog ministarstva </w:t>
      </w:r>
      <w:r w:rsidR="00AC46A7">
        <w:rPr>
          <w:rFonts w:ascii="Times New Roman" w:hAnsi="Times New Roman"/>
          <w:lang w:val="pl-PL"/>
        </w:rPr>
        <w:t>znanosti</w:t>
      </w:r>
      <w:r w:rsidRPr="00155F80">
        <w:rPr>
          <w:rFonts w:ascii="Times New Roman" w:hAnsi="Times New Roman"/>
          <w:lang w:val="pl-PL"/>
        </w:rPr>
        <w:t xml:space="preserve"> i obrazovanja. </w:t>
      </w:r>
    </w:p>
    <w:p w:rsidR="004975B7" w:rsidRDefault="00A131AD" w:rsidP="000C0138">
      <w:pPr>
        <w:spacing w:line="276" w:lineRule="auto"/>
        <w:rPr>
          <w:rFonts w:ascii="Times New Roman" w:hAnsi="Times New Roman"/>
          <w:lang w:val="pl-PL"/>
        </w:rPr>
      </w:pPr>
      <w:r w:rsidRPr="00155F80">
        <w:rPr>
          <w:rFonts w:ascii="Times New Roman" w:hAnsi="Times New Roman"/>
          <w:lang w:val="pl-PL"/>
        </w:rPr>
        <w:t>Ispitivanja podzemnih voda ukazuju na prirodan sadržaj urana i nije detekt</w:t>
      </w:r>
      <w:r w:rsidR="00A92ED0">
        <w:rPr>
          <w:rFonts w:ascii="Times New Roman" w:hAnsi="Times New Roman"/>
          <w:lang w:val="pl-PL"/>
        </w:rPr>
        <w:t>irana</w:t>
      </w:r>
      <w:r w:rsidRPr="00155F80">
        <w:rPr>
          <w:rFonts w:ascii="Times New Roman" w:hAnsi="Times New Roman"/>
          <w:lang w:val="pl-PL"/>
        </w:rPr>
        <w:t xml:space="preserve"> kontaminacija podzemnih voda osiromašenim uranom. Varijacije sadržaja urana na ispitivanom području posljedica su trošenja stijena i otapanja radioelemenata ovisno o geo</w:t>
      </w:r>
      <w:r w:rsidR="00950A64">
        <w:rPr>
          <w:rFonts w:ascii="Times New Roman" w:hAnsi="Times New Roman"/>
          <w:lang w:val="pl-PL"/>
        </w:rPr>
        <w:t>hemijski</w:t>
      </w:r>
      <w:r w:rsidRPr="00155F80">
        <w:rPr>
          <w:rFonts w:ascii="Times New Roman" w:hAnsi="Times New Roman"/>
          <w:lang w:val="pl-PL"/>
        </w:rPr>
        <w:t xml:space="preserve">m </w:t>
      </w:r>
      <w:r w:rsidR="00F70FD4">
        <w:rPr>
          <w:rFonts w:ascii="Times New Roman" w:hAnsi="Times New Roman"/>
          <w:lang w:val="pl-PL"/>
        </w:rPr>
        <w:t>uslovi</w:t>
      </w:r>
      <w:r w:rsidRPr="00155F80">
        <w:rPr>
          <w:rFonts w:ascii="Times New Roman" w:hAnsi="Times New Roman"/>
          <w:lang w:val="pl-PL"/>
        </w:rPr>
        <w:t xml:space="preserve">ma sredine. Rezultati ispitivanja su prikazani u </w:t>
      </w:r>
      <w:r w:rsidR="00F0369C">
        <w:rPr>
          <w:rFonts w:ascii="Times New Roman" w:hAnsi="Times New Roman"/>
          <w:lang w:val="pl-PL"/>
        </w:rPr>
        <w:t>Tabeli</w:t>
      </w:r>
      <w:r w:rsidRPr="00155F80">
        <w:rPr>
          <w:rFonts w:ascii="Times New Roman" w:hAnsi="Times New Roman"/>
          <w:lang w:val="pl-PL"/>
        </w:rPr>
        <w:t xml:space="preserve"> 20.</w:t>
      </w:r>
    </w:p>
    <w:p w:rsidR="002C323A" w:rsidRDefault="002C323A" w:rsidP="000C0138">
      <w:pPr>
        <w:spacing w:line="276" w:lineRule="auto"/>
        <w:rPr>
          <w:rFonts w:ascii="Times New Roman" w:hAnsi="Times New Roman"/>
          <w:lang w:val="pl-PL"/>
        </w:rPr>
      </w:pPr>
    </w:p>
    <w:p w:rsidR="00A131AD" w:rsidRPr="00155F80" w:rsidRDefault="00A80006" w:rsidP="00B37E7E">
      <w:pPr>
        <w:pStyle w:val="refererere"/>
        <w:rPr>
          <w:rStyle w:val="Emphasis"/>
          <w:bCs/>
          <w:i w:val="0"/>
          <w:iCs w:val="0"/>
        </w:rPr>
      </w:pPr>
      <w:r>
        <w:rPr>
          <w:rStyle w:val="Emphasis"/>
          <w:i w:val="0"/>
          <w:lang w:val="pl-PL"/>
        </w:rPr>
        <w:t>Tabela</w:t>
      </w:r>
      <w:r w:rsidR="00A131AD" w:rsidRPr="00155F80">
        <w:rPr>
          <w:rStyle w:val="Emphasis"/>
          <w:i w:val="0"/>
          <w:lang w:val="pl-PL"/>
        </w:rPr>
        <w:t xml:space="preserve"> 20: </w:t>
      </w:r>
      <w:r w:rsidR="00A131AD" w:rsidRPr="00155F80">
        <w:t>Sumarni prikaz rezultata alfa spektrometrijske analize urana u ispitivanim uzorcima vode</w:t>
      </w:r>
    </w:p>
    <w:tbl>
      <w:tblPr>
        <w:tblW w:w="8851" w:type="dxa"/>
        <w:tblInd w:w="93" w:type="dxa"/>
        <w:tblLook w:val="0000" w:firstRow="0" w:lastRow="0" w:firstColumn="0" w:lastColumn="0" w:noHBand="0" w:noVBand="0"/>
      </w:tblPr>
      <w:tblGrid>
        <w:gridCol w:w="1750"/>
        <w:gridCol w:w="1183"/>
        <w:gridCol w:w="1184"/>
        <w:gridCol w:w="1183"/>
        <w:gridCol w:w="1184"/>
        <w:gridCol w:w="1183"/>
        <w:gridCol w:w="1184"/>
      </w:tblGrid>
      <w:tr w:rsidR="00A131AD" w:rsidRPr="00155F80" w:rsidTr="003066C2">
        <w:trPr>
          <w:trHeight w:val="304"/>
        </w:trPr>
        <w:tc>
          <w:tcPr>
            <w:tcW w:w="1750"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Vrsta uzorka</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vertAlign w:val="superscript"/>
              </w:rPr>
              <w:t>238</w:t>
            </w:r>
            <w:r w:rsidRPr="003066C2">
              <w:rPr>
                <w:rFonts w:ascii="Times New Roman" w:hAnsi="Times New Roman"/>
                <w:b/>
                <w:bCs/>
                <w:color w:val="000000"/>
              </w:rPr>
              <w:t>U</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vertAlign w:val="superscript"/>
              </w:rPr>
              <w:t>234</w:t>
            </w:r>
            <w:r w:rsidRPr="003066C2">
              <w:rPr>
                <w:rFonts w:ascii="Times New Roman" w:hAnsi="Times New Roman"/>
                <w:b/>
                <w:bCs/>
                <w:color w:val="000000"/>
              </w:rPr>
              <w:t>U</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U</w:t>
            </w:r>
            <w:r w:rsidRPr="003066C2">
              <w:rPr>
                <w:rFonts w:ascii="Times New Roman" w:hAnsi="Times New Roman"/>
                <w:b/>
                <w:bCs/>
                <w:color w:val="000000"/>
                <w:vertAlign w:val="subscript"/>
              </w:rPr>
              <w:t>total</w:t>
            </w:r>
          </w:p>
        </w:tc>
      </w:tr>
      <w:tr w:rsidR="00A131AD" w:rsidRPr="00155F80" w:rsidTr="003066C2">
        <w:trPr>
          <w:trHeight w:val="278"/>
        </w:trPr>
        <w:tc>
          <w:tcPr>
            <w:tcW w:w="1750"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rPr>
                <w:rFonts w:ascii="Times New Roman" w:hAnsi="Times New Roman"/>
                <w:b/>
                <w:bCs/>
                <w:color w:val="000000"/>
              </w:rPr>
            </w:pP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mBq/L</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mBq/L</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µg/L</w:t>
            </w:r>
          </w:p>
        </w:tc>
      </w:tr>
      <w:tr w:rsidR="00A131AD" w:rsidRPr="00155F80" w:rsidTr="003066C2">
        <w:trPr>
          <w:trHeight w:val="278"/>
        </w:trPr>
        <w:tc>
          <w:tcPr>
            <w:tcW w:w="1750"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rPr>
                <w:rFonts w:ascii="Times New Roman" w:hAnsi="Times New Roman"/>
                <w:b/>
                <w:bCs/>
                <w:color w:val="000000"/>
              </w:rPr>
            </w:pP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r>
      <w:tr w:rsidR="00A131AD" w:rsidRPr="00155F80" w:rsidTr="003066C2">
        <w:trPr>
          <w:trHeight w:val="516"/>
        </w:trPr>
        <w:tc>
          <w:tcPr>
            <w:tcW w:w="1750" w:type="dxa"/>
            <w:tcBorders>
              <w:top w:val="nil"/>
              <w:left w:val="single" w:sz="8" w:space="0" w:color="auto"/>
              <w:bottom w:val="single" w:sz="8" w:space="0" w:color="auto"/>
              <w:right w:val="single" w:sz="8" w:space="0" w:color="auto"/>
            </w:tcBorders>
            <w:shd w:val="clear" w:color="auto" w:fill="E7E6E6" w:themeFill="background2"/>
            <w:vAlign w:val="center"/>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Podzemne vode</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2,6</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13,9</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3,2</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15,3</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w:t>
            </w:r>
          </w:p>
        </w:tc>
      </w:tr>
    </w:tbl>
    <w:p w:rsidR="00A131AD" w:rsidRPr="00155F80" w:rsidRDefault="00A131AD" w:rsidP="000C0138">
      <w:pPr>
        <w:spacing w:line="276" w:lineRule="auto"/>
        <w:rPr>
          <w:rStyle w:val="Emphasis"/>
          <w:rFonts w:ascii="Times New Roman" w:hAnsi="Times New Roman"/>
          <w:i w:val="0"/>
          <w:color w:val="FF0000"/>
          <w:lang w:val="pl-PL"/>
        </w:rPr>
      </w:pPr>
    </w:p>
    <w:p w:rsidR="00A131AD" w:rsidRPr="00155F80" w:rsidRDefault="00A131AD" w:rsidP="000C0138">
      <w:pPr>
        <w:keepLines/>
        <w:spacing w:line="276" w:lineRule="auto"/>
        <w:rPr>
          <w:rFonts w:ascii="Times New Roman" w:hAnsi="Times New Roman"/>
          <w:b/>
          <w:bCs/>
          <w:iCs/>
          <w:lang w:val="bs-Latn-BA"/>
        </w:rPr>
      </w:pPr>
      <w:r w:rsidRPr="00155F80">
        <w:rPr>
          <w:rFonts w:ascii="Times New Roman" w:hAnsi="Times New Roman"/>
          <w:b/>
          <w:bCs/>
          <w:iCs/>
          <w:lang w:val="bs-Latn-BA"/>
        </w:rPr>
        <w:t xml:space="preserve">Zdravstvena ispravnost hrane i vode za piće namijenjene konzumaciji ljudi-parametar </w:t>
      </w:r>
    </w:p>
    <w:p w:rsidR="00A131AD" w:rsidRPr="00155F80" w:rsidRDefault="00A131AD" w:rsidP="000C0138">
      <w:pPr>
        <w:keepLines/>
        <w:spacing w:line="276" w:lineRule="auto"/>
        <w:rPr>
          <w:rFonts w:ascii="Times New Roman" w:hAnsi="Times New Roman"/>
          <w:b/>
          <w:bCs/>
          <w:iCs/>
          <w:lang w:val="bs-Latn-BA"/>
        </w:rPr>
      </w:pPr>
      <w:r w:rsidRPr="00155F80">
        <w:rPr>
          <w:rFonts w:ascii="Times New Roman" w:hAnsi="Times New Roman"/>
          <w:b/>
          <w:bCs/>
          <w:iCs/>
          <w:lang w:val="bs-Latn-BA"/>
        </w:rPr>
        <w:t>radioaktivnost</w:t>
      </w:r>
    </w:p>
    <w:p w:rsidR="00A131AD" w:rsidRPr="00155F80" w:rsidRDefault="00A131AD" w:rsidP="00250204">
      <w:pPr>
        <w:pStyle w:val="TEKST"/>
        <w:rPr>
          <w:i/>
        </w:rPr>
      </w:pPr>
      <w:r w:rsidRPr="00155F80">
        <w:t xml:space="preserve">U </w:t>
      </w:r>
      <w:r w:rsidR="00F70FD4">
        <w:t>periodu</w:t>
      </w:r>
      <w:r w:rsidRPr="00155F80">
        <w:t xml:space="preserve"> od 2010. do 2015. godine, na </w:t>
      </w:r>
      <w:r w:rsidR="00A92ED0">
        <w:t>temelju</w:t>
      </w:r>
      <w:r w:rsidRPr="00155F80">
        <w:t xml:space="preserve"> dostupnih podataka, obavljeno je oko 5</w:t>
      </w:r>
      <w:r w:rsidR="00A92ED0">
        <w:t>.</w:t>
      </w:r>
      <w:r w:rsidRPr="00155F80">
        <w:t xml:space="preserve">000 analiza uzoraka </w:t>
      </w:r>
      <w:r w:rsidR="0059128D">
        <w:t>hrane na zdravstvenu ispravnost</w:t>
      </w:r>
      <w:r w:rsidRPr="00155F80">
        <w:t>– parametar radioaktivnost, i to u 90% slučajeva prema zahtjevu naruči</w:t>
      </w:r>
      <w:r w:rsidR="00A92ED0">
        <w:t>itelja</w:t>
      </w:r>
      <w:r w:rsidRPr="00155F80">
        <w:t xml:space="preserve"> u svrhu izvoza. Od ukupnog broja analiziranih uzoraka svega 0,30 % bilo je iznad maksimalno dozvoljene granične vrijednosti od 370 Bq/kg za mlijeko,</w:t>
      </w:r>
      <w:r w:rsidR="00A92ED0">
        <w:t xml:space="preserve"> </w:t>
      </w:r>
      <w:r w:rsidRPr="00155F80">
        <w:t xml:space="preserve">mliječne proizvode i dječju hranu, odnosno 600 Bq/kg za svu ostalu hranu (Sl. Gl. BIH 68/14). </w:t>
      </w:r>
    </w:p>
    <w:p w:rsidR="00A131AD" w:rsidRPr="00155F80" w:rsidRDefault="00A131AD" w:rsidP="00250204">
      <w:pPr>
        <w:pStyle w:val="TEKST"/>
        <w:rPr>
          <w:i/>
        </w:rPr>
      </w:pPr>
      <w:r w:rsidRPr="00155F80">
        <w:t xml:space="preserve">U istom </w:t>
      </w:r>
      <w:r w:rsidR="00F70FD4">
        <w:t>periodu</w:t>
      </w:r>
      <w:r w:rsidRPr="00155F80">
        <w:t xml:space="preserve"> urađeno je oko 400 analiza uzoraka vode na zdravstvenu ispravnost –parametar radioaktivnost (mjerenje ukupne alfa i ukupne beta aktivnosti) takođe</w:t>
      </w:r>
      <w:r w:rsidR="00A92ED0">
        <w:t>r</w:t>
      </w:r>
      <w:r w:rsidRPr="00155F80">
        <w:t xml:space="preserve"> prema zahtjevu naruči</w:t>
      </w:r>
      <w:r w:rsidR="00A92ED0">
        <w:t>telja</w:t>
      </w:r>
      <w:r w:rsidRPr="00155F80">
        <w:t>. Granična vrijednost ukupne alfa aktivnosti od 0,1 Bq/L (Sl. Gl. RS 75/15) odnosno 0,5 Bq/L (Sl. Gl. BIH 54/14; Sl. Gl. BiH 26/10 i 32/12 i Sl. Gl. BiH 40/10) je bila prekoračena u 4 analizirana uzorka, a izmjerene vrijednosti za ukupnu beta aktivnost su bile manje od granične vrijednosti 1 Bq/L (Sl. Gl. BIH 54/14; Sl. Gl. BiH 26/10 i 32/12 i Sl. Gl. BiH 40/10).</w:t>
      </w:r>
    </w:p>
    <w:bookmarkEnd w:id="333"/>
    <w:p w:rsidR="008F6458" w:rsidRPr="00155F80" w:rsidRDefault="00A131AD" w:rsidP="00250204">
      <w:pPr>
        <w:pStyle w:val="TEKST"/>
      </w:pPr>
      <w:r w:rsidRPr="00EC077A">
        <w:rPr>
          <w:rStyle w:val="Emphasis"/>
          <w:rFonts w:eastAsia="Calibri"/>
          <w:i w:val="0"/>
          <w:noProof w:val="0"/>
        </w:rPr>
        <w:t>Zavod za javno zdravstv</w:t>
      </w:r>
      <w:r w:rsidR="00A92ED0">
        <w:rPr>
          <w:rStyle w:val="Emphasis"/>
          <w:rFonts w:eastAsia="Calibri"/>
          <w:i w:val="0"/>
          <w:noProof w:val="0"/>
        </w:rPr>
        <w:t>o</w:t>
      </w:r>
      <w:r w:rsidRPr="00EC077A">
        <w:rPr>
          <w:rStyle w:val="Emphasis"/>
          <w:rFonts w:eastAsia="Calibri"/>
          <w:i w:val="0"/>
          <w:noProof w:val="0"/>
        </w:rPr>
        <w:t xml:space="preserve"> FBiH je jedina institucija u Bosni i Hercegovini koja je kadrovski i materijalno osposobljena za provođenje analize zdravstvene ispravnosti vode za piće-parametar radioaktivnost.</w:t>
      </w:r>
      <w:r w:rsidRPr="00155F80">
        <w:rPr>
          <w:rStyle w:val="Emphasis"/>
          <w:rFonts w:eastAsia="Calibri"/>
          <w:noProof w:val="0"/>
        </w:rPr>
        <w:t xml:space="preserve"> </w:t>
      </w:r>
      <w:r w:rsidRPr="00A92ED0">
        <w:rPr>
          <w:rStyle w:val="Emphasis"/>
          <w:rFonts w:eastAsia="Calibri"/>
          <w:i w:val="0"/>
          <w:noProof w:val="0"/>
        </w:rPr>
        <w:t>N</w:t>
      </w:r>
      <w:r w:rsidRPr="00155F80">
        <w:t xml:space="preserve">a </w:t>
      </w:r>
      <w:r w:rsidR="00A92ED0">
        <w:t>temelju</w:t>
      </w:r>
      <w:r w:rsidRPr="00155F80">
        <w:t xml:space="preserve"> podataka o veoma malom broju analiziranih uzoraka, može se zaključiti da nije uspostavljen </w:t>
      </w:r>
      <w:r w:rsidR="00512E30">
        <w:t>sistem</w:t>
      </w:r>
      <w:r w:rsidRPr="00155F80">
        <w:t xml:space="preserve"> praćenja i kontrole zdravstvene ispravnosti vode za piće na području FBiH. Posebno treba istaći da nije izvrše</w:t>
      </w:r>
      <w:r w:rsidR="00F0369C">
        <w:t>na analiza uzoraka iz nijed</w:t>
      </w:r>
      <w:r w:rsidRPr="00155F80">
        <w:t xml:space="preserve">nog javnog vodoopskrbnog subjekta na zdravstvenu ispravnost vode za piće-parametar radioaktivnost </w:t>
      </w:r>
      <w:r w:rsidR="00F0369C">
        <w:t>u skladu sa</w:t>
      </w:r>
      <w:r w:rsidRPr="00155F80">
        <w:t xml:space="preserve"> zakonskim i podzakonskim aktima koji </w:t>
      </w:r>
      <w:r w:rsidR="00F0369C">
        <w:t>regulišu</w:t>
      </w:r>
      <w:r w:rsidRPr="00155F80">
        <w:t xml:space="preserve"> ov</w:t>
      </w:r>
      <w:r w:rsidR="00A92ED0">
        <w:t>o</w:t>
      </w:r>
      <w:r w:rsidRPr="00155F80">
        <w:t xml:space="preserve"> </w:t>
      </w:r>
      <w:r w:rsidR="00A92ED0">
        <w:t>područje</w:t>
      </w:r>
      <w:r w:rsidRPr="00155F80">
        <w:t>.</w:t>
      </w:r>
    </w:p>
    <w:p w:rsidR="00A131AD" w:rsidRPr="00155F80" w:rsidRDefault="00A131AD" w:rsidP="000C0138">
      <w:pPr>
        <w:spacing w:line="276" w:lineRule="auto"/>
        <w:rPr>
          <w:rStyle w:val="Emphasis"/>
          <w:rFonts w:ascii="Times New Roman" w:hAnsi="Times New Roman"/>
          <w:b/>
          <w:i w:val="0"/>
          <w:lang w:val="pl-PL"/>
        </w:rPr>
      </w:pPr>
      <w:bookmarkStart w:id="334" w:name="_Toc370891655"/>
    </w:p>
    <w:p w:rsidR="00A131AD" w:rsidRDefault="008F6458" w:rsidP="0059581E">
      <w:pPr>
        <w:pStyle w:val="Poglavlje3"/>
      </w:pPr>
      <w:bookmarkStart w:id="335" w:name="_Toc460929214"/>
      <w:bookmarkEnd w:id="334"/>
      <w:r>
        <w:t xml:space="preserve">4.2.5 </w:t>
      </w:r>
      <w:r w:rsidR="00A131AD" w:rsidRPr="00155F80">
        <w:t>Higijenska ispravnost hrane</w:t>
      </w:r>
      <w:bookmarkEnd w:id="335"/>
      <w:r w:rsidR="00A131AD" w:rsidRPr="00155F80">
        <w:t xml:space="preserve"> </w:t>
      </w:r>
    </w:p>
    <w:p w:rsidR="008F6458" w:rsidRPr="008F6458" w:rsidRDefault="008F6458" w:rsidP="000C0138">
      <w:pPr>
        <w:spacing w:line="276" w:lineRule="auto"/>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Svjetska zdravstvena organizacija procjenjuje da je nesigurna odnosno zdravstveno neispravna hrana  povezana s godišnjim umiranjem oko 2 miliona ljudi i odgovorna za više od 200 različitih oboljenja. </w:t>
      </w:r>
      <w:r w:rsidR="00F0369C">
        <w:rPr>
          <w:rFonts w:ascii="Times New Roman" w:hAnsi="Times New Roman"/>
        </w:rPr>
        <w:t>Istovremeno</w:t>
      </w:r>
      <w:r w:rsidRPr="00155F80">
        <w:rPr>
          <w:rFonts w:ascii="Times New Roman" w:hAnsi="Times New Roman"/>
        </w:rPr>
        <w:t xml:space="preserve">, dešavaju se promjene u proizvodnji, distribuciji i potrošnji hrane, promjene u </w:t>
      </w:r>
      <w:r w:rsidR="00526FD0">
        <w:rPr>
          <w:rFonts w:ascii="Times New Roman" w:hAnsi="Times New Roman"/>
        </w:rPr>
        <w:t>okolini</w:t>
      </w:r>
      <w:r w:rsidRPr="00155F80">
        <w:rPr>
          <w:rFonts w:ascii="Times New Roman" w:hAnsi="Times New Roman"/>
        </w:rPr>
        <w:t xml:space="preserve">, javljaju se novi patogeni agensi, suočavamo se s problemom antimikrobne rezistencije, a sve to pred </w:t>
      </w:r>
      <w:r w:rsidR="00512E30">
        <w:rPr>
          <w:rFonts w:ascii="Times New Roman" w:hAnsi="Times New Roman"/>
        </w:rPr>
        <w:t>sistem</w:t>
      </w:r>
      <w:r w:rsidRPr="00155F80">
        <w:rPr>
          <w:rFonts w:ascii="Times New Roman" w:hAnsi="Times New Roman"/>
        </w:rPr>
        <w:t xml:space="preserve"> sigurnosti hrane, postavlja nove izazove.</w:t>
      </w: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rPr>
      </w:pPr>
      <w:r w:rsidRPr="00155F80">
        <w:rPr>
          <w:rFonts w:ascii="Times New Roman" w:hAnsi="Times New Roman"/>
          <w:lang w:val="hr-HR"/>
        </w:rPr>
        <w:t>U Federaciji Bosne i Hercegovine,  u  2015</w:t>
      </w:r>
      <w:r w:rsidR="00EC077A">
        <w:rPr>
          <w:rFonts w:ascii="Times New Roman" w:hAnsi="Times New Roman"/>
          <w:lang w:val="hr-HR"/>
        </w:rPr>
        <w:t>.</w:t>
      </w:r>
      <w:r w:rsidRPr="00155F80">
        <w:rPr>
          <w:rFonts w:ascii="Times New Roman" w:hAnsi="Times New Roman"/>
          <w:lang w:val="hr-HR"/>
        </w:rPr>
        <w:t xml:space="preserve"> godini prijavljene su 4 epidemije trovanja  hranom, sa ukupno 451  oboljelim. </w:t>
      </w:r>
      <w:r w:rsidRPr="00155F80">
        <w:rPr>
          <w:rFonts w:ascii="Times New Roman" w:hAnsi="Times New Roman"/>
        </w:rPr>
        <w:t>Salmonela je najčešće izoliran uzročnik infekcija prenesenih hranom, a n</w:t>
      </w:r>
      <w:r w:rsidRPr="00155F80">
        <w:rPr>
          <w:rFonts w:ascii="Times New Roman" w:hAnsi="Times New Roman"/>
          <w:color w:val="000000"/>
        </w:rPr>
        <w:t xml:space="preserve">ajveći </w:t>
      </w:r>
      <w:r w:rsidRPr="00155F80">
        <w:rPr>
          <w:rFonts w:ascii="Times New Roman" w:hAnsi="Times New Roman"/>
        </w:rPr>
        <w:t xml:space="preserve">broj oboljelih je prijavljen u epidemiji salmoneloze s ukupno 249 oboljelih. Epidemija je prijavljena u vrtiću JU Djeca Sarajeva, gdje je kao uzročnik </w:t>
      </w:r>
      <w:r w:rsidR="00F0369C">
        <w:rPr>
          <w:rFonts w:ascii="Times New Roman" w:hAnsi="Times New Roman"/>
        </w:rPr>
        <w:t>izolovana</w:t>
      </w:r>
      <w:r w:rsidRPr="00155F80">
        <w:rPr>
          <w:rFonts w:ascii="Times New Roman" w:hAnsi="Times New Roman"/>
        </w:rPr>
        <w:t xml:space="preserve"> Salmonella enteritidis, a kao izvor  infekcije navodi se </w:t>
      </w:r>
      <w:r w:rsidR="00C651BA">
        <w:rPr>
          <w:rFonts w:ascii="Times New Roman" w:hAnsi="Times New Roman"/>
        </w:rPr>
        <w:t>kiselo vrhnje</w:t>
      </w: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Ovaj slučaj podcrtava potrebu nastavka i širenja programa i aktvnosti vezanih za </w:t>
      </w:r>
      <w:r w:rsidR="00550EF6">
        <w:rPr>
          <w:rFonts w:ascii="Times New Roman" w:hAnsi="Times New Roman"/>
        </w:rPr>
        <w:t>pre</w:t>
      </w:r>
      <w:r w:rsidRPr="00155F80">
        <w:rPr>
          <w:rFonts w:ascii="Times New Roman" w:hAnsi="Times New Roman"/>
        </w:rPr>
        <w:t>hranu i prehrambeno okruženje u odgojno obrazovnim ustanovama.</w:t>
      </w:r>
    </w:p>
    <w:p w:rsidR="00A131AD" w:rsidRPr="00155F80" w:rsidRDefault="00A131AD" w:rsidP="000C0138">
      <w:pPr>
        <w:spacing w:line="276" w:lineRule="auto"/>
        <w:rPr>
          <w:rFonts w:ascii="Times New Roman" w:hAnsi="Times New Roman"/>
        </w:rPr>
      </w:pPr>
    </w:p>
    <w:p w:rsidR="00A131AD" w:rsidRDefault="00A131AD" w:rsidP="000C0138">
      <w:pPr>
        <w:spacing w:line="276" w:lineRule="auto"/>
        <w:rPr>
          <w:rFonts w:ascii="Times New Roman" w:hAnsi="Times New Roman"/>
          <w:lang w:val="hr-HR"/>
        </w:rPr>
      </w:pPr>
      <w:r w:rsidRPr="00155F80">
        <w:rPr>
          <w:rFonts w:ascii="Times New Roman" w:hAnsi="Times New Roman"/>
          <w:lang w:val="hr-HR"/>
        </w:rPr>
        <w:t>Stopa morbiditeta od alimentarnih toksikoinfekcija, sa 412 oboljelih, iznosi 17,65%, i  u odnosu na prethodn</w:t>
      </w:r>
      <w:r w:rsidR="00550EF6">
        <w:rPr>
          <w:rFonts w:ascii="Times New Roman" w:hAnsi="Times New Roman"/>
          <w:lang w:val="hr-HR"/>
        </w:rPr>
        <w:t>o</w:t>
      </w:r>
      <w:r w:rsidRPr="00155F80">
        <w:rPr>
          <w:rFonts w:ascii="Times New Roman" w:hAnsi="Times New Roman"/>
          <w:lang w:val="hr-HR"/>
        </w:rPr>
        <w:t xml:space="preserve"> petogodišnj</w:t>
      </w:r>
      <w:r w:rsidR="00550EF6">
        <w:rPr>
          <w:rFonts w:ascii="Times New Roman" w:hAnsi="Times New Roman"/>
          <w:lang w:val="hr-HR"/>
        </w:rPr>
        <w:t xml:space="preserve">e </w:t>
      </w:r>
      <w:r w:rsidR="00F70FD4">
        <w:rPr>
          <w:rFonts w:ascii="Times New Roman" w:hAnsi="Times New Roman"/>
          <w:lang w:val="hr-HR"/>
        </w:rPr>
        <w:t>period</w:t>
      </w:r>
      <w:r w:rsidR="00550EF6">
        <w:rPr>
          <w:rFonts w:ascii="Times New Roman" w:hAnsi="Times New Roman"/>
          <w:lang w:val="hr-HR"/>
        </w:rPr>
        <w:t xml:space="preserve"> </w:t>
      </w:r>
      <w:r w:rsidRPr="00155F80">
        <w:rPr>
          <w:rFonts w:ascii="Times New Roman" w:hAnsi="Times New Roman"/>
          <w:lang w:val="hr-HR"/>
        </w:rPr>
        <w:t xml:space="preserve">je u padu.  U </w:t>
      </w:r>
      <w:r w:rsidR="00F0369C">
        <w:rPr>
          <w:rFonts w:ascii="Times New Roman" w:hAnsi="Times New Roman"/>
          <w:lang w:val="hr-HR"/>
        </w:rPr>
        <w:t>prošloj</w:t>
      </w:r>
      <w:r w:rsidRPr="00155F80">
        <w:rPr>
          <w:rFonts w:ascii="Times New Roman" w:hAnsi="Times New Roman"/>
          <w:lang w:val="hr-HR"/>
        </w:rPr>
        <w:t xml:space="preserve"> godini alimentarne toksikoinfekcije se nisu našle na listi deset vodećih zaraznih oboljenja. </w:t>
      </w:r>
    </w:p>
    <w:p w:rsidR="00B37E7E" w:rsidRDefault="00B37E7E" w:rsidP="000C0138">
      <w:pPr>
        <w:spacing w:line="276" w:lineRule="auto"/>
        <w:rPr>
          <w:rFonts w:ascii="Times New Roman" w:hAnsi="Times New Roman"/>
          <w:lang w:val="hr-HR"/>
        </w:rPr>
      </w:pPr>
    </w:p>
    <w:p w:rsidR="00301140" w:rsidRDefault="00B37E7E" w:rsidP="00B37E7E">
      <w:pPr>
        <w:pStyle w:val="refererere"/>
        <w:rPr>
          <w:lang w:val="pl-PL"/>
        </w:rPr>
      </w:pPr>
      <w:r>
        <w:rPr>
          <w:lang w:val="hr-HR"/>
        </w:rPr>
        <w:t>Grafikon 88: Alimentarne toksikoinfekcij</w:t>
      </w:r>
      <w:r w:rsidR="00ED3C83">
        <w:rPr>
          <w:lang w:val="hr-HR"/>
        </w:rPr>
        <w:t xml:space="preserve">e, Federacija BiH </w:t>
      </w:r>
      <w:r w:rsidR="00F70FD4">
        <w:rPr>
          <w:lang w:val="hr-HR"/>
        </w:rPr>
        <w:t>period</w:t>
      </w:r>
      <w:r w:rsidR="00550EF6">
        <w:rPr>
          <w:lang w:val="hr-HR"/>
        </w:rPr>
        <w:t xml:space="preserve"> </w:t>
      </w:r>
      <w:r w:rsidR="00ED3C83">
        <w:rPr>
          <w:lang w:val="hr-HR"/>
        </w:rPr>
        <w:t>2010.-2015. god.</w:t>
      </w:r>
      <w:r>
        <w:rPr>
          <w:lang w:val="hr-HR"/>
        </w:rPr>
        <w:t>, stopa morbiteta na 100.000 stanovnika</w:t>
      </w:r>
    </w:p>
    <w:p w:rsidR="00A131AD" w:rsidRPr="00155F80" w:rsidRDefault="00786835" w:rsidP="000C0138">
      <w:pPr>
        <w:spacing w:line="276" w:lineRule="auto"/>
        <w:ind w:left="1260" w:hanging="1260"/>
        <w:jc w:val="center"/>
        <w:rPr>
          <w:rFonts w:ascii="Times New Roman" w:hAnsi="Times New Roman"/>
          <w:b/>
          <w:lang w:val="pl-PL"/>
        </w:rPr>
      </w:pPr>
      <w:r>
        <w:rPr>
          <w:noProof/>
          <w:lang w:eastAsia="en-GB"/>
        </w:rPr>
        <w:drawing>
          <wp:inline distT="0" distB="0" distL="0" distR="0" wp14:anchorId="3A33E856" wp14:editId="746505FA">
            <wp:extent cx="5645150" cy="2505693"/>
            <wp:effectExtent l="0" t="0" r="1270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2C323A" w:rsidRDefault="002C323A" w:rsidP="000C0138">
      <w:pPr>
        <w:pStyle w:val="tabele0"/>
        <w:spacing w:line="276" w:lineRule="auto"/>
        <w:ind w:left="0" w:firstLine="0"/>
        <w:jc w:val="both"/>
        <w:rPr>
          <w:i w:val="0"/>
          <w:lang w:val="hr-HR"/>
        </w:rPr>
      </w:pPr>
    </w:p>
    <w:p w:rsidR="00A131AD" w:rsidRDefault="00A131AD" w:rsidP="000C0138">
      <w:pPr>
        <w:pStyle w:val="tabele0"/>
        <w:spacing w:line="276" w:lineRule="auto"/>
        <w:ind w:left="0" w:firstLine="0"/>
        <w:jc w:val="both"/>
        <w:rPr>
          <w:i w:val="0"/>
          <w:lang w:val="hr-HR"/>
        </w:rPr>
      </w:pPr>
      <w:r w:rsidRPr="00155F80">
        <w:rPr>
          <w:i w:val="0"/>
          <w:lang w:val="hr-HR"/>
        </w:rPr>
        <w:t>Na području Fedracije Bosne i Hercegovine, u 2015</w:t>
      </w:r>
      <w:r w:rsidR="00EC077A">
        <w:rPr>
          <w:i w:val="0"/>
          <w:lang w:val="hr-HR"/>
        </w:rPr>
        <w:t>.</w:t>
      </w:r>
      <w:r w:rsidRPr="00155F80">
        <w:rPr>
          <w:i w:val="0"/>
          <w:lang w:val="hr-HR"/>
        </w:rPr>
        <w:t xml:space="preserve"> godini, kontrola zdrastvene ispravnosti namirnica obavljana je u o</w:t>
      </w:r>
      <w:r w:rsidR="00550EF6">
        <w:rPr>
          <w:i w:val="0"/>
          <w:lang w:val="hr-HR"/>
        </w:rPr>
        <w:t>psegu</w:t>
      </w:r>
      <w:r w:rsidRPr="00155F80">
        <w:rPr>
          <w:i w:val="0"/>
          <w:lang w:val="hr-HR"/>
        </w:rPr>
        <w:t xml:space="preserve"> sličnom prethodnim godinama.  </w:t>
      </w:r>
    </w:p>
    <w:p w:rsidR="002C323A" w:rsidRPr="00155F80" w:rsidRDefault="002C323A" w:rsidP="000C0138">
      <w:pPr>
        <w:pStyle w:val="tabele0"/>
        <w:spacing w:line="276" w:lineRule="auto"/>
        <w:ind w:left="0" w:firstLine="0"/>
        <w:jc w:val="both"/>
        <w:rPr>
          <w:i w:val="0"/>
          <w:lang w:val="hr-HR"/>
        </w:rPr>
      </w:pPr>
    </w:p>
    <w:p w:rsidR="00A131AD" w:rsidRPr="00155F80" w:rsidRDefault="00550EF6" w:rsidP="000C0138">
      <w:pPr>
        <w:pStyle w:val="tabele0"/>
        <w:spacing w:line="276" w:lineRule="auto"/>
        <w:ind w:left="0" w:firstLine="0"/>
        <w:jc w:val="both"/>
        <w:rPr>
          <w:i w:val="0"/>
          <w:lang w:val="hr-HR"/>
        </w:rPr>
      </w:pPr>
      <w:r>
        <w:rPr>
          <w:i w:val="0"/>
          <w:lang w:val="hr-HR"/>
        </w:rPr>
        <w:t>K</w:t>
      </w:r>
      <w:r w:rsidR="00A131AD" w:rsidRPr="00155F80">
        <w:rPr>
          <w:i w:val="0"/>
          <w:lang w:val="hr-HR"/>
        </w:rPr>
        <w:t>emijske analize uzoraka iz proizvodnje su obavljene  na ukupno 5</w:t>
      </w:r>
      <w:r>
        <w:rPr>
          <w:i w:val="0"/>
          <w:lang w:val="hr-HR"/>
        </w:rPr>
        <w:t>.</w:t>
      </w:r>
      <w:r w:rsidR="00A131AD" w:rsidRPr="00155F80">
        <w:rPr>
          <w:i w:val="0"/>
          <w:lang w:val="hr-HR"/>
        </w:rPr>
        <w:t>206 uzoraka, od čega je  215 ili 4,1% bilo neispravno, dok su mikrobiološke analize obavljene na 19</w:t>
      </w:r>
      <w:r>
        <w:rPr>
          <w:i w:val="0"/>
          <w:lang w:val="hr-HR"/>
        </w:rPr>
        <w:t>.</w:t>
      </w:r>
      <w:r w:rsidR="00A131AD" w:rsidRPr="00155F80">
        <w:rPr>
          <w:i w:val="0"/>
          <w:lang w:val="hr-HR"/>
        </w:rPr>
        <w:t>638 uzoraka, od čega je nesipravnih bilo 1</w:t>
      </w:r>
      <w:r>
        <w:rPr>
          <w:i w:val="0"/>
          <w:lang w:val="hr-HR"/>
        </w:rPr>
        <w:t>.</w:t>
      </w:r>
      <w:r w:rsidR="00A131AD" w:rsidRPr="00155F80">
        <w:rPr>
          <w:i w:val="0"/>
          <w:lang w:val="hr-HR"/>
        </w:rPr>
        <w:t>488 uzorka ili 7,6%.</w:t>
      </w:r>
    </w:p>
    <w:p w:rsidR="00A131AD" w:rsidRPr="00155F80" w:rsidRDefault="00A131AD" w:rsidP="000C0138">
      <w:pPr>
        <w:pStyle w:val="tabele0"/>
        <w:spacing w:line="276" w:lineRule="auto"/>
        <w:ind w:left="0" w:firstLine="0"/>
        <w:jc w:val="both"/>
        <w:rPr>
          <w:i w:val="0"/>
          <w:lang w:val="hr-HR"/>
        </w:rPr>
      </w:pPr>
      <w:r w:rsidRPr="00155F80">
        <w:rPr>
          <w:i w:val="0"/>
          <w:lang w:val="hr-HR"/>
        </w:rPr>
        <w:t xml:space="preserve">Kada je u pitanju promet, </w:t>
      </w:r>
      <w:r w:rsidR="00550EF6">
        <w:rPr>
          <w:i w:val="0"/>
          <w:lang w:val="hr-HR"/>
        </w:rPr>
        <w:t>k</w:t>
      </w:r>
      <w:r w:rsidRPr="00155F80">
        <w:rPr>
          <w:i w:val="0"/>
          <w:lang w:val="hr-HR"/>
        </w:rPr>
        <w:t>emijske analize su obavljene  ukupno  4</w:t>
      </w:r>
      <w:r w:rsidR="00550EF6">
        <w:rPr>
          <w:i w:val="0"/>
          <w:lang w:val="hr-HR"/>
        </w:rPr>
        <w:t>.</w:t>
      </w:r>
      <w:r w:rsidRPr="00155F80">
        <w:rPr>
          <w:i w:val="0"/>
          <w:lang w:val="hr-HR"/>
        </w:rPr>
        <w:t>653 uzorka iz prometa, od čega je 359 uzoraka ili 7,7% bilo neispravno, dok su mikrobiološke analize obavljene na 22</w:t>
      </w:r>
      <w:r w:rsidR="00550EF6">
        <w:rPr>
          <w:i w:val="0"/>
          <w:lang w:val="hr-HR"/>
        </w:rPr>
        <w:t>.</w:t>
      </w:r>
      <w:r w:rsidRPr="00155F80">
        <w:rPr>
          <w:i w:val="0"/>
          <w:lang w:val="hr-HR"/>
        </w:rPr>
        <w:t>282 uzorka, od čega je neispravnih bilo 1662 ili 7,5%.</w:t>
      </w:r>
    </w:p>
    <w:p w:rsidR="002C323A" w:rsidRDefault="00A131AD" w:rsidP="000C0138">
      <w:pPr>
        <w:spacing w:line="276" w:lineRule="auto"/>
        <w:rPr>
          <w:rFonts w:ascii="Times New Roman" w:hAnsi="Times New Roman"/>
        </w:rPr>
      </w:pPr>
      <w:r w:rsidRPr="00155F80">
        <w:rPr>
          <w:rFonts w:ascii="Times New Roman" w:hAnsi="Times New Roman"/>
        </w:rPr>
        <w:t>Kako je vidljivo iz donje tabl</w:t>
      </w:r>
      <w:r w:rsidR="00550EF6">
        <w:rPr>
          <w:rFonts w:ascii="Times New Roman" w:hAnsi="Times New Roman"/>
        </w:rPr>
        <w:t>ic</w:t>
      </w:r>
      <w:r w:rsidRPr="00155F80">
        <w:rPr>
          <w:rFonts w:ascii="Times New Roman" w:hAnsi="Times New Roman"/>
        </w:rPr>
        <w:t>e bilježe se nešto niži procenti neodgovarajućih uzoraka namirnica u odnosu na prethodnu godinu, ali od</w:t>
      </w:r>
      <w:r w:rsidR="00CB080B">
        <w:rPr>
          <w:rFonts w:ascii="Times New Roman" w:hAnsi="Times New Roman"/>
        </w:rPr>
        <w:t>stepen</w:t>
      </w:r>
      <w:r w:rsidRPr="00155F80">
        <w:rPr>
          <w:rFonts w:ascii="Times New Roman" w:hAnsi="Times New Roman"/>
        </w:rPr>
        <w:t>a nisu značajna, a za stanje se može zakl</w:t>
      </w:r>
      <w:r w:rsidR="000A5BE0" w:rsidRPr="00155F80">
        <w:rPr>
          <w:rFonts w:ascii="Times New Roman" w:hAnsi="Times New Roman"/>
        </w:rPr>
        <w:t xml:space="preserve">jučiti da je  zadovoljavajuće. </w:t>
      </w:r>
    </w:p>
    <w:p w:rsidR="002C323A" w:rsidRDefault="002C323A" w:rsidP="000C0138">
      <w:pPr>
        <w:spacing w:line="276" w:lineRule="auto"/>
        <w:rPr>
          <w:rFonts w:ascii="Times New Roman" w:hAnsi="Times New Roman"/>
        </w:rPr>
      </w:pPr>
    </w:p>
    <w:p w:rsidR="00A131AD" w:rsidRPr="00155F80" w:rsidRDefault="00A80006" w:rsidP="00B37E7E">
      <w:pPr>
        <w:pStyle w:val="refererere"/>
      </w:pPr>
      <w:r>
        <w:t>Tabela</w:t>
      </w:r>
      <w:r w:rsidR="009A5B2B" w:rsidRPr="00155F80">
        <w:t xml:space="preserve"> </w:t>
      </w:r>
      <w:r w:rsidR="00A131AD" w:rsidRPr="00155F80">
        <w:t xml:space="preserve">21 : Prikaz kontrole zdravstvene ispravnosti namirnica na području Federacije BiH, </w:t>
      </w:r>
      <w:r w:rsidR="00F70FD4">
        <w:t>period</w:t>
      </w:r>
      <w:r w:rsidR="00A131AD" w:rsidRPr="00155F80">
        <w:t xml:space="preserve"> 2010.-2015. godina</w:t>
      </w:r>
    </w:p>
    <w:tbl>
      <w:tblPr>
        <w:tblStyle w:val="LightList-Accent5"/>
        <w:tblW w:w="8465" w:type="dxa"/>
        <w:tblLook w:val="01E0" w:firstRow="1" w:lastRow="1" w:firstColumn="1" w:lastColumn="1" w:noHBand="0" w:noVBand="0"/>
      </w:tblPr>
      <w:tblGrid>
        <w:gridCol w:w="1046"/>
        <w:gridCol w:w="6"/>
        <w:gridCol w:w="1052"/>
        <w:gridCol w:w="59"/>
        <w:gridCol w:w="1389"/>
        <w:gridCol w:w="52"/>
        <w:gridCol w:w="868"/>
        <w:gridCol w:w="22"/>
        <w:gridCol w:w="1425"/>
        <w:gridCol w:w="30"/>
        <w:gridCol w:w="890"/>
        <w:gridCol w:w="35"/>
        <w:gridCol w:w="1541"/>
        <w:gridCol w:w="50"/>
      </w:tblGrid>
      <w:tr w:rsidR="00A131AD" w:rsidRPr="00155F80" w:rsidTr="003066C2">
        <w:trPr>
          <w:gridAfter w:val="1"/>
          <w:cnfStyle w:val="100000000000" w:firstRow="1" w:lastRow="0" w:firstColumn="0" w:lastColumn="0" w:oddVBand="0" w:evenVBand="0" w:oddHBand="0" w:evenHBand="0" w:firstRowFirstColumn="0" w:firstRowLastColumn="0" w:lastRowFirstColumn="0" w:lastRowLastColumn="0"/>
          <w:wAfter w:w="47" w:type="dxa"/>
          <w:trHeight w:val="116"/>
        </w:trPr>
        <w:tc>
          <w:tcPr>
            <w:cnfStyle w:val="001000000000" w:firstRow="0" w:lastRow="0" w:firstColumn="1" w:lastColumn="0" w:oddVBand="0" w:evenVBand="0" w:oddHBand="0" w:evenHBand="0" w:firstRowFirstColumn="0" w:firstRowLastColumn="0" w:lastRowFirstColumn="0" w:lastRowLastColumn="0"/>
            <w:tcW w:w="8418" w:type="dxa"/>
            <w:gridSpan w:val="13"/>
            <w:shd w:val="clear" w:color="auto" w:fill="E7E6E6" w:themeFill="background2"/>
          </w:tcPr>
          <w:p w:rsidR="00A131AD" w:rsidRPr="003066C2" w:rsidRDefault="00A131AD" w:rsidP="000C0138">
            <w:pPr>
              <w:spacing w:line="276" w:lineRule="auto"/>
              <w:jc w:val="center"/>
              <w:rPr>
                <w:rFonts w:ascii="Times New Roman" w:hAnsi="Times New Roman"/>
                <w:b w:val="0"/>
                <w:color w:val="auto"/>
              </w:rPr>
            </w:pPr>
            <w:r w:rsidRPr="003066C2">
              <w:rPr>
                <w:rFonts w:ascii="Times New Roman" w:hAnsi="Times New Roman"/>
                <w:color w:val="auto"/>
              </w:rPr>
              <w:t xml:space="preserve">Namirnice  </w:t>
            </w:r>
          </w:p>
        </w:tc>
      </w:tr>
      <w:tr w:rsidR="00A131AD" w:rsidRPr="00155F80" w:rsidTr="003066C2">
        <w:trPr>
          <w:gridAfter w:val="1"/>
          <w:cnfStyle w:val="000000100000" w:firstRow="0" w:lastRow="0" w:firstColumn="0" w:lastColumn="0" w:oddVBand="0" w:evenVBand="0" w:oddHBand="1" w:evenHBand="0" w:firstRowFirstColumn="0" w:firstRowLastColumn="0" w:lastRowFirstColumn="0" w:lastRowLastColumn="0"/>
          <w:wAfter w:w="47" w:type="dxa"/>
          <w:trHeight w:val="116"/>
        </w:trPr>
        <w:tc>
          <w:tcPr>
            <w:cnfStyle w:val="001000000000" w:firstRow="0" w:lastRow="0" w:firstColumn="1" w:lastColumn="0" w:oddVBand="0" w:evenVBand="0" w:oddHBand="0" w:evenHBand="0" w:firstRowFirstColumn="0" w:firstRowLastColumn="0" w:lastRowFirstColumn="0" w:lastRowLastColumn="0"/>
            <w:tcW w:w="8418" w:type="dxa"/>
            <w:gridSpan w:val="13"/>
            <w:shd w:val="clear" w:color="auto" w:fill="E7E6E6" w:themeFill="background2"/>
          </w:tcPr>
          <w:p w:rsidR="00A131AD" w:rsidRPr="003066C2" w:rsidRDefault="00A131AD" w:rsidP="000C0138">
            <w:pPr>
              <w:spacing w:line="276" w:lineRule="auto"/>
              <w:jc w:val="center"/>
              <w:rPr>
                <w:rFonts w:ascii="Times New Roman" w:hAnsi="Times New Roman"/>
                <w:b w:val="0"/>
              </w:rPr>
            </w:pPr>
            <w:r w:rsidRPr="003066C2">
              <w:rPr>
                <w:rFonts w:ascii="Times New Roman" w:hAnsi="Times New Roman"/>
              </w:rPr>
              <w:t>Proizvodnja</w:t>
            </w:r>
          </w:p>
        </w:tc>
      </w:tr>
      <w:tr w:rsidR="00A131AD" w:rsidRPr="00F83CAD" w:rsidTr="000A5BE0">
        <w:trPr>
          <w:gridAfter w:val="1"/>
          <w:wAfter w:w="48" w:type="dxa"/>
          <w:trHeight w:val="241"/>
        </w:trPr>
        <w:tc>
          <w:tcPr>
            <w:cnfStyle w:val="001000000000" w:firstRow="0" w:lastRow="0" w:firstColumn="1" w:lastColumn="0" w:oddVBand="0" w:evenVBand="0" w:oddHBand="0" w:evenHBand="0" w:firstRowFirstColumn="0" w:firstRowLastColumn="0" w:lastRowFirstColumn="0" w:lastRowLastColumn="0"/>
            <w:tcW w:w="1046" w:type="dxa"/>
            <w:vMerge w:val="restart"/>
          </w:tcPr>
          <w:p w:rsidR="00A131AD" w:rsidRPr="0059128D" w:rsidRDefault="00A131AD" w:rsidP="000C0138">
            <w:pPr>
              <w:spacing w:line="276" w:lineRule="auto"/>
              <w:jc w:val="center"/>
              <w:rPr>
                <w:rFonts w:ascii="Times New Roman" w:hAnsi="Times New Roman"/>
                <w:b w:val="0"/>
              </w:rPr>
            </w:pPr>
            <w:r w:rsidRPr="0059128D">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559" w:type="dxa"/>
            <w:gridSpan w:val="5"/>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Organoleptički pregled  uzoraka</w:t>
            </w:r>
          </w:p>
        </w:tc>
        <w:tc>
          <w:tcPr>
            <w:tcW w:w="2316" w:type="dxa"/>
            <w:gridSpan w:val="3"/>
          </w:tcPr>
          <w:p w:rsidR="00A131AD" w:rsidRPr="00F83CAD" w:rsidRDefault="00950A64" w:rsidP="000C01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Hemijski</w:t>
            </w:r>
            <w:r w:rsidR="00A131AD" w:rsidRPr="00F83CAD">
              <w:rPr>
                <w:rFonts w:ascii="Times New Roman" w:hAnsi="Times New Roman"/>
              </w:rPr>
              <w:t xml:space="preserve"> pregled uzoraka</w:t>
            </w:r>
          </w:p>
        </w:tc>
        <w:tc>
          <w:tcPr>
            <w:cnfStyle w:val="000100000000" w:firstRow="0" w:lastRow="0" w:firstColumn="0" w:lastColumn="1" w:oddVBand="0" w:evenVBand="0" w:oddHBand="0" w:evenHBand="0" w:firstRowFirstColumn="0" w:firstRowLastColumn="0" w:lastRowFirstColumn="0" w:lastRowLastColumn="0"/>
            <w:tcW w:w="2496" w:type="dxa"/>
            <w:gridSpan w:val="4"/>
          </w:tcPr>
          <w:p w:rsidR="00A131AD" w:rsidRPr="00F83CAD" w:rsidRDefault="00A131AD" w:rsidP="000C0138">
            <w:pPr>
              <w:spacing w:line="276" w:lineRule="auto"/>
              <w:jc w:val="center"/>
              <w:rPr>
                <w:rFonts w:ascii="Times New Roman" w:hAnsi="Times New Roman"/>
                <w:b w:val="0"/>
              </w:rPr>
            </w:pPr>
            <w:r w:rsidRPr="00F83CAD">
              <w:rPr>
                <w:rFonts w:ascii="Times New Roman" w:hAnsi="Times New Roman"/>
                <w:b w:val="0"/>
              </w:rPr>
              <w:t>Mikrobiološki pregled uzoraka</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454"/>
        </w:trPr>
        <w:tc>
          <w:tcPr>
            <w:cnfStyle w:val="001000000000" w:firstRow="0" w:lastRow="0" w:firstColumn="1" w:lastColumn="0" w:oddVBand="0" w:evenVBand="0" w:oddHBand="0" w:evenHBand="0" w:firstRowFirstColumn="0" w:firstRowLastColumn="0" w:lastRowFirstColumn="0" w:lastRowLastColumn="0"/>
            <w:tcW w:w="1046" w:type="dxa"/>
            <w:vMerge/>
          </w:tcPr>
          <w:p w:rsidR="00A131AD" w:rsidRPr="00155F80" w:rsidRDefault="00A131AD" w:rsidP="000C0138">
            <w:pPr>
              <w:spacing w:line="276" w:lineRule="auto"/>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Svega</w:t>
            </w:r>
          </w:p>
        </w:tc>
        <w:tc>
          <w:tcPr>
            <w:tcW w:w="1441" w:type="dxa"/>
            <w:gridSpan w:val="2"/>
          </w:tcPr>
          <w:p w:rsidR="00A131AD" w:rsidRPr="00155F8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Od toga ne odgovara br /(%)</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center"/>
              <w:rPr>
                <w:rFonts w:ascii="Times New Roman" w:hAnsi="Times New Roman"/>
              </w:rPr>
            </w:pPr>
            <w:r w:rsidRPr="00F83CAD">
              <w:rPr>
                <w:rFonts w:ascii="Times New Roman" w:hAnsi="Times New Roman"/>
              </w:rPr>
              <w:t>Svega</w:t>
            </w:r>
          </w:p>
        </w:tc>
        <w:tc>
          <w:tcPr>
            <w:tcW w:w="1447" w:type="dxa"/>
            <w:gridSpan w:val="2"/>
          </w:tcPr>
          <w:p w:rsidR="00A131AD" w:rsidRPr="00F83CAD"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center"/>
              <w:rPr>
                <w:rFonts w:ascii="Times New Roman" w:hAnsi="Times New Roman"/>
              </w:rPr>
            </w:pPr>
            <w:r w:rsidRPr="00F83CAD">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center"/>
              <w:rPr>
                <w:rFonts w:ascii="Times New Roman" w:hAnsi="Times New Roman"/>
                <w:b w:val="0"/>
              </w:rPr>
            </w:pPr>
            <w:r w:rsidRPr="00F83CAD">
              <w:rPr>
                <w:rFonts w:ascii="Times New Roman" w:hAnsi="Times New Roman"/>
                <w:b w:val="0"/>
              </w:rPr>
              <w:t>Od toga ne odgovara br/(%)</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14476</w:t>
            </w:r>
          </w:p>
        </w:tc>
        <w:tc>
          <w:tcPr>
            <w:tcW w:w="1441" w:type="dxa"/>
            <w:gridSpan w:val="2"/>
          </w:tcPr>
          <w:p w:rsidR="00A131AD" w:rsidRPr="00155F8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55F80">
              <w:rPr>
                <w:rFonts w:ascii="Times New Roman" w:hAnsi="Times New Roman"/>
              </w:rPr>
              <w:t>549 (3,8%)</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6970</w:t>
            </w:r>
          </w:p>
        </w:tc>
        <w:tc>
          <w:tcPr>
            <w:tcW w:w="1447" w:type="dxa"/>
            <w:gridSpan w:val="2"/>
          </w:tcPr>
          <w:p w:rsidR="00A131AD" w:rsidRPr="00F83CAD"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83CAD">
              <w:rPr>
                <w:rFonts w:ascii="Times New Roman" w:hAnsi="Times New Roman"/>
              </w:rPr>
              <w:t>421 (6%)</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22806</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1691 (7,4%)</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16862</w:t>
            </w:r>
          </w:p>
        </w:tc>
        <w:tc>
          <w:tcPr>
            <w:tcW w:w="1441" w:type="dxa"/>
            <w:gridSpan w:val="2"/>
          </w:tcPr>
          <w:p w:rsidR="00A131AD" w:rsidRPr="00155F8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283 (1,7%)</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6031</w:t>
            </w:r>
          </w:p>
        </w:tc>
        <w:tc>
          <w:tcPr>
            <w:tcW w:w="1447" w:type="dxa"/>
            <w:gridSpan w:val="2"/>
          </w:tcPr>
          <w:p w:rsidR="00A131AD" w:rsidRPr="00F83CAD"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356 (5,9%)</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25427</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1192 (4,7%)</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19536</w:t>
            </w:r>
          </w:p>
        </w:tc>
        <w:tc>
          <w:tcPr>
            <w:tcW w:w="1441" w:type="dxa"/>
            <w:gridSpan w:val="2"/>
          </w:tcPr>
          <w:p w:rsidR="00A131AD" w:rsidRPr="00155F8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55F80">
              <w:rPr>
                <w:rFonts w:ascii="Times New Roman" w:hAnsi="Times New Roman"/>
              </w:rPr>
              <w:t>348 (1,8%)</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6161</w:t>
            </w:r>
          </w:p>
        </w:tc>
        <w:tc>
          <w:tcPr>
            <w:tcW w:w="1447" w:type="dxa"/>
            <w:gridSpan w:val="2"/>
          </w:tcPr>
          <w:p w:rsidR="00A131AD" w:rsidRPr="00F83CAD"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83CAD">
              <w:rPr>
                <w:rFonts w:ascii="Times New Roman" w:hAnsi="Times New Roman"/>
              </w:rPr>
              <w:t>493 (8%)</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27783</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1266 (4,6%)</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pStyle w:val="tabele0"/>
              <w:spacing w:line="276" w:lineRule="auto"/>
              <w:ind w:left="0" w:firstLine="0"/>
              <w:jc w:val="center"/>
              <w:rPr>
                <w:b w:val="0"/>
                <w:i w:val="0"/>
                <w:lang w:val="hr-HR"/>
              </w:rPr>
            </w:pPr>
            <w:r w:rsidRPr="00B71990">
              <w:rPr>
                <w:b w:val="0"/>
                <w:i w:val="0"/>
                <w:lang w:val="hr-HR"/>
              </w:rPr>
              <w:t>2013</w:t>
            </w:r>
            <w:r w:rsidR="00B71990">
              <w:rPr>
                <w:b w:val="0"/>
                <w:i w:val="0"/>
                <w:lang w:val="hr-HR"/>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pStyle w:val="tabele0"/>
              <w:spacing w:line="276" w:lineRule="auto"/>
              <w:ind w:left="0" w:firstLine="0"/>
              <w:jc w:val="right"/>
              <w:rPr>
                <w:i w:val="0"/>
                <w:lang w:val="hr-HR"/>
              </w:rPr>
            </w:pPr>
            <w:r w:rsidRPr="00155F80">
              <w:rPr>
                <w:i w:val="0"/>
                <w:lang w:val="hr-HR"/>
              </w:rPr>
              <w:t>11659</w:t>
            </w:r>
          </w:p>
        </w:tc>
        <w:tc>
          <w:tcPr>
            <w:tcW w:w="1441" w:type="dxa"/>
            <w:gridSpan w:val="2"/>
          </w:tcPr>
          <w:p w:rsidR="00A131AD" w:rsidRPr="00155F8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155F80">
              <w:rPr>
                <w:i w:val="0"/>
                <w:lang w:val="hr-HR"/>
              </w:rPr>
              <w:t>399 (3,4%)</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pStyle w:val="tabele0"/>
              <w:spacing w:line="276" w:lineRule="auto"/>
              <w:ind w:left="0" w:firstLine="0"/>
              <w:jc w:val="right"/>
              <w:rPr>
                <w:i w:val="0"/>
                <w:lang w:val="hr-HR"/>
              </w:rPr>
            </w:pPr>
            <w:r w:rsidRPr="00F83CAD">
              <w:rPr>
                <w:i w:val="0"/>
                <w:lang w:val="hr-HR"/>
              </w:rPr>
              <w:t>5239</w:t>
            </w:r>
          </w:p>
        </w:tc>
        <w:tc>
          <w:tcPr>
            <w:tcW w:w="1447" w:type="dxa"/>
            <w:gridSpan w:val="2"/>
          </w:tcPr>
          <w:p w:rsidR="00A131AD" w:rsidRPr="00F83CAD"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F83CAD">
              <w:rPr>
                <w:i w:val="0"/>
                <w:lang w:val="hr-HR"/>
              </w:rPr>
              <w:t>267 (5,1%)</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pStyle w:val="tabele0"/>
              <w:spacing w:line="276" w:lineRule="auto"/>
              <w:ind w:left="0" w:firstLine="0"/>
              <w:jc w:val="right"/>
              <w:rPr>
                <w:i w:val="0"/>
                <w:lang w:val="hr-HR"/>
              </w:rPr>
            </w:pPr>
            <w:r w:rsidRPr="00F83CAD">
              <w:rPr>
                <w:i w:val="0"/>
                <w:lang w:val="hr-HR"/>
              </w:rPr>
              <w:t>25966</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pStyle w:val="tabele0"/>
              <w:spacing w:line="276" w:lineRule="auto"/>
              <w:ind w:left="0" w:firstLine="0"/>
              <w:jc w:val="right"/>
              <w:rPr>
                <w:b w:val="0"/>
                <w:i w:val="0"/>
                <w:lang w:val="hr-HR"/>
              </w:rPr>
            </w:pPr>
            <w:r w:rsidRPr="00F83CAD">
              <w:rPr>
                <w:b w:val="0"/>
                <w:i w:val="0"/>
                <w:lang w:val="hr-HR"/>
              </w:rPr>
              <w:t>2051 (7,9%)</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pStyle w:val="tabele0"/>
              <w:spacing w:line="276" w:lineRule="auto"/>
              <w:ind w:left="0" w:firstLine="0"/>
              <w:jc w:val="center"/>
              <w:rPr>
                <w:b w:val="0"/>
                <w:i w:val="0"/>
                <w:lang w:val="hr-HR"/>
              </w:rPr>
            </w:pPr>
            <w:r w:rsidRPr="00B71990">
              <w:rPr>
                <w:b w:val="0"/>
                <w:i w:val="0"/>
                <w:lang w:val="hr-HR"/>
              </w:rPr>
              <w:t>2014</w:t>
            </w:r>
            <w:r w:rsidR="00B71990">
              <w:rPr>
                <w:b w:val="0"/>
                <w:i w:val="0"/>
                <w:lang w:val="hr-HR"/>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pStyle w:val="tabele0"/>
              <w:spacing w:line="276" w:lineRule="auto"/>
              <w:ind w:left="0" w:firstLine="0"/>
              <w:jc w:val="right"/>
              <w:rPr>
                <w:i w:val="0"/>
                <w:lang w:val="hr-HR"/>
              </w:rPr>
            </w:pPr>
            <w:r w:rsidRPr="00155F80">
              <w:rPr>
                <w:i w:val="0"/>
                <w:lang w:val="hr-HR"/>
              </w:rPr>
              <w:t>14123</w:t>
            </w:r>
          </w:p>
        </w:tc>
        <w:tc>
          <w:tcPr>
            <w:tcW w:w="1441" w:type="dxa"/>
            <w:gridSpan w:val="2"/>
          </w:tcPr>
          <w:p w:rsidR="00A131AD" w:rsidRPr="00155F8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155F80">
              <w:rPr>
                <w:i w:val="0"/>
                <w:lang w:val="hr-HR"/>
              </w:rPr>
              <w:t>597(4,2%)</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pStyle w:val="tabele0"/>
              <w:spacing w:line="276" w:lineRule="auto"/>
              <w:ind w:left="0" w:firstLine="0"/>
              <w:jc w:val="right"/>
              <w:rPr>
                <w:i w:val="0"/>
                <w:lang w:val="hr-HR"/>
              </w:rPr>
            </w:pPr>
            <w:r w:rsidRPr="00F83CAD">
              <w:rPr>
                <w:i w:val="0"/>
                <w:lang w:val="hr-HR"/>
              </w:rPr>
              <w:t>5256</w:t>
            </w:r>
          </w:p>
        </w:tc>
        <w:tc>
          <w:tcPr>
            <w:tcW w:w="1447" w:type="dxa"/>
            <w:gridSpan w:val="2"/>
          </w:tcPr>
          <w:p w:rsidR="00A131AD" w:rsidRPr="00F83CAD"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F83CAD">
              <w:rPr>
                <w:i w:val="0"/>
                <w:lang w:val="hr-HR"/>
              </w:rPr>
              <w:t>315 (5,9%)</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pStyle w:val="tabele0"/>
              <w:spacing w:line="276" w:lineRule="auto"/>
              <w:ind w:left="0" w:firstLine="0"/>
              <w:jc w:val="right"/>
              <w:rPr>
                <w:i w:val="0"/>
                <w:lang w:val="hr-HR"/>
              </w:rPr>
            </w:pPr>
            <w:r w:rsidRPr="00F83CAD">
              <w:rPr>
                <w:i w:val="0"/>
                <w:lang w:val="hr-HR"/>
              </w:rPr>
              <w:t>20913</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pStyle w:val="tabele0"/>
              <w:spacing w:line="276" w:lineRule="auto"/>
              <w:ind w:left="0" w:firstLine="0"/>
              <w:jc w:val="right"/>
              <w:rPr>
                <w:b w:val="0"/>
                <w:i w:val="0"/>
                <w:lang w:val="hr-HR"/>
              </w:rPr>
            </w:pPr>
            <w:r w:rsidRPr="00F83CAD">
              <w:rPr>
                <w:b w:val="0"/>
                <w:i w:val="0"/>
                <w:lang w:val="hr-HR"/>
              </w:rPr>
              <w:t>1903 (9%)</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2015</w:t>
            </w:r>
            <w:r w:rsidR="00B7199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13659</w:t>
            </w:r>
          </w:p>
        </w:tc>
        <w:tc>
          <w:tcPr>
            <w:tcW w:w="1441" w:type="dxa"/>
            <w:gridSpan w:val="2"/>
          </w:tcPr>
          <w:p w:rsidR="00A131AD" w:rsidRPr="00155F8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 xml:space="preserve">446 </w:t>
            </w:r>
            <w:r w:rsidRPr="00155F80">
              <w:rPr>
                <w:rFonts w:ascii="Times New Roman" w:hAnsi="Times New Roman"/>
                <w:lang w:val="hr-HR"/>
              </w:rPr>
              <w:t>(3,3%)</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5206</w:t>
            </w:r>
          </w:p>
        </w:tc>
        <w:tc>
          <w:tcPr>
            <w:tcW w:w="1447" w:type="dxa"/>
            <w:gridSpan w:val="2"/>
          </w:tcPr>
          <w:p w:rsidR="00A131AD" w:rsidRPr="00F83CAD"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215</w:t>
            </w:r>
            <w:r w:rsidRPr="00F83CAD">
              <w:rPr>
                <w:rFonts w:ascii="Times New Roman" w:hAnsi="Times New Roman"/>
                <w:lang w:val="hr-HR"/>
              </w:rPr>
              <w:t>(4,1%)</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19638</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1488</w:t>
            </w:r>
            <w:r w:rsidR="00F83CAD">
              <w:rPr>
                <w:rFonts w:ascii="Times New Roman" w:hAnsi="Times New Roman"/>
                <w:b w:val="0"/>
              </w:rPr>
              <w:t xml:space="preserve"> </w:t>
            </w:r>
            <w:r w:rsidRPr="00F83CAD">
              <w:rPr>
                <w:rFonts w:ascii="Times New Roman" w:hAnsi="Times New Roman"/>
                <w:b w:val="0"/>
                <w:lang w:val="hr-HR"/>
              </w:rPr>
              <w:t>(7,6%)</w:t>
            </w:r>
          </w:p>
        </w:tc>
      </w:tr>
      <w:tr w:rsidR="00A131AD" w:rsidRPr="00155F80" w:rsidTr="003066C2">
        <w:trPr>
          <w:trHeight w:val="114"/>
        </w:trPr>
        <w:tc>
          <w:tcPr>
            <w:cnfStyle w:val="001000000000" w:firstRow="0" w:lastRow="0" w:firstColumn="1" w:lastColumn="0" w:oddVBand="0" w:evenVBand="0" w:oddHBand="0" w:evenHBand="0" w:firstRowFirstColumn="0" w:firstRowLastColumn="0" w:lastRowFirstColumn="0" w:lastRowLastColumn="0"/>
            <w:tcW w:w="8465" w:type="dxa"/>
            <w:gridSpan w:val="14"/>
            <w:shd w:val="clear" w:color="auto" w:fill="E7E6E6" w:themeFill="background2"/>
          </w:tcPr>
          <w:p w:rsidR="00A131AD" w:rsidRPr="003066C2" w:rsidRDefault="00A131AD" w:rsidP="000C0138">
            <w:pPr>
              <w:spacing w:line="276" w:lineRule="auto"/>
              <w:jc w:val="center"/>
              <w:rPr>
                <w:rFonts w:ascii="Times New Roman" w:hAnsi="Times New Roman"/>
                <w:color w:val="000000" w:themeColor="text1"/>
              </w:rPr>
            </w:pPr>
            <w:r w:rsidRPr="003066C2">
              <w:rPr>
                <w:rFonts w:ascii="Times New Roman" w:hAnsi="Times New Roman"/>
                <w:color w:val="000000" w:themeColor="text1"/>
              </w:rPr>
              <w:t>Namirnice</w:t>
            </w:r>
          </w:p>
        </w:tc>
      </w:tr>
      <w:tr w:rsidR="00A131AD" w:rsidRPr="00155F80" w:rsidTr="003066C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8465" w:type="dxa"/>
            <w:gridSpan w:val="14"/>
            <w:shd w:val="clear" w:color="auto" w:fill="E7E6E6" w:themeFill="background2"/>
          </w:tcPr>
          <w:p w:rsidR="00A131AD" w:rsidRPr="003066C2" w:rsidRDefault="00A131AD" w:rsidP="000C0138">
            <w:pPr>
              <w:spacing w:line="276" w:lineRule="auto"/>
              <w:jc w:val="center"/>
              <w:rPr>
                <w:rFonts w:ascii="Times New Roman" w:hAnsi="Times New Roman"/>
                <w:color w:val="000000" w:themeColor="text1"/>
              </w:rPr>
            </w:pPr>
            <w:r w:rsidRPr="003066C2">
              <w:rPr>
                <w:rFonts w:ascii="Times New Roman" w:hAnsi="Times New Roman"/>
                <w:color w:val="000000" w:themeColor="text1"/>
              </w:rPr>
              <w:t>Promet</w:t>
            </w:r>
          </w:p>
        </w:tc>
      </w:tr>
      <w:tr w:rsidR="00A131AD" w:rsidRPr="00155F80" w:rsidTr="000A5BE0">
        <w:trPr>
          <w:trHeight w:val="114"/>
        </w:trPr>
        <w:tc>
          <w:tcPr>
            <w:cnfStyle w:val="001000000000" w:firstRow="0" w:lastRow="0" w:firstColumn="1" w:lastColumn="0" w:oddVBand="0" w:evenVBand="0" w:oddHBand="0" w:evenHBand="0" w:firstRowFirstColumn="0" w:firstRowLastColumn="0" w:lastRowFirstColumn="0" w:lastRowLastColumn="0"/>
            <w:tcW w:w="1052" w:type="dxa"/>
            <w:gridSpan w:val="2"/>
            <w:vMerge w:val="restart"/>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Godina</w:t>
            </w:r>
          </w:p>
        </w:tc>
        <w:tc>
          <w:tcPr>
            <w:cnfStyle w:val="000010000000" w:firstRow="0" w:lastRow="0" w:firstColumn="0" w:lastColumn="0" w:oddVBand="1" w:evenVBand="0" w:oddHBand="0" w:evenHBand="0" w:firstRowFirstColumn="0" w:firstRowLastColumn="0" w:lastRowFirstColumn="0" w:lastRowLastColumn="0"/>
            <w:tcW w:w="2501" w:type="dxa"/>
            <w:gridSpan w:val="3"/>
          </w:tcPr>
          <w:p w:rsidR="00A131AD" w:rsidRPr="00155F80" w:rsidRDefault="00A131AD" w:rsidP="000C0138">
            <w:pPr>
              <w:spacing w:line="276" w:lineRule="auto"/>
              <w:rPr>
                <w:rFonts w:ascii="Times New Roman" w:hAnsi="Times New Roman"/>
              </w:rPr>
            </w:pPr>
            <w:r w:rsidRPr="00155F80">
              <w:rPr>
                <w:rFonts w:ascii="Times New Roman" w:hAnsi="Times New Roman"/>
              </w:rPr>
              <w:t>Organoleptički pregled  uzoraka</w:t>
            </w:r>
          </w:p>
        </w:tc>
        <w:tc>
          <w:tcPr>
            <w:tcW w:w="2398" w:type="dxa"/>
            <w:gridSpan w:val="5"/>
          </w:tcPr>
          <w:p w:rsidR="00A131AD" w:rsidRPr="00F83CAD" w:rsidRDefault="00950A64" w:rsidP="0059128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Hemijski</w:t>
            </w:r>
            <w:r w:rsidR="00A131AD" w:rsidRPr="00F83CAD">
              <w:rPr>
                <w:rFonts w:ascii="Times New Roman" w:hAnsi="Times New Roman"/>
              </w:rPr>
              <w:t xml:space="preserve"> pregled uzoraka</w:t>
            </w:r>
          </w:p>
        </w:tc>
        <w:tc>
          <w:tcPr>
            <w:cnfStyle w:val="000100000000" w:firstRow="0" w:lastRow="0" w:firstColumn="0" w:lastColumn="1" w:oddVBand="0" w:evenVBand="0" w:oddHBand="0" w:evenHBand="0" w:firstRowFirstColumn="0" w:firstRowLastColumn="0" w:lastRowFirstColumn="0" w:lastRowLastColumn="0"/>
            <w:tcW w:w="2512" w:type="dxa"/>
            <w:gridSpan w:val="4"/>
          </w:tcPr>
          <w:p w:rsidR="00A131AD" w:rsidRPr="00F83CAD" w:rsidRDefault="00A131AD" w:rsidP="000C0138">
            <w:pPr>
              <w:spacing w:line="276" w:lineRule="auto"/>
              <w:rPr>
                <w:rFonts w:ascii="Times New Roman" w:hAnsi="Times New Roman"/>
                <w:b w:val="0"/>
              </w:rPr>
            </w:pPr>
            <w:r w:rsidRPr="00F83CAD">
              <w:rPr>
                <w:rFonts w:ascii="Times New Roman" w:hAnsi="Times New Roman"/>
                <w:b w:val="0"/>
              </w:rPr>
              <w:t xml:space="preserve">Mikrobiološki pregled uzoraka </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vMerge/>
          </w:tcPr>
          <w:p w:rsidR="00A131AD" w:rsidRPr="00E05270" w:rsidRDefault="00A131AD" w:rsidP="000C0138">
            <w:pPr>
              <w:spacing w:line="276" w:lineRule="auto"/>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448"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455"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0A5BE0">
        <w:trPr>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7732</w:t>
            </w:r>
          </w:p>
        </w:tc>
        <w:tc>
          <w:tcPr>
            <w:tcW w:w="1448"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539 (6,9%)</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5620</w:t>
            </w:r>
          </w:p>
        </w:tc>
        <w:tc>
          <w:tcPr>
            <w:tcW w:w="1455"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758 (13,5%)</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22135</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1372 (6,2%)</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7627</w:t>
            </w:r>
          </w:p>
        </w:tc>
        <w:tc>
          <w:tcPr>
            <w:tcW w:w="1448"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200 (2,6%)</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5158</w:t>
            </w:r>
          </w:p>
        </w:tc>
        <w:tc>
          <w:tcPr>
            <w:tcW w:w="1455"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266 (5,2%)</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12231</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1388 (11,3%)</w:t>
            </w:r>
          </w:p>
        </w:tc>
      </w:tr>
      <w:tr w:rsidR="00A131AD" w:rsidRPr="00E05270" w:rsidTr="000A5BE0">
        <w:trPr>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8520</w:t>
            </w:r>
          </w:p>
        </w:tc>
        <w:tc>
          <w:tcPr>
            <w:tcW w:w="1448"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413 (4,8%)</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5496</w:t>
            </w:r>
          </w:p>
        </w:tc>
        <w:tc>
          <w:tcPr>
            <w:tcW w:w="1455"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362 (6,6%)</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25716</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1501 (5,8%)</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pStyle w:val="tabele0"/>
              <w:spacing w:line="276" w:lineRule="auto"/>
              <w:ind w:left="0" w:firstLine="0"/>
              <w:jc w:val="right"/>
              <w:rPr>
                <w:i w:val="0"/>
                <w:lang w:val="hr-HR"/>
              </w:rPr>
            </w:pPr>
            <w:r w:rsidRPr="00E05270">
              <w:rPr>
                <w:i w:val="0"/>
                <w:lang w:val="hr-HR"/>
              </w:rPr>
              <w:t>6151</w:t>
            </w:r>
          </w:p>
        </w:tc>
        <w:tc>
          <w:tcPr>
            <w:tcW w:w="1448"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329 (5,4%)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pStyle w:val="tabele0"/>
              <w:spacing w:line="276" w:lineRule="auto"/>
              <w:ind w:left="0" w:firstLine="0"/>
              <w:jc w:val="right"/>
              <w:rPr>
                <w:i w:val="0"/>
                <w:lang w:val="hr-HR"/>
              </w:rPr>
            </w:pPr>
            <w:r w:rsidRPr="00E05270">
              <w:rPr>
                <w:i w:val="0"/>
                <w:lang w:val="hr-HR"/>
              </w:rPr>
              <w:t>5532</w:t>
            </w:r>
          </w:p>
        </w:tc>
        <w:tc>
          <w:tcPr>
            <w:tcW w:w="1455"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401 (7,2%)</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23222</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1688 (7,3%)</w:t>
            </w:r>
          </w:p>
        </w:tc>
      </w:tr>
      <w:tr w:rsidR="00A131AD" w:rsidRPr="00E05270" w:rsidTr="000A5BE0">
        <w:trPr>
          <w:trHeight w:val="274"/>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pStyle w:val="tabele0"/>
              <w:spacing w:line="276" w:lineRule="auto"/>
              <w:ind w:left="0" w:firstLine="0"/>
              <w:jc w:val="right"/>
              <w:rPr>
                <w:i w:val="0"/>
                <w:lang w:val="hr-HR"/>
              </w:rPr>
            </w:pPr>
            <w:r w:rsidRPr="00E05270">
              <w:rPr>
                <w:i w:val="0"/>
                <w:lang w:val="hr-HR"/>
              </w:rPr>
              <w:t>8582</w:t>
            </w:r>
          </w:p>
        </w:tc>
        <w:tc>
          <w:tcPr>
            <w:tcW w:w="1448"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470 (5,4%)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pStyle w:val="tabele0"/>
              <w:spacing w:line="276" w:lineRule="auto"/>
              <w:ind w:left="0" w:firstLine="0"/>
              <w:jc w:val="right"/>
              <w:rPr>
                <w:i w:val="0"/>
                <w:lang w:val="hr-HR"/>
              </w:rPr>
            </w:pPr>
            <w:r w:rsidRPr="00E05270">
              <w:rPr>
                <w:i w:val="0"/>
                <w:lang w:val="hr-HR"/>
              </w:rPr>
              <w:t>6406</w:t>
            </w:r>
          </w:p>
        </w:tc>
        <w:tc>
          <w:tcPr>
            <w:tcW w:w="1455"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513 (8%)</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26056</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2017 (7,7%)</w:t>
            </w:r>
          </w:p>
        </w:tc>
      </w:tr>
      <w:tr w:rsidR="00A131AD" w:rsidRPr="00E05270" w:rsidTr="000A5BE0">
        <w:trPr>
          <w:cnfStyle w:val="010000000000" w:firstRow="0" w:lastRow="1"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6955</w:t>
            </w:r>
          </w:p>
        </w:tc>
        <w:tc>
          <w:tcPr>
            <w:tcW w:w="1448"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307</w:t>
            </w:r>
            <w:r w:rsidRPr="00E05270">
              <w:rPr>
                <w:rFonts w:ascii="Times New Roman" w:hAnsi="Times New Roman"/>
                <w:b w:val="0"/>
                <w:lang w:val="hr-HR"/>
              </w:rPr>
              <w:t>(4,4%)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4653</w:t>
            </w:r>
          </w:p>
        </w:tc>
        <w:tc>
          <w:tcPr>
            <w:tcW w:w="1455"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359</w:t>
            </w:r>
            <w:r w:rsidRPr="00E05270">
              <w:rPr>
                <w:rFonts w:ascii="Times New Roman" w:hAnsi="Times New Roman"/>
                <w:b w:val="0"/>
                <w:lang w:val="hr-HR"/>
              </w:rPr>
              <w:t>(7,7%)</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22282</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 xml:space="preserve">1662 </w:t>
            </w:r>
            <w:r w:rsidRPr="00E05270">
              <w:rPr>
                <w:rFonts w:ascii="Times New Roman" w:hAnsi="Times New Roman"/>
                <w:b w:val="0"/>
                <w:lang w:val="hr-HR"/>
              </w:rPr>
              <w:t>(7,5%)</w:t>
            </w:r>
          </w:p>
        </w:tc>
      </w:tr>
    </w:tbl>
    <w:p w:rsidR="00B37E7E" w:rsidRDefault="00B37E7E" w:rsidP="000C0138">
      <w:pPr>
        <w:pStyle w:val="tabele0"/>
        <w:spacing w:line="276" w:lineRule="auto"/>
        <w:ind w:left="0" w:firstLine="0"/>
        <w:jc w:val="both"/>
        <w:rPr>
          <w:i w:val="0"/>
          <w:lang w:val="hr-HR"/>
        </w:rPr>
      </w:pPr>
    </w:p>
    <w:p w:rsidR="00A131AD" w:rsidRPr="00155F80" w:rsidRDefault="00A131AD" w:rsidP="000C0138">
      <w:pPr>
        <w:pStyle w:val="tabele0"/>
        <w:spacing w:line="276" w:lineRule="auto"/>
        <w:ind w:left="0" w:firstLine="0"/>
        <w:jc w:val="both"/>
        <w:rPr>
          <w:i w:val="0"/>
          <w:lang w:val="hr-HR"/>
        </w:rPr>
      </w:pPr>
      <w:r w:rsidRPr="00155F80">
        <w:rPr>
          <w:i w:val="0"/>
          <w:lang w:val="hr-HR"/>
        </w:rPr>
        <w:t>Prema zdravstveno statističkim izvješ</w:t>
      </w:r>
      <w:r w:rsidR="00550EF6">
        <w:rPr>
          <w:i w:val="0"/>
          <w:lang w:val="hr-HR"/>
        </w:rPr>
        <w:t>ć</w:t>
      </w:r>
      <w:r w:rsidRPr="00155F80">
        <w:rPr>
          <w:i w:val="0"/>
          <w:lang w:val="hr-HR"/>
        </w:rPr>
        <w:t>ima o kontroli zdrastvene ispravnosti predmeta op</w:t>
      </w:r>
      <w:r w:rsidR="00550EF6">
        <w:rPr>
          <w:i w:val="0"/>
          <w:lang w:val="hr-HR"/>
        </w:rPr>
        <w:t>ć</w:t>
      </w:r>
      <w:r w:rsidRPr="00155F80">
        <w:rPr>
          <w:i w:val="0"/>
          <w:lang w:val="hr-HR"/>
        </w:rPr>
        <w:t xml:space="preserve">e </w:t>
      </w:r>
      <w:r w:rsidR="00526FD0">
        <w:rPr>
          <w:i w:val="0"/>
          <w:lang w:val="hr-HR"/>
        </w:rPr>
        <w:t>upotrebe</w:t>
      </w:r>
      <w:r w:rsidRPr="00155F80">
        <w:rPr>
          <w:i w:val="0"/>
          <w:lang w:val="hr-HR"/>
        </w:rPr>
        <w:t xml:space="preserve"> i sredstava za </w:t>
      </w:r>
      <w:r w:rsidR="00550EF6">
        <w:rPr>
          <w:i w:val="0"/>
          <w:lang w:val="hr-HR"/>
        </w:rPr>
        <w:t>osobnu</w:t>
      </w:r>
      <w:r w:rsidRPr="00155F80">
        <w:rPr>
          <w:i w:val="0"/>
          <w:lang w:val="hr-HR"/>
        </w:rPr>
        <w:t xml:space="preserve"> higijenu na području Federacije Bosne i Hercegovine, u 2015</w:t>
      </w:r>
      <w:r w:rsidR="00EC077A">
        <w:rPr>
          <w:i w:val="0"/>
          <w:lang w:val="hr-HR"/>
        </w:rPr>
        <w:t>.</w:t>
      </w:r>
      <w:r w:rsidRPr="00155F80">
        <w:rPr>
          <w:i w:val="0"/>
          <w:lang w:val="hr-HR"/>
        </w:rPr>
        <w:t xml:space="preserve"> </w:t>
      </w:r>
      <w:r w:rsidRPr="00155F80">
        <w:rPr>
          <w:i w:val="0"/>
          <w:lang w:val="es-ES"/>
        </w:rPr>
        <w:t>godini su</w:t>
      </w:r>
      <w:r w:rsidRPr="00155F80">
        <w:rPr>
          <w:i w:val="0"/>
          <w:lang w:val="hr-HR"/>
        </w:rPr>
        <w:t xml:space="preserve"> </w:t>
      </w:r>
      <w:r w:rsidR="00550EF6">
        <w:rPr>
          <w:i w:val="0"/>
          <w:lang w:val="hr-HR"/>
        </w:rPr>
        <w:t>k</w:t>
      </w:r>
      <w:r w:rsidRPr="00155F80">
        <w:rPr>
          <w:i w:val="0"/>
          <w:lang w:val="hr-HR"/>
        </w:rPr>
        <w:t>emijske analize uređene na 101 uzorku iz proizvodnje, od koji</w:t>
      </w:r>
      <w:r w:rsidR="00550EF6">
        <w:rPr>
          <w:i w:val="0"/>
          <w:lang w:val="hr-HR"/>
        </w:rPr>
        <w:t>h</w:t>
      </w:r>
      <w:r w:rsidRPr="00155F80">
        <w:rPr>
          <w:i w:val="0"/>
          <w:lang w:val="hr-HR"/>
        </w:rPr>
        <w:t xml:space="preserve"> je 13 ili 12,9% bilo neispravno, a mikrobiloške analize su urađene na 6</w:t>
      </w:r>
      <w:r w:rsidR="00550EF6">
        <w:rPr>
          <w:i w:val="0"/>
          <w:lang w:val="hr-HR"/>
        </w:rPr>
        <w:t>.</w:t>
      </w:r>
      <w:r w:rsidRPr="00155F80">
        <w:rPr>
          <w:i w:val="0"/>
          <w:lang w:val="hr-HR"/>
        </w:rPr>
        <w:t>380 uzoraka iz proi</w:t>
      </w:r>
      <w:r w:rsidR="00550EF6">
        <w:rPr>
          <w:i w:val="0"/>
          <w:lang w:val="hr-HR"/>
        </w:rPr>
        <w:t>z</w:t>
      </w:r>
      <w:r w:rsidRPr="00155F80">
        <w:rPr>
          <w:i w:val="0"/>
          <w:lang w:val="hr-HR"/>
        </w:rPr>
        <w:t xml:space="preserve">vodnje, od kojih je 103 ili /1,6% bilo neispravno. </w:t>
      </w:r>
    </w:p>
    <w:p w:rsidR="00A131AD" w:rsidRDefault="00A131AD" w:rsidP="000C0138">
      <w:pPr>
        <w:pStyle w:val="tabele0"/>
        <w:spacing w:line="276" w:lineRule="auto"/>
        <w:ind w:left="0" w:firstLine="0"/>
        <w:jc w:val="both"/>
        <w:rPr>
          <w:i w:val="0"/>
          <w:lang w:val="hr-HR"/>
        </w:rPr>
      </w:pPr>
      <w:r w:rsidRPr="00155F80">
        <w:rPr>
          <w:i w:val="0"/>
          <w:lang w:val="hr-HR"/>
        </w:rPr>
        <w:t>Od uzorka predmeta op</w:t>
      </w:r>
      <w:r w:rsidR="00550EF6">
        <w:rPr>
          <w:i w:val="0"/>
          <w:lang w:val="hr-HR"/>
        </w:rPr>
        <w:t>ć</w:t>
      </w:r>
      <w:r w:rsidRPr="00155F80">
        <w:rPr>
          <w:i w:val="0"/>
          <w:lang w:val="hr-HR"/>
        </w:rPr>
        <w:t xml:space="preserve">e </w:t>
      </w:r>
      <w:r w:rsidR="00526FD0">
        <w:rPr>
          <w:i w:val="0"/>
          <w:lang w:val="hr-HR"/>
        </w:rPr>
        <w:t>upotrebe</w:t>
      </w:r>
      <w:r w:rsidRPr="00155F80">
        <w:rPr>
          <w:i w:val="0"/>
          <w:lang w:val="hr-HR"/>
        </w:rPr>
        <w:t xml:space="preserve">  iz prometa, 182 su analizirana na </w:t>
      </w:r>
      <w:r w:rsidR="00550EF6">
        <w:rPr>
          <w:i w:val="0"/>
          <w:lang w:val="hr-HR"/>
        </w:rPr>
        <w:t>k</w:t>
      </w:r>
      <w:r w:rsidRPr="00155F80">
        <w:rPr>
          <w:i w:val="0"/>
          <w:lang w:val="hr-HR"/>
        </w:rPr>
        <w:t>emijsku ispravnost, od čega je 13 ili 7,1% bilo nespravno. Mikrobiološke analize obavljene na 8</w:t>
      </w:r>
      <w:r w:rsidR="00550EF6">
        <w:rPr>
          <w:i w:val="0"/>
          <w:lang w:val="hr-HR"/>
        </w:rPr>
        <w:t>.</w:t>
      </w:r>
      <w:r w:rsidRPr="00155F80">
        <w:rPr>
          <w:i w:val="0"/>
          <w:lang w:val="hr-HR"/>
        </w:rPr>
        <w:t>215 uzoraka predmeta op</w:t>
      </w:r>
      <w:r w:rsidR="00550EF6">
        <w:rPr>
          <w:i w:val="0"/>
          <w:lang w:val="hr-HR"/>
        </w:rPr>
        <w:t>ć</w:t>
      </w:r>
      <w:r w:rsidRPr="00155F80">
        <w:rPr>
          <w:i w:val="0"/>
          <w:lang w:val="hr-HR"/>
        </w:rPr>
        <w:t xml:space="preserve">e </w:t>
      </w:r>
      <w:r w:rsidR="00526FD0">
        <w:rPr>
          <w:i w:val="0"/>
          <w:lang w:val="hr-HR"/>
        </w:rPr>
        <w:t>upotrebe</w:t>
      </w:r>
      <w:r w:rsidRPr="00155F80">
        <w:rPr>
          <w:i w:val="0"/>
          <w:lang w:val="hr-HR"/>
        </w:rPr>
        <w:t xml:space="preserve"> iz prometa, od čega je neispravnih bilo 486 ili 5,9%.</w:t>
      </w:r>
    </w:p>
    <w:p w:rsidR="00A131AD" w:rsidRPr="00155F80" w:rsidRDefault="00A80006" w:rsidP="00B37E7E">
      <w:pPr>
        <w:pStyle w:val="refererere"/>
      </w:pPr>
      <w:r>
        <w:t>Tabela</w:t>
      </w:r>
      <w:r w:rsidR="00A131AD" w:rsidRPr="00155F80">
        <w:t xml:space="preserve"> 22: Prikaz kontrole zdravstvene  ispravnosti predmeta op</w:t>
      </w:r>
      <w:r w:rsidR="00550EF6">
        <w:t>ć</w:t>
      </w:r>
      <w:r w:rsidR="00A131AD" w:rsidRPr="00155F80">
        <w:t xml:space="preserve">e </w:t>
      </w:r>
      <w:r w:rsidR="00526FD0">
        <w:t>upotrebe</w:t>
      </w:r>
      <w:r w:rsidR="00A131AD" w:rsidRPr="00155F80">
        <w:t xml:space="preserve"> na području  Federacije BiH, za </w:t>
      </w:r>
      <w:r w:rsidR="00F70FD4">
        <w:t>period</w:t>
      </w:r>
      <w:r w:rsidR="00A131AD" w:rsidRPr="00155F80">
        <w:t xml:space="preserve"> 2010.-2015. godina</w:t>
      </w:r>
    </w:p>
    <w:tbl>
      <w:tblPr>
        <w:tblStyle w:val="LightList-Accent5"/>
        <w:tblW w:w="9089" w:type="dxa"/>
        <w:tblLayout w:type="fixed"/>
        <w:tblLook w:val="01E0" w:firstRow="1" w:lastRow="1" w:firstColumn="1" w:lastColumn="1" w:noHBand="0" w:noVBand="0"/>
      </w:tblPr>
      <w:tblGrid>
        <w:gridCol w:w="1128"/>
        <w:gridCol w:w="7"/>
        <w:gridCol w:w="1121"/>
        <w:gridCol w:w="12"/>
        <w:gridCol w:w="1541"/>
        <w:gridCol w:w="1011"/>
        <w:gridCol w:w="1559"/>
        <w:gridCol w:w="32"/>
        <w:gridCol w:w="960"/>
        <w:gridCol w:w="1701"/>
        <w:gridCol w:w="17"/>
      </w:tblGrid>
      <w:tr w:rsidR="00A131AD" w:rsidRPr="00155F80" w:rsidTr="003066C2">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089" w:type="dxa"/>
            <w:gridSpan w:val="11"/>
            <w:shd w:val="clear" w:color="auto" w:fill="E7E6E6" w:themeFill="background2"/>
          </w:tcPr>
          <w:p w:rsidR="00A131AD" w:rsidRPr="003066C2" w:rsidRDefault="00A131AD" w:rsidP="00550EF6">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Predmeti op</w:t>
            </w:r>
            <w:r w:rsidR="00550EF6">
              <w:rPr>
                <w:rFonts w:ascii="Times New Roman" w:hAnsi="Times New Roman"/>
                <w:b w:val="0"/>
                <w:color w:val="000000" w:themeColor="text1"/>
              </w:rPr>
              <w:t>ć</w:t>
            </w:r>
            <w:r w:rsidRPr="003066C2">
              <w:rPr>
                <w:rFonts w:ascii="Times New Roman" w:hAnsi="Times New Roman"/>
                <w:b w:val="0"/>
                <w:color w:val="000000" w:themeColor="text1"/>
              </w:rPr>
              <w:t xml:space="preserve">e </w:t>
            </w:r>
            <w:r w:rsidR="00526FD0">
              <w:rPr>
                <w:rFonts w:ascii="Times New Roman" w:hAnsi="Times New Roman"/>
                <w:b w:val="0"/>
                <w:color w:val="000000" w:themeColor="text1"/>
              </w:rPr>
              <w:t>upotrebe</w:t>
            </w:r>
            <w:r w:rsidRPr="003066C2">
              <w:rPr>
                <w:rFonts w:ascii="Times New Roman" w:hAnsi="Times New Roman"/>
                <w:b w:val="0"/>
                <w:color w:val="000000" w:themeColor="text1"/>
              </w:rPr>
              <w:t xml:space="preserve"> </w:t>
            </w:r>
          </w:p>
        </w:tc>
      </w:tr>
      <w:tr w:rsidR="00A131AD" w:rsidRPr="00E05270" w:rsidTr="003066C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089" w:type="dxa"/>
            <w:gridSpan w:val="11"/>
            <w:shd w:val="clear" w:color="auto" w:fill="E7E6E6" w:themeFill="background2"/>
          </w:tcPr>
          <w:p w:rsidR="00A131AD" w:rsidRPr="003066C2" w:rsidRDefault="00A131AD" w:rsidP="000C0138">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Proizvodnja</w:t>
            </w:r>
          </w:p>
        </w:tc>
      </w:tr>
      <w:tr w:rsidR="00A131AD" w:rsidRPr="00E05270" w:rsidTr="001911A6">
        <w:trPr>
          <w:trHeight w:val="409"/>
        </w:trPr>
        <w:tc>
          <w:tcPr>
            <w:cnfStyle w:val="001000000000" w:firstRow="0" w:lastRow="0" w:firstColumn="1" w:lastColumn="0" w:oddVBand="0" w:evenVBand="0" w:oddHBand="0" w:evenHBand="0" w:firstRowFirstColumn="0" w:firstRowLastColumn="0" w:lastRowFirstColumn="0" w:lastRowLastColumn="0"/>
            <w:tcW w:w="1135" w:type="dxa"/>
            <w:gridSpan w:val="2"/>
            <w:vMerge w:val="restart"/>
          </w:tcPr>
          <w:p w:rsidR="00A131AD" w:rsidRPr="00E05270" w:rsidRDefault="00A131AD" w:rsidP="000C0138">
            <w:pPr>
              <w:spacing w:line="276" w:lineRule="auto"/>
              <w:ind w:left="-108"/>
              <w:jc w:val="center"/>
              <w:rPr>
                <w:rFonts w:ascii="Times New Roman" w:hAnsi="Times New Roman"/>
                <w:b w:val="0"/>
              </w:rPr>
            </w:pPr>
            <w:r w:rsidRPr="00E05270">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674" w:type="dxa"/>
            <w:gridSpan w:val="3"/>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Organoleptički pregled  uzoraka</w:t>
            </w:r>
          </w:p>
        </w:tc>
        <w:tc>
          <w:tcPr>
            <w:tcW w:w="2602" w:type="dxa"/>
            <w:gridSpan w:val="3"/>
          </w:tcPr>
          <w:p w:rsidR="00A131AD" w:rsidRPr="00E05270" w:rsidRDefault="00950A64" w:rsidP="000C01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Hemijski</w:t>
            </w:r>
            <w:r w:rsidR="00A131AD" w:rsidRPr="00E05270">
              <w:rPr>
                <w:rFonts w:ascii="Times New Roman" w:hAnsi="Times New Roman"/>
              </w:rPr>
              <w:t xml:space="preserve"> pregled uzoraka</w:t>
            </w:r>
          </w:p>
        </w:tc>
        <w:tc>
          <w:tcPr>
            <w:cnfStyle w:val="000100000000" w:firstRow="0" w:lastRow="0" w:firstColumn="0" w:lastColumn="1" w:oddVBand="0" w:evenVBand="0" w:oddHBand="0" w:evenHBand="0" w:firstRowFirstColumn="0" w:firstRowLastColumn="0" w:lastRowFirstColumn="0" w:lastRowLastColumn="0"/>
            <w:tcW w:w="2678" w:type="dxa"/>
            <w:gridSpan w:val="3"/>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Mikrobiološki pregled uzoraka</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135" w:type="dxa"/>
            <w:gridSpan w:val="2"/>
            <w:vMerge/>
          </w:tcPr>
          <w:p w:rsidR="00A131AD" w:rsidRPr="00E05270" w:rsidRDefault="00A131AD" w:rsidP="000C0138">
            <w:pPr>
              <w:spacing w:line="276" w:lineRule="auto"/>
              <w:jc w:val="center"/>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ind w:left="-108"/>
              <w:jc w:val="center"/>
              <w:rPr>
                <w:rFonts w:ascii="Times New Roman" w:hAnsi="Times New Roman"/>
              </w:rPr>
            </w:pPr>
            <w:r w:rsidRPr="00E05270">
              <w:rPr>
                <w:rFonts w:ascii="Times New Roman" w:hAnsi="Times New Roman"/>
              </w:rPr>
              <w:t>Svega</w:t>
            </w:r>
          </w:p>
        </w:tc>
        <w:tc>
          <w:tcPr>
            <w:tcW w:w="1541" w:type="dxa"/>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 /(%)</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ind w:left="-74"/>
              <w:jc w:val="center"/>
              <w:rPr>
                <w:rFonts w:ascii="Times New Roman" w:hAnsi="Times New Roman"/>
              </w:rPr>
            </w:pPr>
            <w:r w:rsidRPr="00E05270">
              <w:rPr>
                <w:rFonts w:ascii="Times New Roman" w:hAnsi="Times New Roman"/>
              </w:rPr>
              <w:t>Svega</w:t>
            </w:r>
          </w:p>
        </w:tc>
        <w:tc>
          <w:tcPr>
            <w:tcW w:w="1591"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ind w:left="-138"/>
              <w:jc w:val="center"/>
              <w:rPr>
                <w:rFonts w:ascii="Times New Roman" w:hAnsi="Times New Roman"/>
              </w:rPr>
            </w:pPr>
            <w:r w:rsidRPr="00E05270">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1911A6">
        <w:trPr>
          <w:trHeight w:val="321"/>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165</w:t>
            </w:r>
          </w:p>
        </w:tc>
        <w:tc>
          <w:tcPr>
            <w:tcW w:w="1541"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165</w:t>
            </w:r>
          </w:p>
        </w:tc>
        <w:tc>
          <w:tcPr>
            <w:tcW w:w="1591"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1399</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81 (5,8%)</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21</w:t>
            </w:r>
          </w:p>
        </w:tc>
        <w:tc>
          <w:tcPr>
            <w:tcW w:w="1541"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91"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8(19%)</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8191</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193 (2,3%)</w:t>
            </w:r>
          </w:p>
        </w:tc>
      </w:tr>
      <w:tr w:rsidR="00A131AD" w:rsidRPr="00E05270" w:rsidTr="001911A6">
        <w:trPr>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41"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91"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10396</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138 (1,3%)</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63</w:t>
            </w:r>
          </w:p>
        </w:tc>
        <w:tc>
          <w:tcPr>
            <w:tcW w:w="1541" w:type="dxa"/>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  (4,7%)</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63</w:t>
            </w:r>
          </w:p>
        </w:tc>
        <w:tc>
          <w:tcPr>
            <w:tcW w:w="1591"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  (4,7%)</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pStyle w:val="tabele0"/>
              <w:spacing w:line="276" w:lineRule="auto"/>
              <w:ind w:left="0" w:firstLine="0"/>
              <w:jc w:val="right"/>
              <w:rPr>
                <w:i w:val="0"/>
                <w:lang w:val="hr-HR"/>
              </w:rPr>
            </w:pPr>
            <w:r w:rsidRPr="00E05270">
              <w:rPr>
                <w:i w:val="0"/>
                <w:lang w:val="hr-HR"/>
              </w:rPr>
              <w:t>7803</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pStyle w:val="tabele0"/>
              <w:spacing w:line="276" w:lineRule="auto"/>
              <w:ind w:left="0" w:firstLine="0"/>
              <w:jc w:val="right"/>
              <w:rPr>
                <w:b w:val="0"/>
                <w:i w:val="0"/>
                <w:lang w:val="hr-HR"/>
              </w:rPr>
            </w:pPr>
            <w:r w:rsidRPr="00E05270">
              <w:rPr>
                <w:b w:val="0"/>
                <w:i w:val="0"/>
                <w:lang w:val="hr-HR"/>
              </w:rPr>
              <w:t>116 (1,5%)</w:t>
            </w:r>
          </w:p>
        </w:tc>
      </w:tr>
      <w:tr w:rsidR="00A131AD" w:rsidRPr="00E05270" w:rsidTr="001911A6">
        <w:trPr>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0</w:t>
            </w:r>
          </w:p>
        </w:tc>
        <w:tc>
          <w:tcPr>
            <w:tcW w:w="1541" w:type="dxa"/>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0</w:t>
            </w:r>
          </w:p>
        </w:tc>
        <w:tc>
          <w:tcPr>
            <w:tcW w:w="1591"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pStyle w:val="tabele0"/>
              <w:spacing w:line="276" w:lineRule="auto"/>
              <w:ind w:left="0" w:firstLine="0"/>
              <w:jc w:val="right"/>
              <w:rPr>
                <w:i w:val="0"/>
                <w:lang w:val="hr-HR"/>
              </w:rPr>
            </w:pPr>
            <w:r w:rsidRPr="00E05270">
              <w:rPr>
                <w:i w:val="0"/>
                <w:lang w:val="hr-HR"/>
              </w:rPr>
              <w:t>5055</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pStyle w:val="tabele0"/>
              <w:spacing w:line="276" w:lineRule="auto"/>
              <w:ind w:left="0" w:firstLine="0"/>
              <w:jc w:val="right"/>
              <w:rPr>
                <w:b w:val="0"/>
                <w:i w:val="0"/>
                <w:lang w:val="hr-HR"/>
              </w:rPr>
            </w:pPr>
            <w:r w:rsidRPr="00E05270">
              <w:rPr>
                <w:b w:val="0"/>
                <w:i w:val="0"/>
                <w:lang w:val="hr-HR"/>
              </w:rPr>
              <w:t>170  (1,3%)</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42</w:t>
            </w:r>
          </w:p>
        </w:tc>
        <w:tc>
          <w:tcPr>
            <w:tcW w:w="1541"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13 (30,1%)</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101</w:t>
            </w:r>
          </w:p>
        </w:tc>
        <w:tc>
          <w:tcPr>
            <w:tcW w:w="1591"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13 (12,9%)</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6380</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103(1,6%)</w:t>
            </w:r>
          </w:p>
        </w:tc>
      </w:tr>
      <w:tr w:rsidR="00A131AD" w:rsidRPr="00155F80" w:rsidTr="003066C2">
        <w:trPr>
          <w:gridAfter w:val="1"/>
          <w:wAfter w:w="17" w:type="dxa"/>
          <w:trHeight w:val="403"/>
        </w:trPr>
        <w:tc>
          <w:tcPr>
            <w:cnfStyle w:val="001000000000" w:firstRow="0" w:lastRow="0" w:firstColumn="1" w:lastColumn="0" w:oddVBand="0" w:evenVBand="0" w:oddHBand="0" w:evenHBand="0" w:firstRowFirstColumn="0" w:firstRowLastColumn="0" w:lastRowFirstColumn="0" w:lastRowLastColumn="0"/>
            <w:tcW w:w="9072" w:type="dxa"/>
            <w:gridSpan w:val="10"/>
            <w:shd w:val="clear" w:color="auto" w:fill="E7E6E6" w:themeFill="background2"/>
          </w:tcPr>
          <w:p w:rsidR="00A131AD" w:rsidRPr="003066C2" w:rsidRDefault="00A131AD" w:rsidP="00550EF6">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Predmeti op</w:t>
            </w:r>
            <w:r w:rsidR="00550EF6">
              <w:rPr>
                <w:rFonts w:ascii="Times New Roman" w:hAnsi="Times New Roman"/>
                <w:b w:val="0"/>
                <w:color w:val="000000" w:themeColor="text1"/>
              </w:rPr>
              <w:t>ć</w:t>
            </w:r>
            <w:r w:rsidRPr="003066C2">
              <w:rPr>
                <w:rFonts w:ascii="Times New Roman" w:hAnsi="Times New Roman"/>
                <w:b w:val="0"/>
                <w:color w:val="000000" w:themeColor="text1"/>
              </w:rPr>
              <w:t xml:space="preserve">e </w:t>
            </w:r>
            <w:r w:rsidR="00526FD0">
              <w:rPr>
                <w:rFonts w:ascii="Times New Roman" w:hAnsi="Times New Roman"/>
                <w:b w:val="0"/>
                <w:color w:val="000000" w:themeColor="text1"/>
              </w:rPr>
              <w:t>upotrebe</w:t>
            </w:r>
          </w:p>
        </w:tc>
      </w:tr>
      <w:tr w:rsidR="00A131AD" w:rsidRPr="00E05270" w:rsidTr="003066C2">
        <w:trPr>
          <w:gridAfter w:val="1"/>
          <w:cnfStyle w:val="000000100000" w:firstRow="0" w:lastRow="0" w:firstColumn="0" w:lastColumn="0" w:oddVBand="0" w:evenVBand="0" w:oddHBand="1" w:evenHBand="0" w:firstRowFirstColumn="0" w:firstRowLastColumn="0" w:lastRowFirstColumn="0" w:lastRowLastColumn="0"/>
          <w:wAfter w:w="17" w:type="dxa"/>
          <w:trHeight w:val="127"/>
        </w:trPr>
        <w:tc>
          <w:tcPr>
            <w:cnfStyle w:val="001000000000" w:firstRow="0" w:lastRow="0" w:firstColumn="1" w:lastColumn="0" w:oddVBand="0" w:evenVBand="0" w:oddHBand="0" w:evenHBand="0" w:firstRowFirstColumn="0" w:firstRowLastColumn="0" w:lastRowFirstColumn="0" w:lastRowLastColumn="0"/>
            <w:tcW w:w="9072" w:type="dxa"/>
            <w:gridSpan w:val="10"/>
            <w:shd w:val="clear" w:color="auto" w:fill="E7E6E6" w:themeFill="background2"/>
          </w:tcPr>
          <w:p w:rsidR="00A131AD" w:rsidRPr="003066C2" w:rsidRDefault="00A131AD" w:rsidP="000C0138">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Promet</w:t>
            </w:r>
          </w:p>
        </w:tc>
      </w:tr>
      <w:tr w:rsidR="00A131AD" w:rsidRPr="00E05270" w:rsidTr="001911A6">
        <w:trPr>
          <w:gridAfter w:val="1"/>
          <w:wAfter w:w="17" w:type="dxa"/>
          <w:trHeight w:val="135"/>
        </w:trPr>
        <w:tc>
          <w:tcPr>
            <w:cnfStyle w:val="001000000000" w:firstRow="0" w:lastRow="0" w:firstColumn="1" w:lastColumn="0" w:oddVBand="0" w:evenVBand="0" w:oddHBand="0" w:evenHBand="0" w:firstRowFirstColumn="0" w:firstRowLastColumn="0" w:lastRowFirstColumn="0" w:lastRowLastColumn="0"/>
            <w:tcW w:w="1128" w:type="dxa"/>
            <w:vMerge w:val="restart"/>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681" w:type="dxa"/>
            <w:gridSpan w:val="4"/>
          </w:tcPr>
          <w:p w:rsidR="00A131AD" w:rsidRPr="00E05270" w:rsidRDefault="00A131AD" w:rsidP="000C0138">
            <w:pPr>
              <w:spacing w:line="276" w:lineRule="auto"/>
              <w:rPr>
                <w:rFonts w:ascii="Times New Roman" w:hAnsi="Times New Roman"/>
              </w:rPr>
            </w:pPr>
            <w:r w:rsidRPr="00E05270">
              <w:rPr>
                <w:rFonts w:ascii="Times New Roman" w:hAnsi="Times New Roman"/>
              </w:rPr>
              <w:t>Organoleptički pregled  uzoraka</w:t>
            </w:r>
          </w:p>
        </w:tc>
        <w:tc>
          <w:tcPr>
            <w:tcW w:w="2570" w:type="dxa"/>
            <w:gridSpan w:val="2"/>
          </w:tcPr>
          <w:p w:rsidR="00A131AD" w:rsidRPr="00E05270" w:rsidRDefault="00950A64" w:rsidP="000C013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Hemijski</w:t>
            </w:r>
            <w:r w:rsidR="00A131AD" w:rsidRPr="00E05270">
              <w:rPr>
                <w:rFonts w:ascii="Times New Roman" w:hAnsi="Times New Roman"/>
              </w:rPr>
              <w:t xml:space="preserve"> pregled uzoraka</w:t>
            </w:r>
          </w:p>
        </w:tc>
        <w:tc>
          <w:tcPr>
            <w:cnfStyle w:val="000100000000" w:firstRow="0" w:lastRow="0" w:firstColumn="0" w:lastColumn="1" w:oddVBand="0" w:evenVBand="0" w:oddHBand="0" w:evenHBand="0" w:firstRowFirstColumn="0" w:firstRowLastColumn="0" w:lastRowFirstColumn="0" w:lastRowLastColumn="0"/>
            <w:tcW w:w="2693" w:type="dxa"/>
            <w:gridSpan w:val="3"/>
          </w:tcPr>
          <w:p w:rsidR="00A131AD" w:rsidRPr="00E05270" w:rsidRDefault="00A131AD" w:rsidP="000C0138">
            <w:pPr>
              <w:spacing w:line="276" w:lineRule="auto"/>
              <w:rPr>
                <w:rFonts w:ascii="Times New Roman" w:hAnsi="Times New Roman"/>
                <w:b w:val="0"/>
              </w:rPr>
            </w:pPr>
            <w:r w:rsidRPr="00E05270">
              <w:rPr>
                <w:rFonts w:ascii="Times New Roman" w:hAnsi="Times New Roman"/>
                <w:b w:val="0"/>
              </w:rPr>
              <w:t xml:space="preserve">Mikrobiološki pregled uzoraka </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vMerge/>
          </w:tcPr>
          <w:p w:rsidR="00A131AD" w:rsidRPr="00E05270" w:rsidRDefault="00A131AD" w:rsidP="000C0138">
            <w:pPr>
              <w:spacing w:line="276" w:lineRule="auto"/>
              <w:jc w:val="center"/>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553"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559" w:type="dxa"/>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1911A6">
        <w:trPr>
          <w:gridAfter w:val="1"/>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635</w:t>
            </w:r>
          </w:p>
        </w:tc>
        <w:tc>
          <w:tcPr>
            <w:tcW w:w="1553"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27</w:t>
            </w:r>
            <w:r w:rsidR="00F83CAD">
              <w:rPr>
                <w:rFonts w:ascii="Times New Roman" w:hAnsi="Times New Roman"/>
              </w:rPr>
              <w:t xml:space="preserve"> </w:t>
            </w:r>
            <w:r w:rsidRPr="00E05270">
              <w:rPr>
                <w:rFonts w:ascii="Times New Roman" w:hAnsi="Times New Roman"/>
              </w:rPr>
              <w:t>(4,3%)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335</w:t>
            </w:r>
          </w:p>
        </w:tc>
        <w:tc>
          <w:tcPr>
            <w:tcW w:w="1559"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37</w:t>
            </w:r>
            <w:r w:rsidR="00F83CAD">
              <w:rPr>
                <w:rFonts w:ascii="Times New Roman" w:hAnsi="Times New Roman"/>
              </w:rPr>
              <w:t xml:space="preserve"> </w:t>
            </w:r>
            <w:r w:rsidRPr="00E05270">
              <w:rPr>
                <w:rFonts w:ascii="Times New Roman" w:hAnsi="Times New Roman"/>
              </w:rPr>
              <w:t>(11%)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6703</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268 (4%)</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475</w:t>
            </w:r>
          </w:p>
        </w:tc>
        <w:tc>
          <w:tcPr>
            <w:tcW w:w="1553"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20</w:t>
            </w:r>
            <w:r w:rsidR="00F83CAD">
              <w:rPr>
                <w:rFonts w:ascii="Times New Roman" w:hAnsi="Times New Roman"/>
              </w:rPr>
              <w:t xml:space="preserve"> </w:t>
            </w:r>
            <w:r w:rsidRPr="00E05270">
              <w:rPr>
                <w:rFonts w:ascii="Times New Roman" w:hAnsi="Times New Roman"/>
              </w:rPr>
              <w:t>(4,2%)</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381</w:t>
            </w:r>
          </w:p>
        </w:tc>
        <w:tc>
          <w:tcPr>
            <w:tcW w:w="1559"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12 (3,1%)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9617</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376 (3,9%)</w:t>
            </w:r>
          </w:p>
        </w:tc>
      </w:tr>
      <w:tr w:rsidR="00A131AD" w:rsidRPr="00E05270" w:rsidTr="001911A6">
        <w:trPr>
          <w:gridAfter w:val="1"/>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324</w:t>
            </w:r>
          </w:p>
        </w:tc>
        <w:tc>
          <w:tcPr>
            <w:tcW w:w="1553"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8</w:t>
            </w:r>
            <w:r w:rsidR="00F83CAD">
              <w:rPr>
                <w:rFonts w:ascii="Times New Roman" w:hAnsi="Times New Roman"/>
              </w:rPr>
              <w:t xml:space="preserve"> </w:t>
            </w:r>
            <w:r w:rsidRPr="00E05270">
              <w:rPr>
                <w:rFonts w:ascii="Times New Roman" w:hAnsi="Times New Roman"/>
              </w:rPr>
              <w:t>(2,5%)</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w:t>
            </w:r>
          </w:p>
        </w:tc>
        <w:tc>
          <w:tcPr>
            <w:tcW w:w="1559"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6795</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340 (5%)</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435</w:t>
            </w:r>
          </w:p>
        </w:tc>
        <w:tc>
          <w:tcPr>
            <w:tcW w:w="1553"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21 (4,8%)</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242</w:t>
            </w:r>
          </w:p>
        </w:tc>
        <w:tc>
          <w:tcPr>
            <w:tcW w:w="1559" w:type="dxa"/>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12  (5%)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10634</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419 (4%)</w:t>
            </w:r>
          </w:p>
        </w:tc>
      </w:tr>
      <w:tr w:rsidR="00A131AD" w:rsidRPr="00E05270" w:rsidTr="001911A6">
        <w:trPr>
          <w:gridAfter w:val="1"/>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422</w:t>
            </w:r>
          </w:p>
        </w:tc>
        <w:tc>
          <w:tcPr>
            <w:tcW w:w="1553"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10 (2,3%)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152</w:t>
            </w:r>
          </w:p>
        </w:tc>
        <w:tc>
          <w:tcPr>
            <w:tcW w:w="1559" w:type="dxa"/>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6697</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478 (7,1%)</w:t>
            </w:r>
          </w:p>
        </w:tc>
      </w:tr>
      <w:tr w:rsidR="00A131AD" w:rsidRPr="00E05270" w:rsidTr="001911A6">
        <w:trPr>
          <w:gridAfter w:val="1"/>
          <w:cnfStyle w:val="010000000000" w:firstRow="0" w:lastRow="1" w:firstColumn="0" w:lastColumn="0" w:oddVBand="0" w:evenVBand="0" w:oddHBand="0"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282</w:t>
            </w:r>
          </w:p>
        </w:tc>
        <w:tc>
          <w:tcPr>
            <w:tcW w:w="1553"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lang w:val="hr-HR"/>
              </w:rPr>
              <w:t>5(1,3%)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182</w:t>
            </w:r>
          </w:p>
        </w:tc>
        <w:tc>
          <w:tcPr>
            <w:tcW w:w="1559" w:type="dxa"/>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13 (7,1%)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8215</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486 (5,9%)</w:t>
            </w:r>
          </w:p>
        </w:tc>
      </w:tr>
    </w:tbl>
    <w:p w:rsidR="00A131AD" w:rsidRPr="00155F80" w:rsidRDefault="00A131AD" w:rsidP="000C0138">
      <w:pPr>
        <w:pStyle w:val="tabele0"/>
        <w:spacing w:line="276" w:lineRule="auto"/>
        <w:ind w:left="0" w:firstLine="0"/>
        <w:jc w:val="both"/>
        <w:rPr>
          <w:i w:val="0"/>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w:t>
      </w:r>
      <w:r w:rsidR="00512E30">
        <w:rPr>
          <w:rFonts w:ascii="Times New Roman" w:hAnsi="Times New Roman"/>
        </w:rPr>
        <w:t>sistem</w:t>
      </w:r>
      <w:r w:rsidR="00550EF6">
        <w:rPr>
          <w:rFonts w:ascii="Times New Roman" w:hAnsi="Times New Roman"/>
        </w:rPr>
        <w:t>u</w:t>
      </w:r>
      <w:r w:rsidRPr="00155F80">
        <w:rPr>
          <w:rFonts w:ascii="Times New Roman" w:hAnsi="Times New Roman"/>
        </w:rPr>
        <w:t xml:space="preserve"> kontrole zdravstvene ispravnosti namirnica se povremeno provodi ciljani monitoring namirnica i predmeta op</w:t>
      </w:r>
      <w:r w:rsidR="00550EF6">
        <w:rPr>
          <w:rFonts w:ascii="Times New Roman" w:hAnsi="Times New Roman"/>
        </w:rPr>
        <w:t>ć</w:t>
      </w:r>
      <w:r w:rsidRPr="00155F80">
        <w:rPr>
          <w:rFonts w:ascii="Times New Roman" w:hAnsi="Times New Roman"/>
        </w:rPr>
        <w:t xml:space="preserve">e </w:t>
      </w:r>
      <w:r w:rsidR="00526FD0">
        <w:rPr>
          <w:rFonts w:ascii="Times New Roman" w:hAnsi="Times New Roman"/>
        </w:rPr>
        <w:t>upotrebe</w:t>
      </w:r>
      <w:r w:rsidRPr="00155F80">
        <w:rPr>
          <w:rFonts w:ascii="Times New Roman" w:hAnsi="Times New Roman"/>
        </w:rPr>
        <w:t xml:space="preserve">, ali kontinuirani monitoring, propisan zakonskim aktima i neophodan za ocjenu </w:t>
      </w:r>
      <w:r w:rsidR="00512E30">
        <w:rPr>
          <w:rFonts w:ascii="Times New Roman" w:hAnsi="Times New Roman"/>
        </w:rPr>
        <w:t>uticaj</w:t>
      </w:r>
      <w:r w:rsidRPr="00155F80">
        <w:rPr>
          <w:rFonts w:ascii="Times New Roman" w:hAnsi="Times New Roman"/>
        </w:rPr>
        <w:t xml:space="preserve">a na zdravlje, se ne provodi.  </w:t>
      </w:r>
    </w:p>
    <w:p w:rsidR="00A131AD" w:rsidRPr="00155F80" w:rsidRDefault="00A131AD" w:rsidP="000C0138">
      <w:pPr>
        <w:spacing w:line="276" w:lineRule="auto"/>
        <w:rPr>
          <w:rFonts w:ascii="Times New Roman" w:hAnsi="Times New Roman"/>
          <w:color w:val="000000"/>
          <w:spacing w:val="6"/>
          <w:lang w:val="hr-HR"/>
        </w:rPr>
      </w:pPr>
      <w:r w:rsidRPr="00155F80">
        <w:rPr>
          <w:rFonts w:ascii="Times New Roman" w:hAnsi="Times New Roman"/>
        </w:rPr>
        <w:t>Nepohodna revizija obrazaca za zdravstveno statističko izvješ</w:t>
      </w:r>
      <w:r w:rsidR="00550EF6">
        <w:rPr>
          <w:rFonts w:ascii="Times New Roman" w:hAnsi="Times New Roman"/>
        </w:rPr>
        <w:t>ći</w:t>
      </w:r>
      <w:r w:rsidRPr="00155F80">
        <w:rPr>
          <w:rFonts w:ascii="Times New Roman" w:hAnsi="Times New Roman"/>
        </w:rPr>
        <w:t>vanje o zdravstvenoj ispravnosti namirnica i predmeta op</w:t>
      </w:r>
      <w:r w:rsidR="00550EF6">
        <w:rPr>
          <w:rFonts w:ascii="Times New Roman" w:hAnsi="Times New Roman"/>
        </w:rPr>
        <w:t>ć</w:t>
      </w:r>
      <w:r w:rsidRPr="00155F80">
        <w:rPr>
          <w:rFonts w:ascii="Times New Roman" w:hAnsi="Times New Roman"/>
        </w:rPr>
        <w:t xml:space="preserve">e </w:t>
      </w:r>
      <w:r w:rsidR="00526FD0">
        <w:rPr>
          <w:rFonts w:ascii="Times New Roman" w:hAnsi="Times New Roman"/>
        </w:rPr>
        <w:t>upotrebe</w:t>
      </w:r>
      <w:r w:rsidRPr="00155F80">
        <w:rPr>
          <w:rFonts w:ascii="Times New Roman" w:hAnsi="Times New Roman"/>
        </w:rPr>
        <w:t xml:space="preserve"> je u t</w:t>
      </w:r>
      <w:r w:rsidR="00550EF6">
        <w:rPr>
          <w:rFonts w:ascii="Times New Roman" w:hAnsi="Times New Roman"/>
        </w:rPr>
        <w:t>ije</w:t>
      </w:r>
      <w:r w:rsidRPr="00155F80">
        <w:rPr>
          <w:rFonts w:ascii="Times New Roman" w:hAnsi="Times New Roman"/>
        </w:rPr>
        <w:t>ku, a nastavljaju se i aktivnosti na</w:t>
      </w:r>
      <w:r w:rsidRPr="00155F80">
        <w:rPr>
          <w:rFonts w:ascii="Times New Roman" w:hAnsi="Times New Roman"/>
          <w:color w:val="000000"/>
        </w:rPr>
        <w:t xml:space="preserve"> harmonizaciji legislative vezane za zdravstvenu ispravnost hrane sa legislativom E</w:t>
      </w:r>
      <w:r w:rsidR="00550EF6">
        <w:rPr>
          <w:rFonts w:ascii="Times New Roman" w:hAnsi="Times New Roman"/>
          <w:color w:val="000000"/>
        </w:rPr>
        <w:t>u</w:t>
      </w:r>
      <w:r w:rsidRPr="00155F80">
        <w:rPr>
          <w:rFonts w:ascii="Times New Roman" w:hAnsi="Times New Roman"/>
          <w:color w:val="000000"/>
        </w:rPr>
        <w:t xml:space="preserve">ropske unije. </w:t>
      </w:r>
    </w:p>
    <w:p w:rsidR="000A5BE0" w:rsidRPr="00155F80" w:rsidRDefault="000A5BE0" w:rsidP="000C0138">
      <w:pPr>
        <w:spacing w:after="160" w:line="276" w:lineRule="auto"/>
        <w:jc w:val="left"/>
        <w:rPr>
          <w:rFonts w:ascii="Times New Roman" w:hAnsi="Times New Roman"/>
          <w:b/>
          <w:color w:val="000000"/>
          <w:spacing w:val="6"/>
          <w:lang w:val="hr-HR"/>
        </w:rPr>
      </w:pPr>
    </w:p>
    <w:p w:rsidR="00301140" w:rsidRPr="008F6458" w:rsidRDefault="008F6458" w:rsidP="000C0138">
      <w:pPr>
        <w:pStyle w:val="Poglavlje3"/>
        <w:spacing w:line="276" w:lineRule="auto"/>
        <w:rPr>
          <w:i w:val="0"/>
        </w:rPr>
      </w:pPr>
      <w:bookmarkStart w:id="336" w:name="_Toc460929215"/>
      <w:r w:rsidRPr="008F6458">
        <w:rPr>
          <w:i w:val="0"/>
        </w:rPr>
        <w:t xml:space="preserve">4.2.6 </w:t>
      </w:r>
      <w:r w:rsidR="00301140" w:rsidRPr="008F6458">
        <w:rPr>
          <w:i w:val="0"/>
        </w:rPr>
        <w:t xml:space="preserve">Mine i neeksplodirana </w:t>
      </w:r>
      <w:r w:rsidR="00D21A46">
        <w:rPr>
          <w:i w:val="0"/>
        </w:rPr>
        <w:t>smrtonosna</w:t>
      </w:r>
      <w:r w:rsidR="00301140" w:rsidRPr="008F6458">
        <w:rPr>
          <w:i w:val="0"/>
        </w:rPr>
        <w:t xml:space="preserve"> sredstva</w:t>
      </w:r>
      <w:bookmarkEnd w:id="336"/>
    </w:p>
    <w:p w:rsidR="000A5BE0" w:rsidRDefault="00301140" w:rsidP="00250204">
      <w:pPr>
        <w:pStyle w:val="TEKST"/>
      </w:pPr>
      <w:r w:rsidRPr="008F6458">
        <w:t xml:space="preserve">Prema </w:t>
      </w:r>
      <w:r w:rsidR="002B489B">
        <w:t>podaci</w:t>
      </w:r>
      <w:r w:rsidRPr="008F6458">
        <w:t xml:space="preserve">ma Centra za uklanjanje mina u BiH, u </w:t>
      </w:r>
      <w:r w:rsidR="00F70FD4">
        <w:t>periodu</w:t>
      </w:r>
      <w:r w:rsidRPr="008F6458">
        <w:t xml:space="preserve"> od 2013</w:t>
      </w:r>
      <w:r w:rsidR="00EC077A">
        <w:t>.</w:t>
      </w:r>
      <w:r w:rsidR="00550EF6">
        <w:t xml:space="preserve"> do </w:t>
      </w:r>
      <w:r w:rsidRPr="008F6458">
        <w:t>2015</w:t>
      </w:r>
      <w:r w:rsidR="00EC077A">
        <w:t>.</w:t>
      </w:r>
      <w:r w:rsidRPr="008F6458">
        <w:t xml:space="preserve"> godine, na području Federacije BiH od mina i eksplozivnih sredstava </w:t>
      </w:r>
      <w:r w:rsidR="000B12A9">
        <w:t>ozlijeđeno</w:t>
      </w:r>
      <w:r w:rsidRPr="008F6458">
        <w:t xml:space="preserve"> je 15 osoba (od toga 7 djece starosti do 18 godina), dok je smrtno stradalo 8 osoba (od toga 2 djece starosti do 18 godina). </w:t>
      </w:r>
      <w:r w:rsidR="00CB080B">
        <w:t>Opšti</w:t>
      </w:r>
      <w:r w:rsidRPr="008F6458">
        <w:t xml:space="preserve">ne u kojima su se najčešće događale </w:t>
      </w:r>
      <w:r w:rsidR="00D21A46">
        <w:t>povrede</w:t>
      </w:r>
      <w:r w:rsidRPr="008F6458">
        <w:t xml:space="preserve"> i smrtni slučajevi su: Had</w:t>
      </w:r>
      <w:r w:rsidR="008F6458">
        <w:t>žići, Gradačac i Bosanska Krupa</w:t>
      </w:r>
      <w:r w:rsidR="00B37E7E">
        <w:t>.</w:t>
      </w:r>
    </w:p>
    <w:p w:rsidR="00B37E7E" w:rsidRDefault="00B37E7E" w:rsidP="00250204">
      <w:pPr>
        <w:pStyle w:val="TEKST"/>
      </w:pPr>
    </w:p>
    <w:p w:rsidR="008F6458" w:rsidRPr="008F6458" w:rsidRDefault="008F6458" w:rsidP="00250204">
      <w:pPr>
        <w:pStyle w:val="TEKST"/>
      </w:pPr>
    </w:p>
    <w:p w:rsidR="00A131AD" w:rsidRPr="00155F80" w:rsidRDefault="008F6458" w:rsidP="000C0138">
      <w:pPr>
        <w:spacing w:after="160" w:line="276" w:lineRule="auto"/>
        <w:jc w:val="left"/>
        <w:rPr>
          <w:rFonts w:ascii="Times New Roman" w:hAnsi="Times New Roman"/>
          <w:b/>
          <w:spacing w:val="6"/>
          <w:lang w:val="hr-HR"/>
        </w:rPr>
      </w:pPr>
      <w:bookmarkStart w:id="337" w:name="_Toc460929216"/>
      <w:r>
        <w:rPr>
          <w:rStyle w:val="Poglavlje3Char"/>
          <w:i w:val="0"/>
          <w:color w:val="auto"/>
        </w:rPr>
        <w:t>4.2.7</w:t>
      </w:r>
      <w:r w:rsidR="000E1376" w:rsidRPr="00155F80">
        <w:rPr>
          <w:rStyle w:val="Poglavlje3Char"/>
          <w:i w:val="0"/>
          <w:color w:val="auto"/>
        </w:rPr>
        <w:t xml:space="preserve"> </w:t>
      </w:r>
      <w:r w:rsidR="00D21A46">
        <w:rPr>
          <w:rStyle w:val="Poglavlje3Char"/>
          <w:i w:val="0"/>
          <w:color w:val="auto"/>
        </w:rPr>
        <w:t>Saobraćajni</w:t>
      </w:r>
      <w:r w:rsidR="00A131AD" w:rsidRPr="00155F80">
        <w:rPr>
          <w:rStyle w:val="Poglavlje3Char"/>
          <w:i w:val="0"/>
          <w:color w:val="auto"/>
        </w:rPr>
        <w:t xml:space="preserve"> traumatizam</w:t>
      </w:r>
      <w:bookmarkEnd w:id="337"/>
      <w:r w:rsidR="00B25236" w:rsidRPr="00155F80">
        <w:rPr>
          <w:rFonts w:ascii="Times New Roman" w:hAnsi="Times New Roman"/>
          <w:lang w:val="bs-Latn-BA"/>
        </w:rPr>
        <w:t xml:space="preserve"> </w:t>
      </w:r>
    </w:p>
    <w:p w:rsidR="00A131AD" w:rsidRPr="00155F80" w:rsidRDefault="00A131AD" w:rsidP="00250204">
      <w:pPr>
        <w:pStyle w:val="TEKST"/>
        <w:rPr>
          <w:i/>
        </w:rPr>
      </w:pPr>
      <w:r w:rsidRPr="00155F80">
        <w:t xml:space="preserve">U analizi zdravstvenoga stanja stanovništva, </w:t>
      </w:r>
      <w:r w:rsidR="00587CDA">
        <w:t>pokazatelji</w:t>
      </w:r>
      <w:r w:rsidRPr="00155F80">
        <w:t xml:space="preserve"> o trendovima prometnoga traumatizma značajni  su za procjenu stanja sigurnosti u prometu i identifi</w:t>
      </w:r>
      <w:r w:rsidR="000B12A9">
        <w:t>ciranje</w:t>
      </w:r>
      <w:r w:rsidRPr="00155F80">
        <w:t xml:space="preserve"> vodećih </w:t>
      </w:r>
      <w:r w:rsidR="00D21A46">
        <w:t>faktor</w:t>
      </w:r>
      <w:r w:rsidR="000B12A9">
        <w:t>a</w:t>
      </w:r>
      <w:r w:rsidRPr="00155F80">
        <w:t xml:space="preserve"> rizika, koji zahtjevaju intersektorske preventivne intervencije. </w:t>
      </w:r>
    </w:p>
    <w:p w:rsidR="00A131AD" w:rsidRPr="00155F80" w:rsidRDefault="00A131AD" w:rsidP="00250204">
      <w:pPr>
        <w:pStyle w:val="TEKST"/>
        <w:rPr>
          <w:i/>
        </w:rPr>
      </w:pPr>
      <w:r w:rsidRPr="00155F80">
        <w:t xml:space="preserve">Prema </w:t>
      </w:r>
      <w:r w:rsidR="002B489B">
        <w:t>podaci</w:t>
      </w:r>
      <w:r w:rsidRPr="00155F80">
        <w:t>ma Federalnog ministarstva unut</w:t>
      </w:r>
      <w:r w:rsidR="000B12A9">
        <w:t>a</w:t>
      </w:r>
      <w:r w:rsidRPr="00155F80">
        <w:t>rnjih poslova,</w:t>
      </w:r>
      <w:r w:rsidRPr="00155F80">
        <w:rPr>
          <w:iCs/>
        </w:rPr>
        <w:t xml:space="preserve"> </w:t>
      </w:r>
      <w:r w:rsidRPr="00155F80">
        <w:t xml:space="preserve">u odnosu na ukupan broj </w:t>
      </w:r>
      <w:r w:rsidR="00D21A46">
        <w:t>saobraćajni</w:t>
      </w:r>
      <w:r w:rsidRPr="00155F80">
        <w:t xml:space="preserve">h nezgoda, bilježi se trend porasta od 28.433 </w:t>
      </w:r>
      <w:r w:rsidR="00D21A46">
        <w:t>saobraćajni</w:t>
      </w:r>
      <w:r w:rsidRPr="00155F80">
        <w:t xml:space="preserve">h nezgoda u 2010. god. do 28.978 u 2015. godini, s trendom smanjenja broja poginulih osoba u </w:t>
      </w:r>
      <w:r w:rsidR="00D21A46">
        <w:t>saobraćajni</w:t>
      </w:r>
      <w:r w:rsidRPr="00155F80">
        <w:t>m nezgodama od 197 u 2010. god do 185 u 2015. god.</w:t>
      </w:r>
      <w:r w:rsidR="00BE1C06">
        <w:t>ini,</w:t>
      </w:r>
      <w:r w:rsidRPr="00155F80">
        <w:t xml:space="preserve"> te porasta  broja ozlijeđenih osoba u </w:t>
      </w:r>
      <w:r w:rsidR="00D21A46">
        <w:t>saobraćajni</w:t>
      </w:r>
      <w:r w:rsidRPr="00155F80">
        <w:t xml:space="preserve">m nezgodama od 6.732 u 2010. godini do 7.246 u 2015. godini. </w:t>
      </w:r>
    </w:p>
    <w:p w:rsidR="00A131AD" w:rsidRDefault="00A131AD" w:rsidP="00250204">
      <w:pPr>
        <w:pStyle w:val="TEKST"/>
      </w:pPr>
      <w:r w:rsidRPr="00155F80">
        <w:t xml:space="preserve">Navedeni </w:t>
      </w:r>
      <w:r w:rsidR="002B489B">
        <w:t>podaci</w:t>
      </w:r>
      <w:r w:rsidRPr="00155F80">
        <w:t xml:space="preserve"> argumentiraju potrebu održavanja sigurnosnih mjera kontrole u prometu na području FBiH od strane Federalnog ministarstva unut</w:t>
      </w:r>
      <w:r w:rsidR="000B12A9">
        <w:t>a</w:t>
      </w:r>
      <w:r w:rsidRPr="00155F80">
        <w:t>rnjih poslova i određenih intersektorskih javnozdravstvenih kampanja prevencije prometnog traumatizma u Federaciji BiH.</w:t>
      </w:r>
    </w:p>
    <w:p w:rsidR="00BE1C06" w:rsidRPr="00155F80" w:rsidRDefault="00BE1C06" w:rsidP="00250204">
      <w:pPr>
        <w:pStyle w:val="TEKST"/>
      </w:pPr>
    </w:p>
    <w:p w:rsidR="00A131AD" w:rsidRPr="00155F80" w:rsidRDefault="00A80006" w:rsidP="00B37E7E">
      <w:pPr>
        <w:pStyle w:val="refererere"/>
      </w:pPr>
      <w:r>
        <w:t>Tabela</w:t>
      </w:r>
      <w:r w:rsidR="00A131AD" w:rsidRPr="00155F80">
        <w:t xml:space="preserve"> 23: </w:t>
      </w:r>
      <w:r w:rsidR="000B12A9">
        <w:t>Prometne</w:t>
      </w:r>
      <w:r w:rsidR="00A131AD" w:rsidRPr="00155F80">
        <w:t xml:space="preserve"> nezgode, poginule i povrijeđene osobe u Federaciji BiH, za period 2010.-2015.godina</w:t>
      </w: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804"/>
        <w:gridCol w:w="2012"/>
        <w:gridCol w:w="2154"/>
        <w:gridCol w:w="2240"/>
      </w:tblGrid>
      <w:tr w:rsidR="00A131AD" w:rsidRPr="00155F80" w:rsidTr="001911A6">
        <w:trPr>
          <w:trHeight w:val="393"/>
        </w:trPr>
        <w:tc>
          <w:tcPr>
            <w:tcW w:w="7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God.</w:t>
            </w:r>
          </w:p>
        </w:tc>
        <w:tc>
          <w:tcPr>
            <w:tcW w:w="180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 xml:space="preserve">Ukupan broj </w:t>
            </w:r>
            <w:r w:rsidR="00D21A46">
              <w:rPr>
                <w:rFonts w:ascii="Times New Roman" w:hAnsi="Times New Roman"/>
                <w:b/>
                <w:lang w:val="bs-Latn-BA"/>
              </w:rPr>
              <w:t>saobraćajni</w:t>
            </w:r>
            <w:r w:rsidRPr="003066C2">
              <w:rPr>
                <w:rFonts w:ascii="Times New Roman" w:hAnsi="Times New Roman"/>
                <w:b/>
                <w:lang w:val="bs-Latn-BA"/>
              </w:rPr>
              <w:t xml:space="preserve">h nezgoda </w:t>
            </w:r>
          </w:p>
        </w:tc>
        <w:tc>
          <w:tcPr>
            <w:tcW w:w="20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 xml:space="preserve">Broj </w:t>
            </w:r>
            <w:r w:rsidR="00D21A46">
              <w:rPr>
                <w:rFonts w:ascii="Times New Roman" w:hAnsi="Times New Roman"/>
                <w:b/>
                <w:lang w:val="bs-Latn-BA"/>
              </w:rPr>
              <w:t>saobraćajni</w:t>
            </w:r>
            <w:r w:rsidRPr="003066C2">
              <w:rPr>
                <w:rFonts w:ascii="Times New Roman" w:hAnsi="Times New Roman"/>
                <w:b/>
                <w:lang w:val="bs-Latn-BA"/>
              </w:rPr>
              <w:t>h nezgoda na 1000 stanovnika</w:t>
            </w:r>
          </w:p>
        </w:tc>
        <w:tc>
          <w:tcPr>
            <w:tcW w:w="21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 xml:space="preserve">Poginule osobe u </w:t>
            </w:r>
            <w:r w:rsidR="00D21A46">
              <w:rPr>
                <w:rFonts w:ascii="Times New Roman" w:hAnsi="Times New Roman"/>
                <w:b/>
                <w:lang w:val="bs-Latn-BA"/>
              </w:rPr>
              <w:t>saobraćajni</w:t>
            </w:r>
            <w:r w:rsidRPr="003066C2">
              <w:rPr>
                <w:rFonts w:ascii="Times New Roman" w:hAnsi="Times New Roman"/>
                <w:b/>
                <w:lang w:val="bs-Latn-BA"/>
              </w:rPr>
              <w:t xml:space="preserve">m nezgodama </w:t>
            </w:r>
          </w:p>
        </w:tc>
        <w:tc>
          <w:tcPr>
            <w:tcW w:w="22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0B12A9" w:rsidP="000C0138">
            <w:pPr>
              <w:pStyle w:val="BodyText"/>
              <w:spacing w:line="276" w:lineRule="auto"/>
              <w:jc w:val="center"/>
              <w:rPr>
                <w:rFonts w:ascii="Times New Roman" w:hAnsi="Times New Roman"/>
                <w:b/>
                <w:lang w:val="bs-Latn-BA"/>
              </w:rPr>
            </w:pPr>
            <w:r>
              <w:rPr>
                <w:rFonts w:ascii="Times New Roman" w:hAnsi="Times New Roman"/>
                <w:b/>
                <w:lang w:val="bs-Latn-BA"/>
              </w:rPr>
              <w:t>Ozlijeđene</w:t>
            </w:r>
            <w:r w:rsidR="00A131AD" w:rsidRPr="003066C2">
              <w:rPr>
                <w:rFonts w:ascii="Times New Roman" w:hAnsi="Times New Roman"/>
                <w:b/>
                <w:lang w:val="bs-Latn-BA"/>
              </w:rPr>
              <w:t xml:space="preserve"> osobe u </w:t>
            </w:r>
            <w:r w:rsidR="00D21A46">
              <w:rPr>
                <w:rFonts w:ascii="Times New Roman" w:hAnsi="Times New Roman"/>
                <w:b/>
                <w:lang w:val="bs-Latn-BA"/>
              </w:rPr>
              <w:t>saobraćajni</w:t>
            </w:r>
            <w:r w:rsidR="00A131AD" w:rsidRPr="003066C2">
              <w:rPr>
                <w:rFonts w:ascii="Times New Roman" w:hAnsi="Times New Roman"/>
                <w:b/>
                <w:lang w:val="bs-Latn-BA"/>
              </w:rPr>
              <w:t xml:space="preserve">m nezgodama </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2010.</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28.433</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12,2</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197</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6.732</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2011.</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27.902</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11,8</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170</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6.491</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2012.</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25.958</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10,9                                                </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140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4.359</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2013.</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26.655</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12,8</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158</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4.512      </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2014.</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27.844</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13.2</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143</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4.689</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2015</w:t>
            </w:r>
          </w:p>
        </w:tc>
        <w:tc>
          <w:tcPr>
            <w:tcW w:w="1804"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28.978</w:t>
            </w:r>
          </w:p>
        </w:tc>
        <w:tc>
          <w:tcPr>
            <w:tcW w:w="2012"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13.5</w:t>
            </w:r>
          </w:p>
        </w:tc>
        <w:tc>
          <w:tcPr>
            <w:tcW w:w="2154"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185</w:t>
            </w:r>
          </w:p>
        </w:tc>
        <w:tc>
          <w:tcPr>
            <w:tcW w:w="2240"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7246*</w:t>
            </w:r>
          </w:p>
        </w:tc>
      </w:tr>
    </w:tbl>
    <w:p w:rsidR="00A131AD" w:rsidRPr="00155F80" w:rsidRDefault="00A131AD" w:rsidP="000C0138">
      <w:pPr>
        <w:spacing w:line="276" w:lineRule="auto"/>
        <w:rPr>
          <w:rFonts w:ascii="Times New Roman" w:hAnsi="Times New Roman"/>
          <w:lang w:val="bs-Latn-BA"/>
        </w:rPr>
      </w:pPr>
      <w:r w:rsidRPr="00155F80">
        <w:rPr>
          <w:rFonts w:ascii="Times New Roman" w:hAnsi="Times New Roman"/>
          <w:lang w:val="bs-Latn-BA"/>
        </w:rPr>
        <w:t xml:space="preserve">*ukupan broj </w:t>
      </w:r>
      <w:r w:rsidR="000B12A9">
        <w:rPr>
          <w:rFonts w:ascii="Times New Roman" w:hAnsi="Times New Roman"/>
          <w:lang w:val="bs-Latn-BA"/>
        </w:rPr>
        <w:t>ozlijeđenih</w:t>
      </w:r>
      <w:r w:rsidRPr="00155F80">
        <w:rPr>
          <w:rFonts w:ascii="Times New Roman" w:hAnsi="Times New Roman"/>
          <w:lang w:val="bs-Latn-BA"/>
        </w:rPr>
        <w:t xml:space="preserve"> u </w:t>
      </w:r>
      <w:r w:rsidR="00D21A46">
        <w:rPr>
          <w:rFonts w:ascii="Times New Roman" w:hAnsi="Times New Roman"/>
          <w:lang w:val="bs-Latn-BA"/>
        </w:rPr>
        <w:t>saobraćajni</w:t>
      </w:r>
      <w:r w:rsidRPr="00155F80">
        <w:rPr>
          <w:rFonts w:ascii="Times New Roman" w:hAnsi="Times New Roman"/>
          <w:lang w:val="bs-Latn-BA"/>
        </w:rPr>
        <w:t xml:space="preserve">m nezgodama, od čega teže </w:t>
      </w:r>
      <w:r w:rsidR="000B12A9">
        <w:rPr>
          <w:rFonts w:ascii="Times New Roman" w:hAnsi="Times New Roman"/>
          <w:lang w:val="bs-Latn-BA"/>
        </w:rPr>
        <w:t>ozlijeđenih</w:t>
      </w:r>
      <w:r w:rsidRPr="00155F80">
        <w:rPr>
          <w:rFonts w:ascii="Times New Roman" w:hAnsi="Times New Roman"/>
          <w:lang w:val="bs-Latn-BA"/>
        </w:rPr>
        <w:t xml:space="preserve"> 1043 a lakše </w:t>
      </w:r>
      <w:r w:rsidR="000B12A9">
        <w:rPr>
          <w:rFonts w:ascii="Times New Roman" w:hAnsi="Times New Roman"/>
          <w:lang w:val="bs-Latn-BA"/>
        </w:rPr>
        <w:t>ozlijeđenih</w:t>
      </w:r>
      <w:r w:rsidRPr="00155F80">
        <w:rPr>
          <w:rFonts w:ascii="Times New Roman" w:hAnsi="Times New Roman"/>
          <w:lang w:val="bs-Latn-BA"/>
        </w:rPr>
        <w:t xml:space="preserve"> 6203</w:t>
      </w:r>
    </w:p>
    <w:p w:rsidR="00A131AD" w:rsidRDefault="00A131AD" w:rsidP="000C0138">
      <w:pPr>
        <w:spacing w:line="276" w:lineRule="auto"/>
        <w:rPr>
          <w:rFonts w:ascii="Times New Roman" w:hAnsi="Times New Roman"/>
          <w:lang w:val="bs-Latn-BA"/>
        </w:rPr>
      </w:pPr>
      <w:r w:rsidRPr="00155F80">
        <w:rPr>
          <w:rFonts w:ascii="Times New Roman" w:hAnsi="Times New Roman"/>
          <w:lang w:val="bs-Latn-BA"/>
        </w:rPr>
        <w:t>Izvor : Federalno ministarstvo unut</w:t>
      </w:r>
      <w:r w:rsidR="000B12A9">
        <w:rPr>
          <w:rFonts w:ascii="Times New Roman" w:hAnsi="Times New Roman"/>
          <w:lang w:val="bs-Latn-BA"/>
        </w:rPr>
        <w:t>a</w:t>
      </w:r>
      <w:r w:rsidRPr="00155F80">
        <w:rPr>
          <w:rFonts w:ascii="Times New Roman" w:hAnsi="Times New Roman"/>
          <w:lang w:val="bs-Latn-BA"/>
        </w:rPr>
        <w:t xml:space="preserve">rnjih poslova, 2016 </w:t>
      </w: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B37E7E" w:rsidRDefault="00B37E7E" w:rsidP="000C0138">
      <w:pPr>
        <w:spacing w:line="276" w:lineRule="auto"/>
        <w:rPr>
          <w:rFonts w:ascii="Times New Roman" w:hAnsi="Times New Roman"/>
          <w:lang w:val="bs-Latn-BA"/>
        </w:rPr>
      </w:pPr>
    </w:p>
    <w:p w:rsidR="00B37E7E" w:rsidRDefault="00B37E7E"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66054E" w:rsidRDefault="0066054E" w:rsidP="000C0138">
      <w:pPr>
        <w:spacing w:line="276" w:lineRule="auto"/>
        <w:rPr>
          <w:rFonts w:ascii="Times New Roman" w:hAnsi="Times New Roman"/>
          <w:lang w:val="bs-Latn-BA"/>
        </w:rPr>
      </w:pPr>
    </w:p>
    <w:p w:rsidR="0066054E" w:rsidRDefault="0066054E" w:rsidP="000C0138">
      <w:pPr>
        <w:spacing w:line="276" w:lineRule="auto"/>
        <w:rPr>
          <w:rFonts w:ascii="Times New Roman" w:hAnsi="Times New Roman"/>
          <w:lang w:val="bs-Latn-BA"/>
        </w:rPr>
      </w:pPr>
    </w:p>
    <w:p w:rsidR="00A131AD" w:rsidRPr="00155F80" w:rsidRDefault="00A131AD" w:rsidP="000C0138">
      <w:pPr>
        <w:pStyle w:val="Poglavlje1"/>
        <w:spacing w:line="276" w:lineRule="auto"/>
      </w:pPr>
      <w:bookmarkStart w:id="338" w:name="_Toc390781138"/>
      <w:bookmarkStart w:id="339" w:name="_Toc460929217"/>
      <w:r w:rsidRPr="00155F80">
        <w:t>ORGANIZACIJA ZDRAVSTVENE ZAŠTITE</w:t>
      </w:r>
      <w:bookmarkEnd w:id="338"/>
      <w:bookmarkEnd w:id="339"/>
    </w:p>
    <w:p w:rsidR="00D878AE" w:rsidRPr="00155F80" w:rsidRDefault="00D878AE" w:rsidP="00D878AE">
      <w:pPr>
        <w:pStyle w:val="Tekst0"/>
        <w:spacing w:line="276" w:lineRule="auto"/>
        <w:rPr>
          <w:color w:val="FF0000"/>
          <w:sz w:val="22"/>
          <w:szCs w:val="22"/>
        </w:rPr>
      </w:pPr>
      <w:bookmarkStart w:id="340" w:name="_Toc390781142"/>
      <w:r w:rsidRPr="00155F80">
        <w:rPr>
          <w:sz w:val="22"/>
          <w:szCs w:val="22"/>
        </w:rPr>
        <w:t>Zdravstvena zaštita u Federaciji BiH je organiz</w:t>
      </w:r>
      <w:r w:rsidR="000B12A9">
        <w:rPr>
          <w:sz w:val="22"/>
          <w:szCs w:val="22"/>
        </w:rPr>
        <w:t>ira</w:t>
      </w:r>
      <w:r w:rsidRPr="00155F80">
        <w:rPr>
          <w:sz w:val="22"/>
          <w:szCs w:val="22"/>
        </w:rPr>
        <w:t>na na</w:t>
      </w:r>
      <w:r w:rsidR="000B12A9">
        <w:rPr>
          <w:sz w:val="22"/>
          <w:szCs w:val="22"/>
        </w:rPr>
        <w:t xml:space="preserve"> </w:t>
      </w:r>
      <w:r w:rsidR="002B489B">
        <w:rPr>
          <w:sz w:val="22"/>
          <w:szCs w:val="22"/>
        </w:rPr>
        <w:t>nivou</w:t>
      </w:r>
      <w:r w:rsidRPr="00155F80">
        <w:rPr>
          <w:sz w:val="22"/>
          <w:szCs w:val="22"/>
        </w:rPr>
        <w:t xml:space="preserve"> primarne, specijalističko-kon</w:t>
      </w:r>
      <w:r w:rsidR="000B12A9">
        <w:rPr>
          <w:sz w:val="22"/>
          <w:szCs w:val="22"/>
        </w:rPr>
        <w:t>z</w:t>
      </w:r>
      <w:r w:rsidRPr="00155F80">
        <w:rPr>
          <w:sz w:val="22"/>
          <w:szCs w:val="22"/>
        </w:rPr>
        <w:t>ultativne i bolničke zaštite, a Zakonom utvrđena prava građana se najvećim dijelom finan</w:t>
      </w:r>
      <w:r w:rsidR="000B12A9">
        <w:rPr>
          <w:sz w:val="22"/>
          <w:szCs w:val="22"/>
        </w:rPr>
        <w:t>c</w:t>
      </w:r>
      <w:r w:rsidRPr="00155F80">
        <w:rPr>
          <w:sz w:val="22"/>
          <w:szCs w:val="22"/>
        </w:rPr>
        <w:t>iraju iz obveznog zdravstvenog osiguranja</w:t>
      </w:r>
      <w:r w:rsidRPr="00BE1C06">
        <w:rPr>
          <w:sz w:val="22"/>
          <w:szCs w:val="22"/>
        </w:rPr>
        <w:t>. (16,17)</w:t>
      </w:r>
    </w:p>
    <w:p w:rsidR="00D878AE" w:rsidRPr="00155F80" w:rsidRDefault="00D878AE" w:rsidP="00D878AE">
      <w:pPr>
        <w:pStyle w:val="Tekst0"/>
        <w:spacing w:line="276" w:lineRule="auto"/>
        <w:rPr>
          <w:sz w:val="22"/>
          <w:szCs w:val="22"/>
        </w:rPr>
      </w:pPr>
      <w:r w:rsidRPr="00155F80">
        <w:rPr>
          <w:sz w:val="22"/>
          <w:szCs w:val="22"/>
        </w:rPr>
        <w:t xml:space="preserve">Reformsko opredjeljenje je povećanje </w:t>
      </w:r>
      <w:r w:rsidR="000B12A9">
        <w:rPr>
          <w:sz w:val="22"/>
          <w:szCs w:val="22"/>
        </w:rPr>
        <w:t>učinkovitosti</w:t>
      </w:r>
      <w:r w:rsidRPr="00155F80">
        <w:rPr>
          <w:sz w:val="22"/>
          <w:szCs w:val="22"/>
        </w:rPr>
        <w:t xml:space="preserve"> i racionalizacija zdravstvene zaštite jačanjem primarne zdravstvene zaštite</w:t>
      </w:r>
      <w:r w:rsidRPr="00155F80">
        <w:rPr>
          <w:snapToGrid w:val="0"/>
          <w:sz w:val="22"/>
          <w:szCs w:val="22"/>
        </w:rPr>
        <w:t xml:space="preserve"> s naglaskom na promociji zdravlja i prevenciji, </w:t>
      </w:r>
      <w:r w:rsidRPr="00155F80">
        <w:rPr>
          <w:sz w:val="22"/>
          <w:szCs w:val="22"/>
        </w:rPr>
        <w:t>što treba da prati racionalizacija specijalističko-kon</w:t>
      </w:r>
      <w:r w:rsidR="000B12A9">
        <w:rPr>
          <w:sz w:val="22"/>
          <w:szCs w:val="22"/>
        </w:rPr>
        <w:t>z</w:t>
      </w:r>
      <w:r w:rsidRPr="00155F80">
        <w:rPr>
          <w:sz w:val="22"/>
          <w:szCs w:val="22"/>
        </w:rPr>
        <w:t>ulativne i bolničke zaštite.</w:t>
      </w:r>
      <w:r w:rsidRPr="00155F80">
        <w:rPr>
          <w:snapToGrid w:val="0"/>
          <w:sz w:val="22"/>
          <w:szCs w:val="22"/>
        </w:rPr>
        <w:t xml:space="preserve"> I</w:t>
      </w:r>
      <w:r w:rsidRPr="00155F80">
        <w:rPr>
          <w:sz w:val="22"/>
          <w:szCs w:val="22"/>
        </w:rPr>
        <w:t>mplementacija reformskih opredjeljenja</w:t>
      </w:r>
      <w:r w:rsidRPr="00155F80">
        <w:rPr>
          <w:snapToGrid w:val="0"/>
          <w:sz w:val="22"/>
          <w:szCs w:val="22"/>
        </w:rPr>
        <w:t xml:space="preserve"> je podržana usvajanjem značajnih</w:t>
      </w:r>
      <w:r w:rsidRPr="00155F80">
        <w:rPr>
          <w:sz w:val="22"/>
          <w:szCs w:val="22"/>
        </w:rPr>
        <w:t xml:space="preserve"> zakonskih i podzakonskih akata i strateških dokumenata. </w:t>
      </w:r>
    </w:p>
    <w:p w:rsidR="00D878AE" w:rsidRPr="00155F80" w:rsidRDefault="00D878AE" w:rsidP="00D878AE">
      <w:pPr>
        <w:pStyle w:val="Tekst0"/>
        <w:spacing w:line="276" w:lineRule="auto"/>
        <w:rPr>
          <w:sz w:val="22"/>
          <w:szCs w:val="22"/>
        </w:rPr>
      </w:pPr>
      <w:r w:rsidRPr="00155F80">
        <w:rPr>
          <w:sz w:val="22"/>
          <w:szCs w:val="22"/>
        </w:rPr>
        <w:t xml:space="preserve">Reforma primarne zdravstvene zaštite je bazirana </w:t>
      </w:r>
      <w:r>
        <w:rPr>
          <w:sz w:val="22"/>
          <w:szCs w:val="22"/>
        </w:rPr>
        <w:t xml:space="preserve">na </w:t>
      </w:r>
      <w:r w:rsidRPr="00155F80">
        <w:rPr>
          <w:sz w:val="22"/>
          <w:szCs w:val="22"/>
        </w:rPr>
        <w:t xml:space="preserve">implementaciji </w:t>
      </w:r>
      <w:r w:rsidR="00950A64">
        <w:rPr>
          <w:sz w:val="22"/>
          <w:szCs w:val="22"/>
        </w:rPr>
        <w:t>porodične</w:t>
      </w:r>
      <w:r w:rsidRPr="00155F80">
        <w:rPr>
          <w:sz w:val="22"/>
          <w:szCs w:val="22"/>
        </w:rPr>
        <w:t xml:space="preserve"> medicine (OM) i jačanju službi u zajednici, što se u prvom redu odnosi na službe za zdravstvenu zaštitu djece i žena, zatim na mentalnu rehabilitaciju u zajednici, fizikalnu rehabilitaciju u zajednici, hitnu medicinsku pomoć, sestrinstvo u zajednici, stomatološku zaštitu i dijagnostiku.  </w:t>
      </w:r>
    </w:p>
    <w:p w:rsidR="00D878AE" w:rsidRPr="00155F80" w:rsidRDefault="00D878AE" w:rsidP="00D878AE">
      <w:pPr>
        <w:pStyle w:val="Tekst0"/>
        <w:spacing w:line="276" w:lineRule="auto"/>
        <w:rPr>
          <w:sz w:val="22"/>
          <w:szCs w:val="22"/>
        </w:rPr>
      </w:pPr>
      <w:r w:rsidRPr="00155F80">
        <w:rPr>
          <w:sz w:val="22"/>
          <w:szCs w:val="22"/>
        </w:rPr>
        <w:t>Implementacijom strateških ciljeva su postignuti značajni pomaci u implementac</w:t>
      </w:r>
      <w:r>
        <w:rPr>
          <w:sz w:val="22"/>
          <w:szCs w:val="22"/>
        </w:rPr>
        <w:t xml:space="preserve">iji </w:t>
      </w:r>
      <w:r w:rsidR="00950A64">
        <w:rPr>
          <w:sz w:val="22"/>
          <w:szCs w:val="22"/>
        </w:rPr>
        <w:t>porodične</w:t>
      </w:r>
      <w:r>
        <w:rPr>
          <w:sz w:val="22"/>
          <w:szCs w:val="22"/>
        </w:rPr>
        <w:t xml:space="preserve"> medicine. Unapr</w:t>
      </w:r>
      <w:r w:rsidRPr="00155F80">
        <w:rPr>
          <w:sz w:val="22"/>
          <w:szCs w:val="22"/>
        </w:rPr>
        <w:t>eđenje infrastruktur</w:t>
      </w:r>
      <w:r w:rsidR="000B12A9">
        <w:rPr>
          <w:sz w:val="22"/>
          <w:szCs w:val="22"/>
        </w:rPr>
        <w:t>e</w:t>
      </w:r>
      <w:r w:rsidRPr="00155F80">
        <w:rPr>
          <w:sz w:val="22"/>
          <w:szCs w:val="22"/>
        </w:rPr>
        <w:t xml:space="preserve"> doprin</w:t>
      </w:r>
      <w:r w:rsidR="00C1309C">
        <w:rPr>
          <w:sz w:val="22"/>
          <w:szCs w:val="22"/>
        </w:rPr>
        <w:t>i</w:t>
      </w:r>
      <w:r w:rsidRPr="00155F80">
        <w:rPr>
          <w:sz w:val="22"/>
          <w:szCs w:val="22"/>
        </w:rPr>
        <w:t xml:space="preserve">jelo je prepoznatljivom ambijentu ambulanti </w:t>
      </w:r>
      <w:r w:rsidR="00950A64">
        <w:rPr>
          <w:sz w:val="22"/>
          <w:szCs w:val="22"/>
        </w:rPr>
        <w:t>porodične</w:t>
      </w:r>
      <w:r w:rsidRPr="00155F80">
        <w:rPr>
          <w:sz w:val="22"/>
          <w:szCs w:val="22"/>
        </w:rPr>
        <w:t xml:space="preserve"> medicine, te su osigurani standardni </w:t>
      </w:r>
      <w:r w:rsidR="00F70FD4">
        <w:rPr>
          <w:sz w:val="22"/>
          <w:szCs w:val="22"/>
        </w:rPr>
        <w:t>uslovi</w:t>
      </w:r>
      <w:r w:rsidRPr="00155F80">
        <w:rPr>
          <w:sz w:val="22"/>
          <w:szCs w:val="22"/>
        </w:rPr>
        <w:t xml:space="preserve"> neophodni za proces rada. Paralelno s ovim rađeno je </w:t>
      </w:r>
      <w:r>
        <w:rPr>
          <w:sz w:val="22"/>
          <w:szCs w:val="22"/>
        </w:rPr>
        <w:t xml:space="preserve">na </w:t>
      </w:r>
      <w:r w:rsidRPr="00155F80">
        <w:rPr>
          <w:sz w:val="22"/>
          <w:szCs w:val="22"/>
        </w:rPr>
        <w:t xml:space="preserve">edukaciji iz </w:t>
      </w:r>
      <w:r w:rsidR="000B12A9">
        <w:rPr>
          <w:sz w:val="22"/>
          <w:szCs w:val="22"/>
        </w:rPr>
        <w:t>područja</w:t>
      </w:r>
      <w:r w:rsidRPr="00155F80">
        <w:rPr>
          <w:sz w:val="22"/>
          <w:szCs w:val="22"/>
        </w:rPr>
        <w:t xml:space="preserve"> </w:t>
      </w:r>
      <w:r w:rsidR="00950A64">
        <w:rPr>
          <w:sz w:val="22"/>
          <w:szCs w:val="22"/>
        </w:rPr>
        <w:t>porodične</w:t>
      </w:r>
      <w:r w:rsidRPr="00155F80">
        <w:rPr>
          <w:sz w:val="22"/>
          <w:szCs w:val="22"/>
        </w:rPr>
        <w:t xml:space="preserve"> medicine, što se odnosi na program dodatne edukacije (PAT), kao i dvogodišnji i trogodišnji programi specijalizacije. </w:t>
      </w:r>
    </w:p>
    <w:p w:rsidR="00D878AE" w:rsidRPr="00155F80" w:rsidRDefault="00D878AE" w:rsidP="00D878AE">
      <w:pPr>
        <w:pStyle w:val="Tekst0"/>
        <w:spacing w:line="276" w:lineRule="auto"/>
        <w:rPr>
          <w:sz w:val="22"/>
          <w:szCs w:val="22"/>
        </w:rPr>
      </w:pPr>
      <w:r w:rsidRPr="00155F80">
        <w:rPr>
          <w:sz w:val="22"/>
          <w:szCs w:val="22"/>
        </w:rPr>
        <w:t>Usvajanje odgovarajuće legislative je doprin</w:t>
      </w:r>
      <w:r w:rsidR="00C1309C">
        <w:rPr>
          <w:sz w:val="22"/>
          <w:szCs w:val="22"/>
        </w:rPr>
        <w:t>i</w:t>
      </w:r>
      <w:r w:rsidRPr="00155F80">
        <w:rPr>
          <w:sz w:val="22"/>
          <w:szCs w:val="22"/>
        </w:rPr>
        <w:t>jelo boljem funkcioni</w:t>
      </w:r>
      <w:r w:rsidR="00C1309C">
        <w:rPr>
          <w:sz w:val="22"/>
          <w:szCs w:val="22"/>
        </w:rPr>
        <w:t>r</w:t>
      </w:r>
      <w:r w:rsidRPr="00155F80">
        <w:rPr>
          <w:sz w:val="22"/>
          <w:szCs w:val="22"/>
        </w:rPr>
        <w:t>anju centara za mentalno zdravlje u zajednici i centara za fizikalnu rehabilitaciju, te su nastavljene aktivnosti usmjerene na jačanje sestrinstva u zajednici, koje su se najviše odnosil</w:t>
      </w:r>
      <w:r w:rsidR="006A6356">
        <w:rPr>
          <w:sz w:val="22"/>
          <w:szCs w:val="22"/>
        </w:rPr>
        <w:t>e na pripremu dodatne edukacije</w:t>
      </w:r>
      <w:r w:rsidRPr="00155F80">
        <w:rPr>
          <w:sz w:val="22"/>
          <w:szCs w:val="22"/>
        </w:rPr>
        <w:t xml:space="preserve"> za polivalentne patronažne sestre.</w:t>
      </w:r>
    </w:p>
    <w:p w:rsidR="00D878AE" w:rsidRPr="00155F80" w:rsidRDefault="00D878AE" w:rsidP="00D878AE">
      <w:pPr>
        <w:pStyle w:val="Tekst0"/>
        <w:spacing w:line="276" w:lineRule="auto"/>
        <w:rPr>
          <w:sz w:val="22"/>
          <w:szCs w:val="22"/>
          <w:highlight w:val="yellow"/>
          <w:lang w:val="en-US"/>
        </w:rPr>
      </w:pPr>
      <w:r w:rsidRPr="00155F80">
        <w:rPr>
          <w:sz w:val="22"/>
          <w:szCs w:val="22"/>
        </w:rPr>
        <w:t xml:space="preserve">U cilju implementacije ciljeva Politike i </w:t>
      </w:r>
      <w:r w:rsidRPr="00155F80">
        <w:rPr>
          <w:sz w:val="22"/>
          <w:szCs w:val="22"/>
          <w:lang w:val="bs-Latn-BA"/>
        </w:rPr>
        <w:t xml:space="preserve">Strateškog plana za unapređenje ranog rasta i razvoja djece u FBiH, koji se odnose na </w:t>
      </w:r>
      <w:r w:rsidR="00B146E8">
        <w:rPr>
          <w:sz w:val="22"/>
          <w:szCs w:val="22"/>
        </w:rPr>
        <w:t>unapređenje</w:t>
      </w:r>
      <w:r w:rsidRPr="00155F80">
        <w:rPr>
          <w:sz w:val="22"/>
          <w:szCs w:val="22"/>
        </w:rPr>
        <w:t xml:space="preserve"> usluga u </w:t>
      </w:r>
      <w:r w:rsidR="00C15C3A">
        <w:rPr>
          <w:sz w:val="22"/>
          <w:szCs w:val="22"/>
        </w:rPr>
        <w:t>području</w:t>
      </w:r>
      <w:r w:rsidRPr="00155F80">
        <w:rPr>
          <w:sz w:val="22"/>
          <w:szCs w:val="22"/>
        </w:rPr>
        <w:t xml:space="preserve"> ranog rasta i razvoja djece, </w:t>
      </w:r>
      <w:r w:rsidR="00F0369C">
        <w:rPr>
          <w:sz w:val="22"/>
          <w:szCs w:val="22"/>
        </w:rPr>
        <w:t>tokom</w:t>
      </w:r>
      <w:r w:rsidRPr="00155F80">
        <w:rPr>
          <w:sz w:val="22"/>
          <w:szCs w:val="22"/>
        </w:rPr>
        <w:t xml:space="preserve"> 2015. godine je razvijen</w:t>
      </w:r>
      <w:r w:rsidRPr="00155F80">
        <w:rPr>
          <w:rFonts w:eastAsiaTheme="minorHAnsi"/>
          <w:sz w:val="22"/>
          <w:szCs w:val="22"/>
        </w:rPr>
        <w:t xml:space="preserve"> </w:t>
      </w:r>
      <w:r w:rsidRPr="00155F80">
        <w:rPr>
          <w:sz w:val="22"/>
          <w:szCs w:val="22"/>
        </w:rPr>
        <w:t>Curriculum</w:t>
      </w:r>
      <w:r w:rsidRPr="00155F80">
        <w:rPr>
          <w:rFonts w:eastAsiaTheme="minorHAnsi"/>
          <w:sz w:val="22"/>
          <w:szCs w:val="22"/>
        </w:rPr>
        <w:t xml:space="preserve"> za Osnovni program za rano prepoznavanje od</w:t>
      </w:r>
      <w:r w:rsidR="00CB080B">
        <w:rPr>
          <w:rFonts w:eastAsiaTheme="minorHAnsi"/>
          <w:sz w:val="22"/>
          <w:szCs w:val="22"/>
        </w:rPr>
        <w:t>stepen</w:t>
      </w:r>
      <w:r w:rsidRPr="00155F80">
        <w:rPr>
          <w:rFonts w:eastAsiaTheme="minorHAnsi"/>
          <w:sz w:val="22"/>
          <w:szCs w:val="22"/>
        </w:rPr>
        <w:t xml:space="preserve">a od tipičnog razvoja, te je </w:t>
      </w:r>
      <w:r w:rsidR="00526FD0">
        <w:rPr>
          <w:sz w:val="22"/>
          <w:szCs w:val="22"/>
        </w:rPr>
        <w:t>u skladu sa</w:t>
      </w:r>
      <w:r w:rsidRPr="00155F80">
        <w:rPr>
          <w:sz w:val="22"/>
          <w:szCs w:val="22"/>
        </w:rPr>
        <w:t xml:space="preserve"> Pravilnik</w:t>
      </w:r>
      <w:r w:rsidR="0027028E">
        <w:rPr>
          <w:sz w:val="22"/>
          <w:szCs w:val="22"/>
        </w:rPr>
        <w:t>om</w:t>
      </w:r>
      <w:r w:rsidRPr="00155F80">
        <w:rPr>
          <w:sz w:val="22"/>
          <w:szCs w:val="22"/>
        </w:rPr>
        <w:t xml:space="preserve"> koji reguli</w:t>
      </w:r>
      <w:r w:rsidR="00C15C3A">
        <w:rPr>
          <w:sz w:val="22"/>
          <w:szCs w:val="22"/>
        </w:rPr>
        <w:t>ra</w:t>
      </w:r>
      <w:r w:rsidRPr="00155F80">
        <w:rPr>
          <w:sz w:val="22"/>
          <w:szCs w:val="22"/>
        </w:rPr>
        <w:t xml:space="preserve"> edukaciju u ovo</w:t>
      </w:r>
      <w:r w:rsidR="00C15C3A">
        <w:rPr>
          <w:sz w:val="22"/>
          <w:szCs w:val="22"/>
        </w:rPr>
        <w:t>m području</w:t>
      </w:r>
      <w:r w:rsidRPr="00155F80">
        <w:rPr>
          <w:sz w:val="22"/>
          <w:szCs w:val="22"/>
        </w:rPr>
        <w:t xml:space="preserve">, uspješno </w:t>
      </w:r>
      <w:r w:rsidR="00F0369C">
        <w:rPr>
          <w:sz w:val="22"/>
          <w:szCs w:val="22"/>
        </w:rPr>
        <w:t>realizovan</w:t>
      </w:r>
      <w:r w:rsidRPr="00155F80">
        <w:rPr>
          <w:sz w:val="22"/>
          <w:szCs w:val="22"/>
        </w:rPr>
        <w:t xml:space="preserve">a obuka za prvu generaciju </w:t>
      </w:r>
      <w:r w:rsidRPr="00155F80">
        <w:rPr>
          <w:rFonts w:eastAsiaTheme="minorHAnsi"/>
          <w:sz w:val="22"/>
          <w:szCs w:val="22"/>
        </w:rPr>
        <w:t xml:space="preserve">od 25 profesionalaca iz zdravstvenog, obrazovnog i socijalnog sektora sa područja cijele FBiH. </w:t>
      </w:r>
      <w:r w:rsidRPr="00BE1C06">
        <w:rPr>
          <w:rFonts w:eastAsiaTheme="minorHAnsi"/>
          <w:sz w:val="22"/>
          <w:szCs w:val="22"/>
        </w:rPr>
        <w:t>(18, 19, 20)</w:t>
      </w:r>
      <w:r w:rsidRPr="00155F80">
        <w:rPr>
          <w:rFonts w:eastAsiaTheme="minorHAnsi"/>
          <w:sz w:val="22"/>
          <w:szCs w:val="22"/>
        </w:rPr>
        <w:t xml:space="preserve">  </w:t>
      </w:r>
    </w:p>
    <w:p w:rsidR="00D878AE" w:rsidRPr="00155F80" w:rsidRDefault="00D878AE" w:rsidP="00D878AE">
      <w:pPr>
        <w:pStyle w:val="Tekst0"/>
        <w:spacing w:line="276" w:lineRule="auto"/>
        <w:rPr>
          <w:sz w:val="22"/>
          <w:szCs w:val="22"/>
        </w:rPr>
      </w:pPr>
      <w:r w:rsidRPr="00B74F84">
        <w:rPr>
          <w:sz w:val="22"/>
          <w:szCs w:val="22"/>
        </w:rPr>
        <w:t>Međutim,</w:t>
      </w:r>
      <w:r w:rsidRPr="006F1E4C">
        <w:rPr>
          <w:color w:val="00B050"/>
          <w:sz w:val="22"/>
          <w:szCs w:val="22"/>
        </w:rPr>
        <w:t xml:space="preserve"> </w:t>
      </w:r>
      <w:r w:rsidRPr="00155F80">
        <w:rPr>
          <w:sz w:val="22"/>
          <w:szCs w:val="22"/>
        </w:rPr>
        <w:t xml:space="preserve">treba napomenuti da je i pored značajnog broja dodatno </w:t>
      </w:r>
      <w:r w:rsidR="000E56ED">
        <w:rPr>
          <w:sz w:val="22"/>
          <w:szCs w:val="22"/>
        </w:rPr>
        <w:t>edukovanih</w:t>
      </w:r>
      <w:r w:rsidRPr="00155F80">
        <w:rPr>
          <w:sz w:val="22"/>
          <w:szCs w:val="22"/>
        </w:rPr>
        <w:t xml:space="preserve"> u zdravstvenim ustanovama, te unaprijeđene infrastrukture, implementacija reformskih opredjeljenja je otežana. Razlozi su brojni, od eviden</w:t>
      </w:r>
      <w:r w:rsidR="00B74F84">
        <w:rPr>
          <w:sz w:val="22"/>
          <w:szCs w:val="22"/>
        </w:rPr>
        <w:t>tn</w:t>
      </w:r>
      <w:r w:rsidRPr="00155F80">
        <w:rPr>
          <w:sz w:val="22"/>
          <w:szCs w:val="22"/>
        </w:rPr>
        <w:t xml:space="preserve">og problema nedostajućeg kadra i stalne fluktuacije </w:t>
      </w:r>
      <w:r w:rsidR="00950A64">
        <w:rPr>
          <w:sz w:val="22"/>
          <w:szCs w:val="22"/>
        </w:rPr>
        <w:t>zaposlen</w:t>
      </w:r>
      <w:r w:rsidRPr="00155F80">
        <w:rPr>
          <w:sz w:val="22"/>
          <w:szCs w:val="22"/>
        </w:rPr>
        <w:t>ih, sporog procesa reorganizacije službi unutar domova zdravlja, te ne</w:t>
      </w:r>
      <w:r w:rsidR="00751A8F">
        <w:rPr>
          <w:sz w:val="22"/>
          <w:szCs w:val="22"/>
        </w:rPr>
        <w:t>poticajnih</w:t>
      </w:r>
      <w:r w:rsidRPr="00155F80">
        <w:rPr>
          <w:sz w:val="22"/>
          <w:szCs w:val="22"/>
        </w:rPr>
        <w:t xml:space="preserve"> mehanizama </w:t>
      </w:r>
      <w:r w:rsidR="000A3A46">
        <w:rPr>
          <w:sz w:val="22"/>
          <w:szCs w:val="22"/>
        </w:rPr>
        <w:t>plaćanja</w:t>
      </w:r>
      <w:r w:rsidRPr="00155F80">
        <w:rPr>
          <w:sz w:val="22"/>
          <w:szCs w:val="22"/>
        </w:rPr>
        <w:t>.</w:t>
      </w:r>
    </w:p>
    <w:p w:rsidR="00D878AE" w:rsidRPr="00155F80" w:rsidRDefault="00D878AE" w:rsidP="00D878AE">
      <w:pPr>
        <w:spacing w:line="276" w:lineRule="auto"/>
        <w:rPr>
          <w:rFonts w:ascii="Times New Roman" w:hAnsi="Times New Roman"/>
          <w:lang w:bidi="ta-IN"/>
        </w:rPr>
      </w:pPr>
    </w:p>
    <w:p w:rsidR="00D878AE" w:rsidRPr="00155F80" w:rsidRDefault="00D878AE" w:rsidP="00D878AE">
      <w:pPr>
        <w:spacing w:line="276" w:lineRule="auto"/>
        <w:rPr>
          <w:rFonts w:ascii="Times New Roman" w:hAnsi="Times New Roman"/>
          <w:lang w:bidi="ta-IN"/>
        </w:rPr>
      </w:pPr>
      <w:r w:rsidRPr="00155F80">
        <w:rPr>
          <w:rFonts w:ascii="Times New Roman" w:hAnsi="Times New Roman"/>
          <w:lang w:bidi="ta-IN"/>
        </w:rPr>
        <w:t xml:space="preserve">Jedna od najznačajniji funkcija u zdravstvenom </w:t>
      </w:r>
      <w:r w:rsidR="00512E30">
        <w:rPr>
          <w:rFonts w:ascii="Times New Roman" w:hAnsi="Times New Roman"/>
          <w:lang w:bidi="ta-IN"/>
        </w:rPr>
        <w:t>sistem</w:t>
      </w:r>
      <w:r w:rsidR="00B74F84">
        <w:rPr>
          <w:rFonts w:ascii="Times New Roman" w:hAnsi="Times New Roman"/>
          <w:lang w:bidi="ta-IN"/>
        </w:rPr>
        <w:t xml:space="preserve">u </w:t>
      </w:r>
      <w:r w:rsidRPr="00155F80">
        <w:rPr>
          <w:rFonts w:ascii="Times New Roman" w:hAnsi="Times New Roman"/>
          <w:lang w:bidi="ta-IN"/>
        </w:rPr>
        <w:t xml:space="preserve">je upravljanje zdravstvenim ustanovama, odnosno svim njihovim resursima (kadar, prostor,oprema), jer od toga direktno zavisi </w:t>
      </w:r>
      <w:r w:rsidR="00B74F84">
        <w:rPr>
          <w:rFonts w:ascii="Times New Roman" w:hAnsi="Times New Roman"/>
          <w:lang w:bidi="ta-IN"/>
        </w:rPr>
        <w:t>učinkovitost</w:t>
      </w:r>
      <w:r w:rsidRPr="00155F80">
        <w:rPr>
          <w:rFonts w:ascii="Times New Roman" w:hAnsi="Times New Roman"/>
          <w:lang w:bidi="ta-IN"/>
        </w:rPr>
        <w:t xml:space="preserve"> i efektivnost samog </w:t>
      </w:r>
      <w:r w:rsidR="00512E30">
        <w:rPr>
          <w:rFonts w:ascii="Times New Roman" w:hAnsi="Times New Roman"/>
          <w:lang w:bidi="ta-IN"/>
        </w:rPr>
        <w:t>sistem</w:t>
      </w:r>
      <w:r w:rsidR="00C651BA">
        <w:rPr>
          <w:rFonts w:ascii="Times New Roman" w:hAnsi="Times New Roman"/>
          <w:lang w:bidi="ta-IN"/>
        </w:rPr>
        <w:t>a</w:t>
      </w:r>
      <w:r w:rsidRPr="00155F80">
        <w:rPr>
          <w:rFonts w:ascii="Times New Roman" w:hAnsi="Times New Roman"/>
          <w:lang w:bidi="ta-IN"/>
        </w:rPr>
        <w:t>.</w:t>
      </w:r>
    </w:p>
    <w:p w:rsidR="00D878AE" w:rsidRPr="00155F80" w:rsidRDefault="00D878AE" w:rsidP="00D878AE">
      <w:pPr>
        <w:spacing w:line="276" w:lineRule="auto"/>
        <w:rPr>
          <w:rFonts w:ascii="Times New Roman" w:hAnsi="Times New Roman"/>
          <w:lang w:bidi="ta-IN"/>
        </w:rPr>
      </w:pPr>
      <w:r w:rsidRPr="00155F80">
        <w:rPr>
          <w:rFonts w:ascii="Times New Roman" w:hAnsi="Times New Roman"/>
          <w:lang w:bidi="ta-IN"/>
        </w:rPr>
        <w:t xml:space="preserve">Na temelju nekoliko istraživanja provedenih u FBiH, konstatirano je da je jedna od slabijih karika zdravstvenog </w:t>
      </w:r>
      <w:r w:rsidR="00512E30">
        <w:rPr>
          <w:rFonts w:ascii="Times New Roman" w:hAnsi="Times New Roman"/>
          <w:lang w:bidi="ta-IN"/>
        </w:rPr>
        <w:t>sistem</w:t>
      </w:r>
      <w:r w:rsidR="00B74F84">
        <w:rPr>
          <w:rFonts w:ascii="Times New Roman" w:hAnsi="Times New Roman"/>
          <w:lang w:bidi="ta-IN"/>
        </w:rPr>
        <w:t>a</w:t>
      </w:r>
      <w:r w:rsidRPr="00155F80">
        <w:rPr>
          <w:rFonts w:ascii="Times New Roman" w:hAnsi="Times New Roman"/>
          <w:lang w:bidi="ta-IN"/>
        </w:rPr>
        <w:t xml:space="preserve"> upravo nedovoljno poznavanje neophodnih znanja i vještina upravljanja od strane rukovodi</w:t>
      </w:r>
      <w:r w:rsidR="00B74F84">
        <w:rPr>
          <w:rFonts w:ascii="Times New Roman" w:hAnsi="Times New Roman"/>
          <w:lang w:bidi="ta-IN"/>
        </w:rPr>
        <w:t>telja</w:t>
      </w:r>
      <w:r w:rsidRPr="00155F80">
        <w:rPr>
          <w:rFonts w:ascii="Times New Roman" w:hAnsi="Times New Roman"/>
          <w:lang w:bidi="ta-IN"/>
        </w:rPr>
        <w:t xml:space="preserve"> zdravstvenih ustanova. </w:t>
      </w:r>
    </w:p>
    <w:p w:rsidR="00D878AE" w:rsidRDefault="00D878AE" w:rsidP="00D878AE">
      <w:pPr>
        <w:spacing w:before="240" w:after="120" w:line="276" w:lineRule="auto"/>
        <w:contextualSpacing/>
        <w:rPr>
          <w:rFonts w:ascii="Times New Roman" w:hAnsi="Times New Roman"/>
        </w:rPr>
      </w:pPr>
      <w:r w:rsidRPr="00155F80">
        <w:rPr>
          <w:rFonts w:ascii="Times New Roman" w:hAnsi="Times New Roman"/>
          <w:lang w:val="pl-PL" w:bidi="ta-IN"/>
        </w:rPr>
        <w:t xml:space="preserve">To je razlog zbog čega je još od 2010. godine zakonska </w:t>
      </w:r>
      <w:r w:rsidR="00512E30">
        <w:rPr>
          <w:rFonts w:ascii="Times New Roman" w:hAnsi="Times New Roman"/>
          <w:lang w:val="pl-PL" w:bidi="ta-IN"/>
        </w:rPr>
        <w:t>obaveza</w:t>
      </w:r>
      <w:r w:rsidRPr="00155F80">
        <w:rPr>
          <w:rFonts w:ascii="Times New Roman" w:hAnsi="Times New Roman"/>
          <w:lang w:val="pl-PL" w:bidi="ta-IN"/>
        </w:rPr>
        <w:t xml:space="preserve"> da </w:t>
      </w:r>
      <w:r w:rsidR="00512E30">
        <w:rPr>
          <w:rFonts w:ascii="Times New Roman" w:hAnsi="Times New Roman"/>
          <w:lang w:val="pl-PL" w:bidi="ta-IN"/>
        </w:rPr>
        <w:t>DIREKTOR</w:t>
      </w:r>
      <w:r w:rsidR="00B74F84">
        <w:rPr>
          <w:rFonts w:ascii="Times New Roman" w:hAnsi="Times New Roman"/>
          <w:lang w:val="pl-PL" w:bidi="ta-IN"/>
        </w:rPr>
        <w:t>i</w:t>
      </w:r>
      <w:r w:rsidRPr="00155F80">
        <w:rPr>
          <w:rFonts w:ascii="Times New Roman" w:hAnsi="Times New Roman"/>
          <w:lang w:val="pl-PL" w:bidi="ta-IN"/>
        </w:rPr>
        <w:t xml:space="preserve"> zdravstvenih ustanova, kao </w:t>
      </w:r>
      <w:r w:rsidR="00F70FD4">
        <w:rPr>
          <w:rFonts w:ascii="Times New Roman" w:hAnsi="Times New Roman"/>
          <w:lang w:val="pl-PL" w:bidi="ta-IN"/>
        </w:rPr>
        <w:t>uslov</w:t>
      </w:r>
      <w:r w:rsidRPr="00155F80">
        <w:rPr>
          <w:rFonts w:ascii="Times New Roman" w:hAnsi="Times New Roman"/>
          <w:lang w:val="pl-PL" w:bidi="ta-IN"/>
        </w:rPr>
        <w:t xml:space="preserve"> za obavljanje te funkcije moraju imati certifikat o završenoj edukaciji iz zdravstvenog menadžmenta.</w:t>
      </w:r>
      <w:r>
        <w:rPr>
          <w:rFonts w:ascii="Times New Roman" w:hAnsi="Times New Roman"/>
          <w:lang w:val="pl-PL" w:bidi="ta-IN"/>
        </w:rPr>
        <w:t xml:space="preserve"> (</w:t>
      </w:r>
      <w:r w:rsidRPr="008E52C4">
        <w:rPr>
          <w:rFonts w:ascii="Times New Roman" w:hAnsi="Times New Roman"/>
        </w:rPr>
        <w:t xml:space="preserve">Zakon o zdravstvenoj zaštiti, </w:t>
      </w:r>
      <w:r w:rsidR="00B74F84">
        <w:rPr>
          <w:rFonts w:ascii="Times New Roman" w:hAnsi="Times New Roman"/>
        </w:rPr>
        <w:t>“</w:t>
      </w:r>
      <w:r w:rsidRPr="008E52C4">
        <w:rPr>
          <w:rFonts w:ascii="Times New Roman" w:hAnsi="Times New Roman"/>
        </w:rPr>
        <w:t xml:space="preserve">Sl. novine </w:t>
      </w:r>
      <w:r w:rsidR="00B74F84">
        <w:rPr>
          <w:rFonts w:ascii="Times New Roman" w:hAnsi="Times New Roman"/>
        </w:rPr>
        <w:t xml:space="preserve">FBiH” </w:t>
      </w:r>
      <w:r w:rsidRPr="008E52C4">
        <w:rPr>
          <w:rFonts w:ascii="Times New Roman" w:hAnsi="Times New Roman"/>
        </w:rPr>
        <w:t>br. 46/10</w:t>
      </w:r>
      <w:r>
        <w:rPr>
          <w:rFonts w:ascii="Times New Roman" w:hAnsi="Times New Roman"/>
        </w:rPr>
        <w:t xml:space="preserve"> 9 75/13)</w:t>
      </w:r>
    </w:p>
    <w:p w:rsidR="00D878AE" w:rsidRPr="00155F80" w:rsidRDefault="00D878AE" w:rsidP="00D878AE">
      <w:pPr>
        <w:spacing w:line="276" w:lineRule="auto"/>
        <w:rPr>
          <w:rFonts w:ascii="Times New Roman" w:hAnsi="Times New Roman"/>
          <w:lang w:val="pl-PL" w:bidi="ta-IN"/>
        </w:rPr>
      </w:pPr>
      <w:r w:rsidRPr="00155F80">
        <w:rPr>
          <w:rFonts w:ascii="Times New Roman" w:hAnsi="Times New Roman"/>
          <w:lang w:val="pl-PL" w:bidi="ta-IN"/>
        </w:rPr>
        <w:t xml:space="preserve">Jedna od mogućnosti </w:t>
      </w:r>
      <w:r>
        <w:rPr>
          <w:rFonts w:ascii="Times New Roman" w:hAnsi="Times New Roman"/>
          <w:lang w:val="pl-PL" w:bidi="ta-IN"/>
        </w:rPr>
        <w:t xml:space="preserve">za </w:t>
      </w:r>
      <w:r w:rsidRPr="00155F80">
        <w:rPr>
          <w:rFonts w:ascii="Times New Roman" w:hAnsi="Times New Roman"/>
          <w:lang w:val="pl-PL" w:bidi="ta-IN"/>
        </w:rPr>
        <w:t xml:space="preserve">dobivanje spomenutog certifikata je i završena kontinuirana profesionalna edukacija iz zdravstvenog menadžmenta (KPE), koja se u tri </w:t>
      </w:r>
      <w:r w:rsidR="00B74F84">
        <w:rPr>
          <w:rFonts w:ascii="Times New Roman" w:hAnsi="Times New Roman"/>
          <w:lang w:val="pl-PL" w:bidi="ta-IN"/>
        </w:rPr>
        <w:t>razine</w:t>
      </w:r>
      <w:r w:rsidRPr="00155F80">
        <w:rPr>
          <w:rFonts w:ascii="Times New Roman" w:hAnsi="Times New Roman"/>
          <w:lang w:val="pl-PL" w:bidi="ta-IN"/>
        </w:rPr>
        <w:t xml:space="preserve"> edukacije provodi od 2012.</w:t>
      </w:r>
      <w:r>
        <w:rPr>
          <w:rFonts w:ascii="Times New Roman" w:hAnsi="Times New Roman"/>
          <w:lang w:val="pl-PL" w:bidi="ta-IN"/>
        </w:rPr>
        <w:t xml:space="preserve"> </w:t>
      </w:r>
      <w:r w:rsidRPr="00155F80">
        <w:rPr>
          <w:rFonts w:ascii="Times New Roman" w:hAnsi="Times New Roman"/>
          <w:lang w:val="pl-PL" w:bidi="ta-IN"/>
        </w:rPr>
        <w:t>godine.</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Sredinom 2015. godine, na temelju evaluacije primjedbi i prijedloga polaznika edukacije iz prethodnih godina, te zahtjeva federalnog ministra zdravstva, urađen je redizajn Curriculum-a KPE. </w:t>
      </w:r>
    </w:p>
    <w:p w:rsidR="00D878AE" w:rsidRPr="00155F80" w:rsidRDefault="00D878AE" w:rsidP="00D878AE">
      <w:pPr>
        <w:spacing w:line="276" w:lineRule="auto"/>
        <w:rPr>
          <w:rFonts w:ascii="Times New Roman" w:hAnsi="Times New Roman"/>
        </w:rPr>
      </w:pPr>
      <w:r w:rsidRPr="00155F80">
        <w:rPr>
          <w:rFonts w:ascii="Times New Roman" w:hAnsi="Times New Roman"/>
        </w:rPr>
        <w:t>Također na prijedlog federalnog ministra zdravstva, u redizajn Curriculuma, organizaciju i provedbu nastave, uključeni su, osim Zavoda za javno zdravstvo FBiH i Ekonomskog fakulteta Univerziteta u Sarajevu i ostali ekonomski i medic</w:t>
      </w:r>
      <w:r w:rsidR="0069577B">
        <w:rPr>
          <w:rFonts w:ascii="Times New Roman" w:hAnsi="Times New Roman"/>
        </w:rPr>
        <w:t>inski fakulteti sa Univerziteta</w:t>
      </w:r>
      <w:r w:rsidRPr="00155F80">
        <w:rPr>
          <w:rFonts w:ascii="Times New Roman" w:hAnsi="Times New Roman"/>
        </w:rPr>
        <w:t xml:space="preserve"> koja u svojem sastavu imaju oba ta fakulteta, kao i Agencija za kontrolu kvaliteta u zdravstvu F</w:t>
      </w:r>
      <w:r>
        <w:rPr>
          <w:rFonts w:ascii="Times New Roman" w:hAnsi="Times New Roman"/>
        </w:rPr>
        <w:t>ederacije</w:t>
      </w:r>
      <w:r w:rsidRPr="00155F80">
        <w:rPr>
          <w:rFonts w:ascii="Times New Roman" w:hAnsi="Times New Roman"/>
        </w:rPr>
        <w:t xml:space="preserve"> BiH</w:t>
      </w:r>
      <w:r w:rsidRPr="00FD4C13">
        <w:rPr>
          <w:rFonts w:ascii="Times New Roman" w:hAnsi="Times New Roman"/>
        </w:rPr>
        <w:t xml:space="preserve"> </w:t>
      </w:r>
      <w:r>
        <w:rPr>
          <w:rFonts w:ascii="Times New Roman" w:hAnsi="Times New Roman"/>
        </w:rPr>
        <w:t>(AKAZ</w:t>
      </w:r>
      <w:r w:rsidRPr="00155F80">
        <w:rPr>
          <w:rFonts w:ascii="Times New Roman" w:hAnsi="Times New Roman"/>
        </w:rPr>
        <w:t>).</w:t>
      </w:r>
    </w:p>
    <w:p w:rsidR="00D878AE" w:rsidRPr="00155F80" w:rsidRDefault="00D878AE" w:rsidP="00D878AE">
      <w:pPr>
        <w:spacing w:line="276" w:lineRule="auto"/>
        <w:rPr>
          <w:rFonts w:ascii="Times New Roman" w:hAnsi="Times New Roman"/>
        </w:rPr>
      </w:pPr>
      <w:r w:rsidRPr="00155F80">
        <w:rPr>
          <w:rFonts w:ascii="Times New Roman" w:hAnsi="Times New Roman"/>
        </w:rPr>
        <w:t>Novi ciklus KPE, po novom C</w:t>
      </w:r>
      <w:r>
        <w:rPr>
          <w:rFonts w:ascii="Times New Roman" w:hAnsi="Times New Roman"/>
        </w:rPr>
        <w:t xml:space="preserve">urriculum-u, započeo je u </w:t>
      </w:r>
      <w:r w:rsidR="00B74F84">
        <w:rPr>
          <w:rFonts w:ascii="Times New Roman" w:hAnsi="Times New Roman"/>
        </w:rPr>
        <w:t>rujnu</w:t>
      </w:r>
      <w:r w:rsidRPr="00155F80">
        <w:rPr>
          <w:rFonts w:ascii="Times New Roman" w:hAnsi="Times New Roman"/>
        </w:rPr>
        <w:t xml:space="preserve"> 2015. godine.</w:t>
      </w:r>
    </w:p>
    <w:p w:rsidR="00D878AE" w:rsidRPr="00155F80" w:rsidRDefault="00D878AE" w:rsidP="00D878AE">
      <w:pPr>
        <w:spacing w:line="276" w:lineRule="auto"/>
        <w:rPr>
          <w:rFonts w:ascii="Times New Roman" w:hAnsi="Times New Roman"/>
        </w:rPr>
      </w:pPr>
      <w:r w:rsidRPr="00155F80">
        <w:rPr>
          <w:rFonts w:ascii="Times New Roman" w:hAnsi="Times New Roman"/>
        </w:rPr>
        <w:t>Od 2012.</w:t>
      </w:r>
      <w:r>
        <w:rPr>
          <w:rFonts w:ascii="Times New Roman" w:hAnsi="Times New Roman"/>
        </w:rPr>
        <w:t xml:space="preserve"> </w:t>
      </w:r>
      <w:r w:rsidRPr="00155F80">
        <w:rPr>
          <w:rFonts w:ascii="Times New Roman" w:hAnsi="Times New Roman"/>
        </w:rPr>
        <w:t>godine, kada je KPE počela, pa do kraja 2015.</w:t>
      </w:r>
      <w:r>
        <w:rPr>
          <w:rFonts w:ascii="Times New Roman" w:hAnsi="Times New Roman"/>
        </w:rPr>
        <w:t xml:space="preserve"> </w:t>
      </w:r>
      <w:r w:rsidRPr="00155F80">
        <w:rPr>
          <w:rFonts w:ascii="Times New Roman" w:hAnsi="Times New Roman"/>
        </w:rPr>
        <w:t>godine, KPE osnovn</w:t>
      </w:r>
      <w:r w:rsidR="00B74F84">
        <w:rPr>
          <w:rFonts w:ascii="Times New Roman" w:hAnsi="Times New Roman"/>
        </w:rPr>
        <w:t>e razine</w:t>
      </w:r>
      <w:r w:rsidRPr="00155F80">
        <w:rPr>
          <w:rFonts w:ascii="Times New Roman" w:hAnsi="Times New Roman"/>
        </w:rPr>
        <w:t xml:space="preserve"> edukacije završila su 289 polaznika, edukaciju srednje </w:t>
      </w:r>
      <w:r w:rsidR="00B74F84">
        <w:rPr>
          <w:rFonts w:ascii="Times New Roman" w:hAnsi="Times New Roman"/>
        </w:rPr>
        <w:t>razine</w:t>
      </w:r>
      <w:r w:rsidRPr="00155F80">
        <w:rPr>
          <w:rFonts w:ascii="Times New Roman" w:hAnsi="Times New Roman"/>
        </w:rPr>
        <w:t xml:space="preserve"> edukacije završila su 287 polaznika, a edukaciju napredn</w:t>
      </w:r>
      <w:r w:rsidR="00B74F84">
        <w:rPr>
          <w:rFonts w:ascii="Times New Roman" w:hAnsi="Times New Roman"/>
        </w:rPr>
        <w:t>e razine</w:t>
      </w:r>
      <w:r>
        <w:rPr>
          <w:rFonts w:ascii="Times New Roman" w:hAnsi="Times New Roman"/>
        </w:rPr>
        <w:t xml:space="preserve"> </w:t>
      </w:r>
      <w:r w:rsidRPr="00155F80">
        <w:rPr>
          <w:rFonts w:ascii="Times New Roman" w:hAnsi="Times New Roman"/>
        </w:rPr>
        <w:t>(top menadžeri) 223, od toga u 2015</w:t>
      </w:r>
      <w:r>
        <w:rPr>
          <w:rFonts w:ascii="Times New Roman" w:hAnsi="Times New Roman"/>
        </w:rPr>
        <w:t xml:space="preserve"> </w:t>
      </w:r>
      <w:r w:rsidRPr="00155F80">
        <w:rPr>
          <w:rFonts w:ascii="Times New Roman" w:hAnsi="Times New Roman"/>
        </w:rPr>
        <w:t>.godini osnovn</w:t>
      </w:r>
      <w:r w:rsidR="00B74F84">
        <w:rPr>
          <w:rFonts w:ascii="Times New Roman" w:hAnsi="Times New Roman"/>
        </w:rPr>
        <w:t>u</w:t>
      </w:r>
      <w:r w:rsidRPr="00155F80">
        <w:rPr>
          <w:rFonts w:ascii="Times New Roman" w:hAnsi="Times New Roman"/>
        </w:rPr>
        <w:t xml:space="preserve"> </w:t>
      </w:r>
      <w:r w:rsidR="002B489B">
        <w:rPr>
          <w:rFonts w:ascii="Times New Roman" w:hAnsi="Times New Roman"/>
        </w:rPr>
        <w:t>nivo</w:t>
      </w:r>
      <w:r w:rsidRPr="00155F80">
        <w:rPr>
          <w:rFonts w:ascii="Times New Roman" w:hAnsi="Times New Roman"/>
        </w:rPr>
        <w:t xml:space="preserve"> 68, srednj</w:t>
      </w:r>
      <w:r w:rsidR="00B74F84">
        <w:rPr>
          <w:rFonts w:ascii="Times New Roman" w:hAnsi="Times New Roman"/>
        </w:rPr>
        <w:t>u</w:t>
      </w:r>
      <w:r w:rsidRPr="00155F80">
        <w:rPr>
          <w:rFonts w:ascii="Times New Roman" w:hAnsi="Times New Roman"/>
        </w:rPr>
        <w:t xml:space="preserve"> 75 i napredn</w:t>
      </w:r>
      <w:r w:rsidR="00B74F84">
        <w:rPr>
          <w:rFonts w:ascii="Times New Roman" w:hAnsi="Times New Roman"/>
        </w:rPr>
        <w:t>u</w:t>
      </w:r>
      <w:r w:rsidRPr="00155F80">
        <w:rPr>
          <w:rFonts w:ascii="Times New Roman" w:hAnsi="Times New Roman"/>
        </w:rPr>
        <w:t xml:space="preserve"> </w:t>
      </w:r>
      <w:r w:rsidR="002B489B">
        <w:rPr>
          <w:rFonts w:ascii="Times New Roman" w:hAnsi="Times New Roman"/>
        </w:rPr>
        <w:t>nivo</w:t>
      </w:r>
      <w:r w:rsidRPr="00155F80">
        <w:rPr>
          <w:rFonts w:ascii="Times New Roman" w:hAnsi="Times New Roman"/>
        </w:rPr>
        <w:t xml:space="preserve"> 80.</w:t>
      </w:r>
    </w:p>
    <w:p w:rsidR="00D878AE" w:rsidRPr="00155F80" w:rsidRDefault="00D878AE" w:rsidP="00D878AE">
      <w:pPr>
        <w:spacing w:line="276" w:lineRule="auto"/>
        <w:rPr>
          <w:rFonts w:ascii="Times New Roman" w:hAnsi="Times New Roman"/>
        </w:rPr>
      </w:pPr>
    </w:p>
    <w:p w:rsidR="00D878AE" w:rsidRPr="00155F80" w:rsidRDefault="00D878AE" w:rsidP="00D878AE">
      <w:pPr>
        <w:spacing w:line="276" w:lineRule="auto"/>
        <w:rPr>
          <w:rFonts w:ascii="Times New Roman" w:hAnsi="Times New Roman"/>
          <w:lang w:val="de-DE"/>
        </w:rPr>
      </w:pPr>
      <w:r w:rsidRPr="00155F80">
        <w:rPr>
          <w:rFonts w:ascii="Times New Roman" w:hAnsi="Times New Roman"/>
          <w:lang w:val="de-DE"/>
        </w:rPr>
        <w:t>U 2015. godini je Agencije za kvalitet</w:t>
      </w:r>
      <w:r w:rsidR="00B74F84">
        <w:rPr>
          <w:rFonts w:ascii="Times New Roman" w:hAnsi="Times New Roman"/>
          <w:lang w:val="de-DE"/>
        </w:rPr>
        <w:t>u</w:t>
      </w:r>
      <w:r w:rsidRPr="00155F80">
        <w:rPr>
          <w:rFonts w:ascii="Times New Roman" w:hAnsi="Times New Roman"/>
          <w:lang w:val="de-DE"/>
        </w:rPr>
        <w:t xml:space="preserve"> i akreditaciju u zdravstvu u FBiH (AKAZ) os</w:t>
      </w:r>
      <w:r w:rsidR="00D21A46">
        <w:rPr>
          <w:rFonts w:ascii="Times New Roman" w:hAnsi="Times New Roman"/>
          <w:lang w:val="de-DE"/>
        </w:rPr>
        <w:t>materija</w:t>
      </w:r>
      <w:r w:rsidRPr="00155F80">
        <w:rPr>
          <w:rFonts w:ascii="Times New Roman" w:hAnsi="Times New Roman"/>
          <w:lang w:val="de-DE"/>
        </w:rPr>
        <w:t xml:space="preserve">ila najbolje rezultate od svog osnivanja. </w:t>
      </w:r>
      <w:r w:rsidR="00F0369C">
        <w:rPr>
          <w:rFonts w:ascii="Times New Roman" w:hAnsi="Times New Roman"/>
          <w:lang w:val="de-DE"/>
        </w:rPr>
        <w:t>Realizovan</w:t>
      </w:r>
      <w:r w:rsidRPr="00155F80">
        <w:rPr>
          <w:rFonts w:ascii="Times New Roman" w:hAnsi="Times New Roman"/>
          <w:lang w:val="de-DE"/>
        </w:rPr>
        <w:t xml:space="preserve"> je vanjski pregled Pshijatrijske bolnice Kantona Sarajevo, koja je postala i prva akreditirana bolnica u Bosni i Hercegovini u cjelini sa svim službama i organizaci</w:t>
      </w:r>
      <w:r w:rsidR="00B74F84">
        <w:rPr>
          <w:rFonts w:ascii="Times New Roman" w:hAnsi="Times New Roman"/>
          <w:lang w:val="de-DE"/>
        </w:rPr>
        <w:t>jskim</w:t>
      </w:r>
      <w:r w:rsidRPr="00155F80">
        <w:rPr>
          <w:rFonts w:ascii="Times New Roman" w:hAnsi="Times New Roman"/>
          <w:lang w:val="de-DE"/>
        </w:rPr>
        <w:t xml:space="preserve"> jedinicama. Također, u sklopu </w:t>
      </w:r>
      <w:r w:rsidR="002B489B">
        <w:rPr>
          <w:rFonts w:ascii="Times New Roman" w:hAnsi="Times New Roman"/>
          <w:lang w:val="de-DE"/>
        </w:rPr>
        <w:t>saradnje</w:t>
      </w:r>
      <w:r w:rsidRPr="00155F80">
        <w:rPr>
          <w:rFonts w:ascii="Times New Roman" w:hAnsi="Times New Roman"/>
          <w:lang w:val="de-DE"/>
        </w:rPr>
        <w:t xml:space="preserve"> s UNICEF</w:t>
      </w:r>
      <w:r w:rsidRPr="00155F80">
        <w:rPr>
          <w:rFonts w:ascii="Cambria Math" w:hAnsi="Cambria Math" w:cs="Cambria Math"/>
          <w:lang w:val="de-DE"/>
        </w:rPr>
        <w:t>‐</w:t>
      </w:r>
      <w:r w:rsidRPr="00155F80">
        <w:rPr>
          <w:rFonts w:ascii="Times New Roman" w:hAnsi="Times New Roman"/>
          <w:lang w:val="de-DE"/>
        </w:rPr>
        <w:t xml:space="preserve">om BiH izvršen je vanjski pregled u ukupno četiri bolnice u FBiH (Tešanj, Orašje, Brčko i Jajce), te je u ovoj godini dodijeljena fokusirana akreditacija – „bolnice prijatelji beba“ za ukupno 15 bolnica/rodilišta u Federaciji BiH i u Brčko distriktu. </w:t>
      </w:r>
    </w:p>
    <w:p w:rsidR="00D878AE" w:rsidRPr="00155F80" w:rsidRDefault="00D878AE" w:rsidP="00D878AE">
      <w:pPr>
        <w:spacing w:line="276" w:lineRule="auto"/>
        <w:rPr>
          <w:rFonts w:ascii="Times New Roman" w:hAnsi="Times New Roman"/>
          <w:lang w:val="de-DE"/>
        </w:rPr>
      </w:pPr>
    </w:p>
    <w:p w:rsidR="00D878AE" w:rsidRPr="00155F80" w:rsidRDefault="00D878AE" w:rsidP="00D878AE">
      <w:pPr>
        <w:spacing w:line="276" w:lineRule="auto"/>
        <w:rPr>
          <w:rFonts w:ascii="Times New Roman" w:hAnsi="Times New Roman"/>
        </w:rPr>
      </w:pPr>
      <w:r w:rsidRPr="00155F80">
        <w:rPr>
          <w:rFonts w:ascii="Times New Roman" w:hAnsi="Times New Roman"/>
          <w:lang w:val="de-DE"/>
        </w:rPr>
        <w:t xml:space="preserve">U 2015. godini akreditacijski status je dodijeljen za sedam centara za mentalno zdravlje (CMZ), te je ukupan broj akreditiranih centara za mentalno zdravlje 20 u FBiH. U ovoj godini je obavljeno i osam nadzornih pregleda CMZ koji su stekli akreditacijski status u prethodnom </w:t>
      </w:r>
      <w:r w:rsidR="00F70FD4">
        <w:rPr>
          <w:rFonts w:ascii="Times New Roman" w:hAnsi="Times New Roman"/>
          <w:lang w:val="de-DE"/>
        </w:rPr>
        <w:t>periodu</w:t>
      </w:r>
      <w:r w:rsidRPr="00155F80">
        <w:rPr>
          <w:rFonts w:ascii="Times New Roman" w:hAnsi="Times New Roman"/>
          <w:lang w:val="de-DE"/>
        </w:rPr>
        <w:t xml:space="preserve">. </w:t>
      </w:r>
      <w:r w:rsidRPr="00155F80">
        <w:rPr>
          <w:rFonts w:ascii="Times New Roman" w:hAnsi="Times New Roman"/>
        </w:rPr>
        <w:t>Akreditacijski status su stekla tri drop</w:t>
      </w:r>
      <w:r w:rsidRPr="00155F80">
        <w:rPr>
          <w:rFonts w:ascii="Cambria Math" w:hAnsi="Cambria Math" w:cs="Cambria Math"/>
        </w:rPr>
        <w:t>‐</w:t>
      </w:r>
      <w:r w:rsidRPr="00155F80">
        <w:rPr>
          <w:rFonts w:ascii="Times New Roman" w:hAnsi="Times New Roman"/>
        </w:rPr>
        <w:t>in centra iz sastava Asocijacije Margina u 2015. godini u Tuzli, Mostaru i Zenici.</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U </w:t>
      </w:r>
      <w:r>
        <w:rPr>
          <w:rFonts w:ascii="Times New Roman" w:hAnsi="Times New Roman"/>
        </w:rPr>
        <w:t>2015. godini</w:t>
      </w:r>
      <w:r w:rsidRPr="00155F80">
        <w:rPr>
          <w:rFonts w:ascii="Times New Roman" w:hAnsi="Times New Roman"/>
        </w:rPr>
        <w:t xml:space="preserve"> je AKAZ započeo sa </w:t>
      </w:r>
      <w:r w:rsidR="00B74F84">
        <w:rPr>
          <w:rFonts w:ascii="Times New Roman" w:hAnsi="Times New Roman"/>
        </w:rPr>
        <w:t>c</w:t>
      </w:r>
      <w:r w:rsidRPr="00155F80">
        <w:rPr>
          <w:rFonts w:ascii="Times New Roman" w:hAnsi="Times New Roman"/>
        </w:rPr>
        <w:t>ertifikacijom (</w:t>
      </w:r>
      <w:r w:rsidR="00512E30">
        <w:rPr>
          <w:rFonts w:ascii="Times New Roman" w:hAnsi="Times New Roman"/>
        </w:rPr>
        <w:t>sistem</w:t>
      </w:r>
      <w:r w:rsidRPr="00155F80">
        <w:rPr>
          <w:rFonts w:ascii="Times New Roman" w:hAnsi="Times New Roman"/>
        </w:rPr>
        <w:t xml:space="preserve"> sigurnosnih standarda) zdravstvenih ustanova. Izvršen je pregled i dodijeljena </w:t>
      </w:r>
      <w:r w:rsidR="00B74F84">
        <w:rPr>
          <w:rFonts w:ascii="Times New Roman" w:hAnsi="Times New Roman"/>
        </w:rPr>
        <w:t>c</w:t>
      </w:r>
      <w:r w:rsidRPr="00155F80">
        <w:rPr>
          <w:rFonts w:ascii="Times New Roman" w:hAnsi="Times New Roman"/>
        </w:rPr>
        <w:t>ertifikacija z</w:t>
      </w:r>
      <w:r w:rsidR="0069577B">
        <w:rPr>
          <w:rFonts w:ascii="Times New Roman" w:hAnsi="Times New Roman"/>
        </w:rPr>
        <w:t xml:space="preserve">a 99 timova/ambulanti </w:t>
      </w:r>
      <w:r w:rsidR="00950A64">
        <w:rPr>
          <w:rFonts w:ascii="Times New Roman" w:hAnsi="Times New Roman"/>
        </w:rPr>
        <w:t>porodične</w:t>
      </w:r>
      <w:r w:rsidRPr="00155F80">
        <w:rPr>
          <w:rFonts w:ascii="Times New Roman" w:hAnsi="Times New Roman"/>
        </w:rPr>
        <w:t xml:space="preserve"> medicine iz sastava JU Dom zdavlja Kantona Sarajevo kao i 17 </w:t>
      </w:r>
      <w:r w:rsidR="00B74F84">
        <w:rPr>
          <w:rFonts w:ascii="Times New Roman" w:hAnsi="Times New Roman"/>
        </w:rPr>
        <w:t>ljekarni</w:t>
      </w:r>
      <w:r w:rsidRPr="00155F80">
        <w:rPr>
          <w:rFonts w:ascii="Times New Roman" w:hAnsi="Times New Roman"/>
        </w:rPr>
        <w:t xml:space="preserve"> – zdravstvenih ustanova. </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Pored ovih aktivnosti, u edukativne programe i obuke AKAZ-a </w:t>
      </w:r>
      <w:r w:rsidR="00C861DA">
        <w:rPr>
          <w:rFonts w:ascii="Times New Roman" w:hAnsi="Times New Roman"/>
        </w:rPr>
        <w:t>je</w:t>
      </w:r>
      <w:r w:rsidRPr="00155F80">
        <w:rPr>
          <w:rFonts w:ascii="Times New Roman" w:hAnsi="Times New Roman"/>
        </w:rPr>
        <w:t xml:space="preserve"> bil</w:t>
      </w:r>
      <w:r w:rsidR="00C861DA">
        <w:rPr>
          <w:rFonts w:ascii="Times New Roman" w:hAnsi="Times New Roman"/>
        </w:rPr>
        <w:t>o</w:t>
      </w:r>
      <w:r w:rsidRPr="00155F80">
        <w:rPr>
          <w:rFonts w:ascii="Times New Roman" w:hAnsi="Times New Roman"/>
        </w:rPr>
        <w:t xml:space="preserve"> uključen</w:t>
      </w:r>
      <w:r w:rsidR="00C861DA">
        <w:rPr>
          <w:rFonts w:ascii="Times New Roman" w:hAnsi="Times New Roman"/>
        </w:rPr>
        <w:t>o</w:t>
      </w:r>
      <w:r w:rsidRPr="00155F80">
        <w:rPr>
          <w:rFonts w:ascii="Times New Roman" w:hAnsi="Times New Roman"/>
        </w:rPr>
        <w:t xml:space="preserve"> 533 zdravstven</w:t>
      </w:r>
      <w:r w:rsidR="00C861DA">
        <w:rPr>
          <w:rFonts w:ascii="Times New Roman" w:hAnsi="Times New Roman"/>
        </w:rPr>
        <w:t>a</w:t>
      </w:r>
      <w:r w:rsidRPr="00155F80">
        <w:rPr>
          <w:rFonts w:ascii="Times New Roman" w:hAnsi="Times New Roman"/>
        </w:rPr>
        <w:t xml:space="preserve"> </w:t>
      </w:r>
      <w:r w:rsidR="00950A64">
        <w:rPr>
          <w:rFonts w:ascii="Times New Roman" w:hAnsi="Times New Roman"/>
        </w:rPr>
        <w:t>radnika</w:t>
      </w:r>
      <w:r w:rsidRPr="00155F80">
        <w:rPr>
          <w:rFonts w:ascii="Times New Roman" w:hAnsi="Times New Roman"/>
        </w:rPr>
        <w:t xml:space="preserve"> </w:t>
      </w:r>
      <w:r>
        <w:rPr>
          <w:rFonts w:ascii="Times New Roman" w:hAnsi="Times New Roman"/>
        </w:rPr>
        <w:t>i zdravstvenih s</w:t>
      </w:r>
      <w:r w:rsidR="00B74F84">
        <w:rPr>
          <w:rFonts w:ascii="Times New Roman" w:hAnsi="Times New Roman"/>
        </w:rPr>
        <w:t>u</w:t>
      </w:r>
      <w:r>
        <w:rPr>
          <w:rFonts w:ascii="Times New Roman" w:hAnsi="Times New Roman"/>
        </w:rPr>
        <w:t>radnika. Takođ</w:t>
      </w:r>
      <w:r w:rsidRPr="00155F80">
        <w:rPr>
          <w:rFonts w:ascii="Times New Roman" w:hAnsi="Times New Roman"/>
        </w:rPr>
        <w:t xml:space="preserve">er, obavljeno je i 186 facilitatorskih posjeta u 15 zdravstvenih ustanova. </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AKAZ je u 2015. godini razvio </w:t>
      </w:r>
      <w:r w:rsidR="00B74F84">
        <w:rPr>
          <w:rFonts w:ascii="Times New Roman" w:hAnsi="Times New Roman"/>
        </w:rPr>
        <w:t>c</w:t>
      </w:r>
      <w:r w:rsidRPr="00155F80">
        <w:rPr>
          <w:rFonts w:ascii="Times New Roman" w:hAnsi="Times New Roman"/>
        </w:rPr>
        <w:t xml:space="preserve">ertifikacijske i akreditacijske standarde za kantonalne </w:t>
      </w:r>
      <w:r>
        <w:rPr>
          <w:rFonts w:ascii="Times New Roman" w:hAnsi="Times New Roman"/>
        </w:rPr>
        <w:t xml:space="preserve">zavode za javno zdravstvo, </w:t>
      </w:r>
      <w:r w:rsidRPr="00155F80">
        <w:rPr>
          <w:rFonts w:ascii="Times New Roman" w:hAnsi="Times New Roman"/>
        </w:rPr>
        <w:t xml:space="preserve">te uradio reviziju i pripremio nacrt jedinstvenog seta </w:t>
      </w:r>
      <w:r w:rsidR="00B74F84">
        <w:rPr>
          <w:rFonts w:ascii="Times New Roman" w:hAnsi="Times New Roman"/>
        </w:rPr>
        <w:t>c</w:t>
      </w:r>
      <w:r w:rsidRPr="00155F80">
        <w:rPr>
          <w:rFonts w:ascii="Times New Roman" w:hAnsi="Times New Roman"/>
        </w:rPr>
        <w:t>ertifikacijskih i akreditacijskih standard</w:t>
      </w:r>
      <w:r>
        <w:rPr>
          <w:rFonts w:ascii="Times New Roman" w:hAnsi="Times New Roman"/>
        </w:rPr>
        <w:t>a za centre za mentalno zdravlje</w:t>
      </w:r>
      <w:r w:rsidRPr="00155F80">
        <w:rPr>
          <w:rFonts w:ascii="Times New Roman" w:hAnsi="Times New Roman"/>
        </w:rPr>
        <w:t>.</w:t>
      </w:r>
    </w:p>
    <w:p w:rsidR="00D878AE" w:rsidRPr="00155F80" w:rsidRDefault="00D878AE" w:rsidP="00D878AE">
      <w:pPr>
        <w:pStyle w:val="Tekst0"/>
        <w:spacing w:line="276" w:lineRule="auto"/>
        <w:rPr>
          <w:sz w:val="22"/>
          <w:szCs w:val="22"/>
        </w:rPr>
      </w:pPr>
      <w:bookmarkStart w:id="341" w:name="_Toc390781139"/>
    </w:p>
    <w:p w:rsidR="00D878AE" w:rsidRPr="00155F80" w:rsidRDefault="00D878AE" w:rsidP="00D878AE">
      <w:pPr>
        <w:pStyle w:val="Poglavlje2"/>
        <w:spacing w:line="276" w:lineRule="auto"/>
      </w:pPr>
      <w:bookmarkStart w:id="342" w:name="_Toc460929218"/>
      <w:r w:rsidRPr="00155F80">
        <w:t xml:space="preserve">5.1 </w:t>
      </w:r>
      <w:r w:rsidR="0075437E">
        <w:t>Za</w:t>
      </w:r>
      <w:r w:rsidRPr="00155F80">
        <w:t>poslen</w:t>
      </w:r>
      <w:r w:rsidR="0075437E">
        <w:t>i</w:t>
      </w:r>
      <w:r w:rsidRPr="00155F80">
        <w:t xml:space="preserve"> u zdravstvu</w:t>
      </w:r>
      <w:bookmarkEnd w:id="341"/>
      <w:bookmarkEnd w:id="342"/>
      <w:r w:rsidRPr="00155F80">
        <w:t xml:space="preserve"> </w:t>
      </w:r>
    </w:p>
    <w:p w:rsidR="00D878AE" w:rsidRPr="00155F80" w:rsidRDefault="00D878AE" w:rsidP="00D878AE">
      <w:pPr>
        <w:pStyle w:val="Tekst0"/>
        <w:spacing w:line="276" w:lineRule="auto"/>
        <w:rPr>
          <w:sz w:val="22"/>
          <w:szCs w:val="22"/>
        </w:rPr>
      </w:pPr>
      <w:r w:rsidRPr="00155F80">
        <w:rPr>
          <w:sz w:val="22"/>
          <w:szCs w:val="22"/>
        </w:rPr>
        <w:t xml:space="preserve">Prema </w:t>
      </w:r>
      <w:r w:rsidR="002B489B">
        <w:rPr>
          <w:sz w:val="22"/>
          <w:szCs w:val="22"/>
        </w:rPr>
        <w:t>podaci</w:t>
      </w:r>
      <w:r w:rsidRPr="00155F80">
        <w:rPr>
          <w:sz w:val="22"/>
          <w:szCs w:val="22"/>
        </w:rPr>
        <w:t xml:space="preserve">ma </w:t>
      </w:r>
      <w:r w:rsidR="002B489B">
        <w:rPr>
          <w:sz w:val="22"/>
          <w:szCs w:val="22"/>
        </w:rPr>
        <w:t>redovne</w:t>
      </w:r>
      <w:r w:rsidRPr="00155F80">
        <w:rPr>
          <w:sz w:val="22"/>
          <w:szCs w:val="22"/>
        </w:rPr>
        <w:t xml:space="preserve"> zdravstvene statistike koji se odnose na javni sektor zdravstvene zaštite, u zdravstvenim ustanovama u Federaciji BiH je u 2015. godini bilo ukupno 26.435 </w:t>
      </w:r>
      <w:r w:rsidR="00950A64">
        <w:rPr>
          <w:sz w:val="22"/>
          <w:szCs w:val="22"/>
        </w:rPr>
        <w:t>zaposlen</w:t>
      </w:r>
      <w:r w:rsidRPr="00155F80">
        <w:rPr>
          <w:sz w:val="22"/>
          <w:szCs w:val="22"/>
        </w:rPr>
        <w:t xml:space="preserve">ih (stopa 1.132/100.000 stanovnika), što u odnosu na 2010. godinu predstavlja povećanje za 3,4%. </w:t>
      </w:r>
    </w:p>
    <w:p w:rsidR="00D878AE" w:rsidRPr="00155F80" w:rsidRDefault="00D878AE" w:rsidP="00D878AE">
      <w:pPr>
        <w:pStyle w:val="Tekst0"/>
        <w:spacing w:line="276" w:lineRule="auto"/>
        <w:rPr>
          <w:sz w:val="22"/>
          <w:szCs w:val="22"/>
        </w:rPr>
      </w:pPr>
      <w:r w:rsidRPr="00155F80">
        <w:rPr>
          <w:sz w:val="22"/>
          <w:szCs w:val="22"/>
        </w:rPr>
        <w:t xml:space="preserve">Prema </w:t>
      </w:r>
      <w:r w:rsidR="002B489B">
        <w:rPr>
          <w:sz w:val="22"/>
          <w:szCs w:val="22"/>
        </w:rPr>
        <w:t>podaci</w:t>
      </w:r>
      <w:r w:rsidRPr="00155F80">
        <w:rPr>
          <w:sz w:val="22"/>
          <w:szCs w:val="22"/>
        </w:rPr>
        <w:t xml:space="preserve">ma Zavoda zdravstvenog osiguranja i reosiguranja FBiH, u zavodima zdravstvenog osiguranja u Federaciji BiH je u 2015. godini bilo </w:t>
      </w:r>
      <w:r w:rsidR="00950A64">
        <w:rPr>
          <w:sz w:val="22"/>
          <w:szCs w:val="22"/>
        </w:rPr>
        <w:t>zaposlen</w:t>
      </w:r>
      <w:r w:rsidRPr="00155F80">
        <w:rPr>
          <w:sz w:val="22"/>
          <w:szCs w:val="22"/>
        </w:rPr>
        <w:t xml:space="preserve">o 833 </w:t>
      </w:r>
      <w:r w:rsidR="00950A64">
        <w:rPr>
          <w:sz w:val="22"/>
          <w:szCs w:val="22"/>
        </w:rPr>
        <w:t>radnika</w:t>
      </w:r>
      <w:r w:rsidRPr="00155F80">
        <w:rPr>
          <w:sz w:val="22"/>
          <w:szCs w:val="22"/>
        </w:rPr>
        <w:t>.</w:t>
      </w:r>
    </w:p>
    <w:p w:rsidR="00D878AE" w:rsidRPr="00155F80" w:rsidRDefault="00D878AE" w:rsidP="00D878AE">
      <w:pPr>
        <w:pStyle w:val="Tekst0"/>
        <w:spacing w:line="276" w:lineRule="auto"/>
        <w:rPr>
          <w:iCs/>
          <w:lang w:val="bs-Latn-BA" w:eastAsia="bs-Latn-BA"/>
        </w:rPr>
      </w:pPr>
      <w:r w:rsidRPr="00155F80">
        <w:rPr>
          <w:sz w:val="22"/>
          <w:szCs w:val="22"/>
        </w:rPr>
        <w:t xml:space="preserve">U odnosu na 2010. godinu, u 2015. godini je broj zdravstvenih </w:t>
      </w:r>
      <w:r w:rsidR="00950A64">
        <w:rPr>
          <w:sz w:val="22"/>
          <w:szCs w:val="22"/>
        </w:rPr>
        <w:t>radnika</w:t>
      </w:r>
      <w:r w:rsidRPr="00155F80">
        <w:rPr>
          <w:sz w:val="22"/>
          <w:szCs w:val="22"/>
        </w:rPr>
        <w:t xml:space="preserve"> povećan za 5,1%, broj </w:t>
      </w:r>
      <w:r w:rsidRPr="00D878AE">
        <w:rPr>
          <w:sz w:val="22"/>
          <w:szCs w:val="22"/>
        </w:rPr>
        <w:t>zdravstvenih s</w:t>
      </w:r>
      <w:r w:rsidR="007A0601">
        <w:rPr>
          <w:sz w:val="22"/>
          <w:szCs w:val="22"/>
        </w:rPr>
        <w:t>u</w:t>
      </w:r>
      <w:r w:rsidRPr="00D878AE">
        <w:rPr>
          <w:sz w:val="22"/>
          <w:szCs w:val="22"/>
        </w:rPr>
        <w:t>radnika je povećan za 10,9%, a broj administrativnih i tehničkih radnika smanjen za</w:t>
      </w:r>
      <w:r w:rsidRPr="00155F80">
        <w:rPr>
          <w:sz w:val="22"/>
          <w:szCs w:val="22"/>
        </w:rPr>
        <w:t xml:space="preserve"> 1,6%. </w:t>
      </w:r>
      <w:r w:rsidRPr="00155F80">
        <w:br w:type="page"/>
      </w:r>
    </w:p>
    <w:p w:rsidR="00D878AE" w:rsidRDefault="00D878AE" w:rsidP="00D878AE">
      <w:pPr>
        <w:pStyle w:val="refererere"/>
        <w:jc w:val="left"/>
      </w:pPr>
      <w:r w:rsidRPr="00155F80">
        <w:t xml:space="preserve">Grafikon 89: </w:t>
      </w:r>
      <w:r w:rsidR="00950A64">
        <w:t>Zaposlen</w:t>
      </w:r>
      <w:r w:rsidRPr="00155F80">
        <w:t xml:space="preserve">i u zdravstvenim ustanovama u Federaciji BiH, </w:t>
      </w:r>
      <w:r w:rsidR="00F70FD4">
        <w:t>period</w:t>
      </w:r>
      <w:r w:rsidRPr="00155F80">
        <w:t xml:space="preserve"> 2010.</w:t>
      </w:r>
      <w:r>
        <w:t xml:space="preserve">-2015. godina, stopa na 100.000 </w:t>
      </w:r>
      <w:r w:rsidRPr="00155F80">
        <w:t>stanovnika</w:t>
      </w:r>
    </w:p>
    <w:p w:rsidR="00D878AE" w:rsidRDefault="00D878AE" w:rsidP="00D878AE">
      <w:pPr>
        <w:pStyle w:val="refererere"/>
        <w:jc w:val="left"/>
      </w:pPr>
      <w:r>
        <w:rPr>
          <w:noProof/>
          <w:lang w:eastAsia="en-GB"/>
        </w:rPr>
        <w:drawing>
          <wp:inline distT="0" distB="0" distL="0" distR="0" wp14:anchorId="62A346BF" wp14:editId="2CDE020D">
            <wp:extent cx="5770880" cy="1828800"/>
            <wp:effectExtent l="0" t="0" r="127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D878AE" w:rsidRDefault="00D878AE" w:rsidP="00D878AE">
      <w:pPr>
        <w:pStyle w:val="refererere"/>
        <w:jc w:val="left"/>
      </w:pPr>
    </w:p>
    <w:p w:rsidR="00D878AE" w:rsidRPr="00155F80" w:rsidRDefault="00D878AE" w:rsidP="003066C2">
      <w:pPr>
        <w:pStyle w:val="Tekst0"/>
        <w:spacing w:before="0" w:line="276" w:lineRule="auto"/>
        <w:rPr>
          <w:sz w:val="22"/>
          <w:szCs w:val="22"/>
        </w:rPr>
      </w:pPr>
      <w:r w:rsidRPr="00155F80">
        <w:rPr>
          <w:sz w:val="22"/>
          <w:szCs w:val="22"/>
        </w:rPr>
        <w:t>Slično pre</w:t>
      </w:r>
      <w:r w:rsidR="007A0601">
        <w:rPr>
          <w:sz w:val="22"/>
          <w:szCs w:val="22"/>
        </w:rPr>
        <w:t>t</w:t>
      </w:r>
      <w:r w:rsidRPr="00155F80">
        <w:rPr>
          <w:sz w:val="22"/>
          <w:szCs w:val="22"/>
        </w:rPr>
        <w:t xml:space="preserve">hodnim godinama, u 2015. godini su zdravstveni </w:t>
      </w:r>
      <w:r w:rsidR="00950A64">
        <w:rPr>
          <w:sz w:val="22"/>
          <w:szCs w:val="22"/>
        </w:rPr>
        <w:t>radnici</w:t>
      </w:r>
      <w:r w:rsidRPr="00155F80">
        <w:rPr>
          <w:sz w:val="22"/>
          <w:szCs w:val="22"/>
        </w:rPr>
        <w:t xml:space="preserve"> činili 71,4% ukupno </w:t>
      </w:r>
      <w:r w:rsidR="00950A64">
        <w:rPr>
          <w:sz w:val="22"/>
          <w:szCs w:val="22"/>
        </w:rPr>
        <w:t>zaposlen</w:t>
      </w:r>
      <w:r w:rsidRPr="00155F80">
        <w:rPr>
          <w:sz w:val="22"/>
          <w:szCs w:val="22"/>
        </w:rPr>
        <w:t>ih u zdravstvu, zdravstveni s</w:t>
      </w:r>
      <w:r w:rsidR="007A0601">
        <w:rPr>
          <w:sz w:val="22"/>
          <w:szCs w:val="22"/>
        </w:rPr>
        <w:t>u</w:t>
      </w:r>
      <w:r w:rsidRPr="00155F80">
        <w:rPr>
          <w:sz w:val="22"/>
          <w:szCs w:val="22"/>
        </w:rPr>
        <w:t>radnici su imali u</w:t>
      </w:r>
      <w:r w:rsidR="00FE3B0D">
        <w:rPr>
          <w:sz w:val="22"/>
          <w:szCs w:val="22"/>
        </w:rPr>
        <w:t>dio</w:t>
      </w:r>
      <w:r w:rsidRPr="00155F80">
        <w:rPr>
          <w:sz w:val="22"/>
          <w:szCs w:val="22"/>
        </w:rPr>
        <w:t xml:space="preserve"> od 1,5%, a adminstrativni i tehnički </w:t>
      </w:r>
      <w:r w:rsidR="00950A64">
        <w:rPr>
          <w:sz w:val="22"/>
          <w:szCs w:val="22"/>
        </w:rPr>
        <w:t>radnici</w:t>
      </w:r>
      <w:r w:rsidRPr="00155F80">
        <w:rPr>
          <w:sz w:val="22"/>
          <w:szCs w:val="22"/>
        </w:rPr>
        <w:t xml:space="preserve"> su bili zastupljeni s 27,0%.</w:t>
      </w:r>
    </w:p>
    <w:p w:rsidR="00D878AE" w:rsidRPr="00155F80" w:rsidRDefault="00D878AE" w:rsidP="00D878AE">
      <w:pPr>
        <w:pStyle w:val="NoSpacing"/>
        <w:spacing w:line="276" w:lineRule="auto"/>
        <w:rPr>
          <w:sz w:val="22"/>
          <w:szCs w:val="22"/>
        </w:rPr>
      </w:pPr>
    </w:p>
    <w:p w:rsidR="00D878AE" w:rsidRDefault="00D878AE" w:rsidP="00D878AE">
      <w:pPr>
        <w:pStyle w:val="refererere"/>
        <w:rPr>
          <w:i/>
          <w:noProof/>
          <w:lang w:val="en-US"/>
        </w:rPr>
      </w:pPr>
      <w:r w:rsidRPr="00155F80">
        <w:t xml:space="preserve">Grafikon 90: </w:t>
      </w:r>
      <w:r w:rsidR="00950A64">
        <w:t>Zaposlen</w:t>
      </w:r>
      <w:r w:rsidRPr="00155F80">
        <w:t>i</w:t>
      </w:r>
      <w:r>
        <w:t xml:space="preserve"> u zdravstvu u Federaciji BIH, </w:t>
      </w:r>
      <w:r w:rsidR="00F70FD4">
        <w:t>period</w:t>
      </w:r>
      <w:r>
        <w:t xml:space="preserve"> 2010.-2015. </w:t>
      </w:r>
      <w:r w:rsidRPr="00155F80">
        <w:t>godina, in</w:t>
      </w:r>
      <w:r>
        <w:t>d</w:t>
      </w:r>
      <w:r w:rsidRPr="00155F80">
        <w:t xml:space="preserve">eks </w:t>
      </w:r>
      <w:r w:rsidR="00F8495E">
        <w:t>struk</w:t>
      </w:r>
      <w:r>
        <w:t>ture</w:t>
      </w:r>
    </w:p>
    <w:p w:rsidR="00D878AE" w:rsidRPr="00155F80" w:rsidRDefault="00D878AE" w:rsidP="00D878AE">
      <w:pPr>
        <w:pStyle w:val="refererere"/>
        <w:rPr>
          <w:i/>
        </w:rPr>
      </w:pPr>
      <w:r>
        <w:rPr>
          <w:noProof/>
          <w:lang w:eastAsia="en-GB"/>
        </w:rPr>
        <w:drawing>
          <wp:inline distT="0" distB="0" distL="0" distR="0" wp14:anchorId="5C017F71" wp14:editId="40830045">
            <wp:extent cx="5600700" cy="2125683"/>
            <wp:effectExtent l="0" t="0" r="0" b="825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D878AE" w:rsidRPr="00155F80" w:rsidRDefault="00D878AE" w:rsidP="00D878AE">
      <w:pPr>
        <w:spacing w:line="276" w:lineRule="auto"/>
        <w:rPr>
          <w:rFonts w:ascii="Times New Roman" w:hAnsi="Times New Roman"/>
          <w:highlight w:val="yellow"/>
          <w:lang w:val="bs-Latn-BA"/>
        </w:rPr>
      </w:pPr>
    </w:p>
    <w:p w:rsidR="00D878AE" w:rsidRPr="00155F80" w:rsidRDefault="00D878AE" w:rsidP="003066C2">
      <w:pPr>
        <w:pStyle w:val="Tekst0"/>
        <w:spacing w:line="276" w:lineRule="auto"/>
        <w:rPr>
          <w:iCs/>
          <w:lang w:val="bs-Latn-BA" w:eastAsia="bs-Latn-BA"/>
        </w:rPr>
      </w:pPr>
      <w:r w:rsidRPr="00155F80">
        <w:rPr>
          <w:sz w:val="22"/>
          <w:szCs w:val="22"/>
        </w:rPr>
        <w:t xml:space="preserve">U </w:t>
      </w:r>
      <w:r w:rsidR="00F70FD4">
        <w:rPr>
          <w:sz w:val="22"/>
          <w:szCs w:val="22"/>
        </w:rPr>
        <w:t>periodu</w:t>
      </w:r>
      <w:r w:rsidRPr="00155F80">
        <w:rPr>
          <w:sz w:val="22"/>
          <w:szCs w:val="22"/>
        </w:rPr>
        <w:t xml:space="preserve"> 2010.-2015. godine je evidentiran lagani trend povećanja </w:t>
      </w:r>
      <w:r w:rsidR="00950A64">
        <w:rPr>
          <w:sz w:val="22"/>
          <w:szCs w:val="22"/>
        </w:rPr>
        <w:t>zaposlen</w:t>
      </w:r>
      <w:r w:rsidRPr="00155F80">
        <w:rPr>
          <w:sz w:val="22"/>
          <w:szCs w:val="22"/>
        </w:rPr>
        <w:t xml:space="preserve">ih zdravstvenih </w:t>
      </w:r>
      <w:r w:rsidR="00950A64">
        <w:rPr>
          <w:sz w:val="22"/>
          <w:szCs w:val="22"/>
        </w:rPr>
        <w:t>radnika</w:t>
      </w:r>
      <w:r w:rsidRPr="00155F80">
        <w:rPr>
          <w:sz w:val="22"/>
          <w:szCs w:val="22"/>
        </w:rPr>
        <w:t>. Na 100.000 stanovnika u 2015. godini u Federaciji BiH</w:t>
      </w:r>
      <w:r>
        <w:rPr>
          <w:sz w:val="22"/>
          <w:szCs w:val="22"/>
        </w:rPr>
        <w:t xml:space="preserve"> je</w:t>
      </w:r>
      <w:r w:rsidRPr="00155F80">
        <w:rPr>
          <w:sz w:val="22"/>
          <w:szCs w:val="22"/>
        </w:rPr>
        <w:t xml:space="preserve"> bilo 204 doktora medicine, 25 doktora stomatologije, 14 magistara farmacije i 566 medicinskih sestara/tehničara.  </w:t>
      </w:r>
    </w:p>
    <w:p w:rsidR="00D878AE" w:rsidRPr="003066C2" w:rsidRDefault="00D878AE" w:rsidP="003066C2">
      <w:pPr>
        <w:pStyle w:val="grafikon"/>
      </w:pPr>
      <w:r w:rsidRPr="003066C2">
        <w:t xml:space="preserve">Grafikon 91: Zdravstveni </w:t>
      </w:r>
      <w:r w:rsidR="00950A64">
        <w:t>radnici</w:t>
      </w:r>
      <w:r w:rsidR="007A0601">
        <w:t xml:space="preserve"> u Federaciji BiH,</w:t>
      </w:r>
      <w:r w:rsidRPr="003066C2">
        <w:t xml:space="preserve"> </w:t>
      </w:r>
      <w:r w:rsidR="00F70FD4">
        <w:t>period</w:t>
      </w:r>
      <w:r w:rsidRPr="003066C2">
        <w:t xml:space="preserve"> 2010.-2015. godina, stopa na 100.000 stanovnika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eastAsia="en-GB"/>
        </w:rPr>
        <w:drawing>
          <wp:inline distT="0" distB="0" distL="0" distR="0" wp14:anchorId="7CAE3852" wp14:editId="42B39926">
            <wp:extent cx="5735782" cy="2185035"/>
            <wp:effectExtent l="0" t="0" r="17780" b="5715"/>
            <wp:docPr id="13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878AE" w:rsidRPr="00155F80" w:rsidRDefault="00D878AE" w:rsidP="00D878AE">
      <w:pPr>
        <w:spacing w:line="276" w:lineRule="auto"/>
        <w:rPr>
          <w:rFonts w:ascii="Times New Roman" w:hAnsi="Times New Roman"/>
        </w:rPr>
      </w:pPr>
      <w:r w:rsidRPr="00155F80">
        <w:rPr>
          <w:rFonts w:ascii="Times New Roman" w:hAnsi="Times New Roman"/>
        </w:rPr>
        <w:t>Slično predhodnim g</w:t>
      </w:r>
      <w:r>
        <w:rPr>
          <w:rFonts w:ascii="Times New Roman" w:hAnsi="Times New Roman"/>
        </w:rPr>
        <w:t>odinama, većina  magistara farma</w:t>
      </w:r>
      <w:r w:rsidRPr="00155F80">
        <w:rPr>
          <w:rFonts w:ascii="Times New Roman" w:hAnsi="Times New Roman"/>
        </w:rPr>
        <w:t>cije (90,7%), doktora stomatologije (67,0%) i doktora medici</w:t>
      </w:r>
      <w:r w:rsidR="0069577B">
        <w:rPr>
          <w:rFonts w:ascii="Times New Roman" w:hAnsi="Times New Roman"/>
        </w:rPr>
        <w:t>ne ( 60,9%) u Federaciji BiH je</w:t>
      </w:r>
      <w:r w:rsidRPr="00155F80">
        <w:rPr>
          <w:rFonts w:ascii="Times New Roman" w:hAnsi="Times New Roman"/>
        </w:rPr>
        <w:t xml:space="preserve"> bila ženskog spola.</w:t>
      </w:r>
    </w:p>
    <w:p w:rsidR="00D878AE" w:rsidRPr="00155F80" w:rsidRDefault="00D878AE" w:rsidP="00D878AE">
      <w:pPr>
        <w:spacing w:line="276" w:lineRule="auto"/>
        <w:rPr>
          <w:lang w:val="bs-Latn-BA"/>
        </w:rPr>
      </w:pPr>
    </w:p>
    <w:p w:rsidR="00D878AE" w:rsidRDefault="00D878AE" w:rsidP="00D878AE">
      <w:pPr>
        <w:spacing w:line="276" w:lineRule="auto"/>
        <w:rPr>
          <w:rFonts w:ascii="Times New Roman" w:hAnsi="Times New Roman"/>
        </w:rPr>
      </w:pPr>
      <w:r w:rsidRPr="00155F80">
        <w:rPr>
          <w:rFonts w:ascii="Times New Roman" w:hAnsi="Times New Roman"/>
        </w:rPr>
        <w:t>Starosna struktura doktora medicine je nepovoljna, tako je u 2015. godini četvrtina doktora medicine (25,5%) bilo starosti 55 i više godina,  uz preko četvrtinu doktora starosti 45-54 godine (26,2%). Među magistrima farmacije je petina (20,6%) bila starosti 55 i više godina, te je trećina (33,3%) starosti 45-54 godine.</w:t>
      </w:r>
      <w:r>
        <w:rPr>
          <w:rFonts w:ascii="Times New Roman" w:hAnsi="Times New Roman"/>
        </w:rPr>
        <w:t xml:space="preserve"> Dobna struktura doktora stomatologije je povoljnija, sa tri petine doktora (60,2%) starosti ispod 45 godina. </w:t>
      </w:r>
    </w:p>
    <w:p w:rsidR="00D878AE" w:rsidRPr="00155F80" w:rsidRDefault="00D878AE" w:rsidP="00D878AE">
      <w:pPr>
        <w:spacing w:line="276" w:lineRule="auto"/>
        <w:rPr>
          <w:rFonts w:ascii="Times New Roman" w:hAnsi="Times New Roman"/>
          <w:lang w:val="bs-Latn-BA"/>
        </w:rPr>
      </w:pPr>
      <w:r w:rsidRPr="005C1D12">
        <w:rPr>
          <w:rFonts w:ascii="Times New Roman" w:hAnsi="Times New Roman"/>
        </w:rPr>
        <w:t>Najmanj</w:t>
      </w:r>
      <w:r w:rsidR="007A0601">
        <w:rPr>
          <w:rFonts w:ascii="Times New Roman" w:hAnsi="Times New Roman"/>
        </w:rPr>
        <w:t>i</w:t>
      </w:r>
      <w:r w:rsidRPr="005C1D12">
        <w:rPr>
          <w:rFonts w:ascii="Times New Roman" w:hAnsi="Times New Roman"/>
        </w:rPr>
        <w:t xml:space="preserve"> </w:t>
      </w:r>
      <w:r w:rsidR="007A0601">
        <w:rPr>
          <w:rFonts w:ascii="Times New Roman" w:hAnsi="Times New Roman"/>
        </w:rPr>
        <w:t>udio</w:t>
      </w:r>
      <w:r w:rsidRPr="005C1D12">
        <w:rPr>
          <w:rFonts w:ascii="Times New Roman" w:hAnsi="Times New Roman"/>
        </w:rPr>
        <w:t xml:space="preserve"> starijih od 55 godina imaju </w:t>
      </w:r>
      <w:r>
        <w:rPr>
          <w:rFonts w:ascii="Times New Roman" w:hAnsi="Times New Roman"/>
        </w:rPr>
        <w:t>ostali</w:t>
      </w:r>
      <w:r w:rsidRPr="005C1D12">
        <w:rPr>
          <w:rFonts w:ascii="Times New Roman" w:hAnsi="Times New Roman"/>
        </w:rPr>
        <w:t xml:space="preserve"> zdravstveni </w:t>
      </w:r>
      <w:r w:rsidR="00950A64">
        <w:rPr>
          <w:rFonts w:ascii="Times New Roman" w:hAnsi="Times New Roman"/>
        </w:rPr>
        <w:t>radnici</w:t>
      </w:r>
      <w:r w:rsidRPr="005C1D12">
        <w:rPr>
          <w:rFonts w:ascii="Times New Roman" w:hAnsi="Times New Roman"/>
        </w:rPr>
        <w:t xml:space="preserve"> sa visokom, višom i srednjom stručnom spremom (12,7%).</w:t>
      </w:r>
      <w:r w:rsidRPr="00155F80">
        <w:rPr>
          <w:rFonts w:ascii="Times New Roman" w:hAnsi="Times New Roman"/>
        </w:rPr>
        <w:t xml:space="preserve"> </w:t>
      </w:r>
    </w:p>
    <w:p w:rsidR="00D878AE" w:rsidRPr="00155F80" w:rsidRDefault="00D878AE" w:rsidP="00D878AE">
      <w:pPr>
        <w:spacing w:line="276" w:lineRule="auto"/>
        <w:rPr>
          <w:color w:val="000000"/>
        </w:rPr>
      </w:pPr>
    </w:p>
    <w:p w:rsidR="00D878AE" w:rsidRPr="005332DE" w:rsidRDefault="00D878AE" w:rsidP="00D878AE">
      <w:pPr>
        <w:pStyle w:val="refererere"/>
      </w:pPr>
      <w:r w:rsidRPr="005332DE">
        <w:t>Grafikon 92:</w:t>
      </w:r>
      <w:r w:rsidRPr="005332DE">
        <w:rPr>
          <w:noProof/>
          <w:lang w:val="bs-Latn-BA" w:eastAsia="bs-Latn-BA"/>
        </w:rPr>
        <w:t xml:space="preserve"> </w:t>
      </w:r>
      <w:r w:rsidRPr="005332DE">
        <w:t xml:space="preserve">Zdravstveni </w:t>
      </w:r>
      <w:r w:rsidR="00950A64">
        <w:t>radnici</w:t>
      </w:r>
      <w:r w:rsidRPr="005332DE">
        <w:t xml:space="preserve"> u FBiH p</w:t>
      </w:r>
      <w:r>
        <w:t>rema starosti u 2015. godini, ideks strukture</w:t>
      </w:r>
    </w:p>
    <w:p w:rsidR="00D878AE" w:rsidRDefault="00D878AE" w:rsidP="00D878AE">
      <w:pPr>
        <w:spacing w:line="276" w:lineRule="auto"/>
        <w:rPr>
          <w:lang w:val="bs-Latn-BA"/>
        </w:rPr>
      </w:pPr>
      <w:r w:rsidRPr="00397F1D">
        <w:rPr>
          <w:noProof/>
          <w:lang w:eastAsia="en-GB"/>
        </w:rPr>
        <w:drawing>
          <wp:inline distT="0" distB="0" distL="0" distR="0" wp14:anchorId="7F072E47" wp14:editId="51875413">
            <wp:extent cx="5734050" cy="255319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D878AE" w:rsidRPr="00155F80" w:rsidRDefault="00D878AE" w:rsidP="00D878AE">
      <w:pPr>
        <w:spacing w:line="276" w:lineRule="auto"/>
        <w:rPr>
          <w:lang w:val="bs-Latn-BA"/>
        </w:rPr>
      </w:pPr>
    </w:p>
    <w:p w:rsidR="00D878AE" w:rsidRPr="00155F80" w:rsidRDefault="00D878AE" w:rsidP="00D878AE">
      <w:pPr>
        <w:pStyle w:val="Tekst0"/>
        <w:spacing w:line="276" w:lineRule="auto"/>
        <w:rPr>
          <w:sz w:val="22"/>
          <w:szCs w:val="22"/>
        </w:rPr>
      </w:pPr>
      <w:r w:rsidRPr="00155F80">
        <w:rPr>
          <w:sz w:val="22"/>
          <w:szCs w:val="22"/>
        </w:rPr>
        <w:t>Blizu tri četvrtine svih doktora medicine u Federaciji BiH čine specijalisti raznih disciplina. Kao i prethodnih godina u 2015. godini je najveći p</w:t>
      </w:r>
      <w:r w:rsidR="007A0601">
        <w:rPr>
          <w:sz w:val="22"/>
          <w:szCs w:val="22"/>
        </w:rPr>
        <w:t>rocenat</w:t>
      </w:r>
      <w:r w:rsidRPr="00155F80">
        <w:rPr>
          <w:sz w:val="22"/>
          <w:szCs w:val="22"/>
        </w:rPr>
        <w:t xml:space="preserve"> doktora medicine specijalista bio u Tuzlanskom kantonu (81,3%) i Kantonu Sarajevo (78,7%), a najmanji u Kantonu 10 (47,6%). </w:t>
      </w:r>
    </w:p>
    <w:p w:rsidR="00D878AE" w:rsidRPr="00155F80" w:rsidRDefault="00D878AE" w:rsidP="00D878AE">
      <w:pPr>
        <w:pStyle w:val="NoSpacing"/>
        <w:spacing w:line="276" w:lineRule="auto"/>
        <w:rPr>
          <w:sz w:val="22"/>
          <w:szCs w:val="22"/>
        </w:rPr>
      </w:pPr>
    </w:p>
    <w:p w:rsidR="00D878AE" w:rsidRPr="00155F80" w:rsidRDefault="00D878AE" w:rsidP="00D878AE">
      <w:pPr>
        <w:pStyle w:val="refererere"/>
        <w:rPr>
          <w:i/>
        </w:rPr>
      </w:pPr>
      <w:r w:rsidRPr="00155F80">
        <w:t xml:space="preserve">Grafikon 93: Doktori medicine specijalisti u Federaciji BiH, u 2010. i 2015. godini, </w:t>
      </w:r>
      <w:r>
        <w:t xml:space="preserve">po kantonima, </w:t>
      </w:r>
      <w:r w:rsidRPr="00155F80">
        <w:t>indeks strukture</w:t>
      </w:r>
      <w:r w:rsidRPr="00155F80">
        <w:rPr>
          <w:i/>
          <w:noProof/>
          <w:lang w:eastAsia="en-GB"/>
        </w:rPr>
        <w:drawing>
          <wp:inline distT="0" distB="0" distL="0" distR="0" wp14:anchorId="4FB14786" wp14:editId="5F11CBBA">
            <wp:extent cx="5726430" cy="2711669"/>
            <wp:effectExtent l="0" t="0" r="7620" b="12700"/>
            <wp:docPr id="1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D878AE" w:rsidRPr="00D878AE" w:rsidRDefault="00D878AE" w:rsidP="00D878AE">
      <w:pPr>
        <w:spacing w:line="276" w:lineRule="auto"/>
        <w:rPr>
          <w:rFonts w:ascii="Times New Roman" w:hAnsi="Times New Roman"/>
          <w:lang w:val="bs-Latn-BA"/>
        </w:rPr>
      </w:pPr>
      <w:r w:rsidRPr="00D878AE">
        <w:rPr>
          <w:rFonts w:ascii="Times New Roman" w:hAnsi="Times New Roman"/>
          <w:lang w:val="bs-Latn-BA"/>
        </w:rPr>
        <w:t xml:space="preserve">Najveći broj doktora medicine specijalista svih disciplina u 2015. godini je bio starosti 45-54 godine (35,5%) i starosti 55 i više godina (34,3%). </w:t>
      </w:r>
    </w:p>
    <w:p w:rsidR="00D878AE" w:rsidRDefault="00D878AE" w:rsidP="00D878AE">
      <w:pPr>
        <w:spacing w:line="276" w:lineRule="auto"/>
        <w:rPr>
          <w:rFonts w:ascii="Times New Roman" w:hAnsi="Times New Roman"/>
          <w:lang w:val="bs-Latn-BA"/>
        </w:rPr>
      </w:pPr>
      <w:r w:rsidRPr="00D878AE">
        <w:rPr>
          <w:rFonts w:ascii="Times New Roman" w:hAnsi="Times New Roman"/>
          <w:lang w:val="bs-Latn-BA"/>
        </w:rPr>
        <w:t>P</w:t>
      </w:r>
      <w:r w:rsidR="007A0601">
        <w:rPr>
          <w:rFonts w:ascii="Times New Roman" w:hAnsi="Times New Roman"/>
          <w:lang w:val="bs-Latn-BA"/>
        </w:rPr>
        <w:t>r</w:t>
      </w:r>
      <w:r w:rsidRPr="00D878AE">
        <w:rPr>
          <w:rFonts w:ascii="Times New Roman" w:hAnsi="Times New Roman"/>
          <w:lang w:val="bs-Latn-BA"/>
        </w:rPr>
        <w:t>omatrano prema specijalnostima, najveć</w:t>
      </w:r>
      <w:r w:rsidR="00A5384A">
        <w:rPr>
          <w:rFonts w:ascii="Times New Roman" w:hAnsi="Times New Roman"/>
          <w:lang w:val="bs-Latn-BA"/>
        </w:rPr>
        <w:t>i udio</w:t>
      </w:r>
      <w:r w:rsidRPr="00D878AE">
        <w:rPr>
          <w:rFonts w:ascii="Times New Roman" w:hAnsi="Times New Roman"/>
          <w:lang w:val="bs-Latn-BA"/>
        </w:rPr>
        <w:t xml:space="preserve"> doktora starosti 55 i više godina je bilo među specijalistima školske medicine (84,2%)  i opće medicine (72,5%), što je </w:t>
      </w:r>
      <w:r w:rsidR="00526FD0">
        <w:rPr>
          <w:rFonts w:ascii="Times New Roman" w:hAnsi="Times New Roman"/>
          <w:lang w:val="bs-Latn-BA"/>
        </w:rPr>
        <w:t>u skladu sa</w:t>
      </w:r>
      <w:r w:rsidRPr="00D878AE">
        <w:rPr>
          <w:rFonts w:ascii="Times New Roman" w:hAnsi="Times New Roman"/>
          <w:lang w:val="bs-Latn-BA"/>
        </w:rPr>
        <w:t xml:space="preserve"> reformsk</w:t>
      </w:r>
      <w:r w:rsidR="0027028E">
        <w:rPr>
          <w:rFonts w:ascii="Times New Roman" w:hAnsi="Times New Roman"/>
          <w:lang w:val="bs-Latn-BA"/>
        </w:rPr>
        <w:t>i</w:t>
      </w:r>
      <w:r w:rsidRPr="00D878AE">
        <w:rPr>
          <w:rFonts w:ascii="Times New Roman" w:hAnsi="Times New Roman"/>
          <w:lang w:val="bs-Latn-BA"/>
        </w:rPr>
        <w:t>m opredjeljenj</w:t>
      </w:r>
      <w:r w:rsidR="0027028E">
        <w:rPr>
          <w:rFonts w:ascii="Times New Roman" w:hAnsi="Times New Roman"/>
          <w:lang w:val="bs-Latn-BA"/>
        </w:rPr>
        <w:t>em</w:t>
      </w:r>
      <w:r w:rsidRPr="00D878AE">
        <w:rPr>
          <w:rFonts w:ascii="Times New Roman" w:hAnsi="Times New Roman"/>
          <w:lang w:val="bs-Latn-BA"/>
        </w:rPr>
        <w:t xml:space="preserve"> jačanja </w:t>
      </w:r>
      <w:r w:rsidR="00950A64">
        <w:rPr>
          <w:rFonts w:ascii="Times New Roman" w:hAnsi="Times New Roman"/>
          <w:lang w:val="bs-Latn-BA"/>
        </w:rPr>
        <w:t>porodične</w:t>
      </w:r>
      <w:r w:rsidRPr="00D878AE">
        <w:rPr>
          <w:rFonts w:ascii="Times New Roman" w:hAnsi="Times New Roman"/>
          <w:lang w:val="bs-Latn-BA"/>
        </w:rPr>
        <w:t xml:space="preserve"> medicine. </w:t>
      </w:r>
      <w:r w:rsidR="00A5384A">
        <w:rPr>
          <w:rFonts w:ascii="Times New Roman" w:hAnsi="Times New Roman"/>
          <w:lang w:val="bs-Latn-BA"/>
        </w:rPr>
        <w:t>Važan</w:t>
      </w:r>
      <w:r w:rsidRPr="00D878AE">
        <w:rPr>
          <w:rFonts w:ascii="Times New Roman" w:hAnsi="Times New Roman"/>
          <w:lang w:val="bs-Latn-BA"/>
        </w:rPr>
        <w:t xml:space="preserve"> je u</w:t>
      </w:r>
      <w:r w:rsidR="00A5384A">
        <w:rPr>
          <w:rFonts w:ascii="Times New Roman" w:hAnsi="Times New Roman"/>
          <w:lang w:val="bs-Latn-BA"/>
        </w:rPr>
        <w:t>dio</w:t>
      </w:r>
      <w:r w:rsidRPr="00D878AE">
        <w:rPr>
          <w:rFonts w:ascii="Times New Roman" w:hAnsi="Times New Roman"/>
          <w:lang w:val="bs-Latn-BA"/>
        </w:rPr>
        <w:t xml:space="preserve"> doktora starijih od 55 godina među specijalistima medicine rada (66,7%), radiologije (57,1%), pneumoftiziologije (54,5%), fizikalne medicine (47,6%), epidemiologije (47,2%) itd.</w:t>
      </w:r>
    </w:p>
    <w:p w:rsidR="00D878AE" w:rsidRPr="00EC077A"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lang w:val="bs-Latn-BA"/>
        </w:rPr>
      </w:pPr>
      <w:r w:rsidRPr="00155F80">
        <w:rPr>
          <w:rFonts w:ascii="Times New Roman" w:hAnsi="Times New Roman"/>
        </w:rPr>
        <w:t xml:space="preserve">U odnosu na 2010. godinu nepovoljnija je starosna struktura specijalista </w:t>
      </w:r>
      <w:r w:rsidR="00950A64">
        <w:rPr>
          <w:rFonts w:ascii="Times New Roman" w:hAnsi="Times New Roman"/>
        </w:rPr>
        <w:t>porodične</w:t>
      </w:r>
      <w:r w:rsidRPr="00155F80">
        <w:rPr>
          <w:rFonts w:ascii="Times New Roman" w:hAnsi="Times New Roman"/>
        </w:rPr>
        <w:t xml:space="preserve"> medicine, kojih je u 2015. godini blizu četvrtina (24,3%) bila starosti 55 i više godina,  uz preko polovinu doktora starosti 45-54 godine ( 53,3%).</w:t>
      </w:r>
    </w:p>
    <w:p w:rsidR="00D878AE" w:rsidRDefault="00D878AE" w:rsidP="00D878AE">
      <w:pPr>
        <w:pStyle w:val="refererere"/>
      </w:pPr>
    </w:p>
    <w:p w:rsidR="00D878AE" w:rsidRPr="00A4460F" w:rsidRDefault="00D878AE" w:rsidP="00D878AE">
      <w:pPr>
        <w:pStyle w:val="refererere"/>
      </w:pPr>
      <w:r w:rsidRPr="00A4460F">
        <w:t xml:space="preserve">Grafikon 94: Doktori medicine, specijalisti </w:t>
      </w:r>
      <w:r w:rsidR="00950A64">
        <w:t>porodične</w:t>
      </w:r>
      <w:r w:rsidRPr="00A4460F">
        <w:t xml:space="preserve"> medicine u FBiH prema starosti u </w:t>
      </w:r>
      <w:r>
        <w:t xml:space="preserve">2010. i </w:t>
      </w:r>
      <w:r w:rsidRPr="00A4460F">
        <w:t>2015. godini, indeks strukture</w:t>
      </w:r>
    </w:p>
    <w:p w:rsidR="00D878AE" w:rsidRPr="00155F80" w:rsidRDefault="00D878AE" w:rsidP="00D878AE">
      <w:pPr>
        <w:spacing w:line="276" w:lineRule="auto"/>
        <w:rPr>
          <w:rFonts w:ascii="Times New Roman" w:hAnsi="Times New Roman"/>
          <w:lang w:val="bs-Latn-BA"/>
        </w:rPr>
      </w:pPr>
      <w:r w:rsidRPr="00155F80">
        <w:rPr>
          <w:rFonts w:ascii="Times New Roman" w:hAnsi="Times New Roman"/>
          <w:noProof/>
          <w:lang w:eastAsia="en-GB"/>
        </w:rPr>
        <w:drawing>
          <wp:inline distT="0" distB="0" distL="0" distR="0" wp14:anchorId="48C17590" wp14:editId="40C7EABB">
            <wp:extent cx="5562600" cy="2419350"/>
            <wp:effectExtent l="0" t="0" r="19050" b="19050"/>
            <wp:docPr id="5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D878AE" w:rsidRPr="00155F80" w:rsidRDefault="00D878AE" w:rsidP="00D878AE">
      <w:pPr>
        <w:spacing w:line="276" w:lineRule="auto"/>
        <w:rPr>
          <w:rFonts w:ascii="Times New Roman" w:hAnsi="Times New Roman"/>
        </w:rPr>
      </w:pPr>
    </w:p>
    <w:p w:rsidR="00D878AE" w:rsidRDefault="00D878AE" w:rsidP="00D878AE">
      <w:pPr>
        <w:spacing w:line="276" w:lineRule="auto"/>
        <w:rPr>
          <w:rFonts w:ascii="Times New Roman" w:hAnsi="Times New Roman"/>
        </w:rPr>
      </w:pPr>
      <w:r>
        <w:rPr>
          <w:rFonts w:ascii="Times New Roman" w:hAnsi="Times New Roman"/>
        </w:rPr>
        <w:t>U odnosu na 2010. g</w:t>
      </w:r>
      <w:r w:rsidRPr="00155F80">
        <w:rPr>
          <w:rFonts w:ascii="Times New Roman" w:hAnsi="Times New Roman"/>
        </w:rPr>
        <w:t>odinu je nepovoljnija i starosna struktura specijalista pedijatrije u FBiH, pa je u 2015. godini dvije petine pedijatara  (39,9%) bilo starosti 55 i više godina,  uz dodatnu četvrtinu doktora starosti 45-54 godine ( 25,8%).</w:t>
      </w:r>
      <w:r>
        <w:rPr>
          <w:rFonts w:ascii="Times New Roman" w:hAnsi="Times New Roman"/>
        </w:rPr>
        <w:t xml:space="preserve"> </w:t>
      </w:r>
    </w:p>
    <w:p w:rsidR="00D878AE" w:rsidRPr="00155F80" w:rsidRDefault="00D878AE" w:rsidP="00D878AE">
      <w:pPr>
        <w:spacing w:line="276" w:lineRule="auto"/>
        <w:rPr>
          <w:rFonts w:ascii="Times New Roman" w:hAnsi="Times New Roman"/>
          <w:color w:val="000000"/>
        </w:rPr>
      </w:pPr>
    </w:p>
    <w:p w:rsidR="00D878AE" w:rsidRPr="00B355CF" w:rsidRDefault="00D878AE" w:rsidP="00D878AE">
      <w:pPr>
        <w:pStyle w:val="refererere"/>
        <w:rPr>
          <w:lang w:val="bs-Latn-BA"/>
        </w:rPr>
      </w:pPr>
      <w:r w:rsidRPr="00B355CF">
        <w:rPr>
          <w:color w:val="000000"/>
        </w:rPr>
        <w:t xml:space="preserve">Grafikon 95: </w:t>
      </w:r>
      <w:r w:rsidRPr="00B355CF">
        <w:rPr>
          <w:lang w:val="bs-Latn-BA"/>
        </w:rPr>
        <w:t xml:space="preserve">Doktori medicine, specijalisti pedijatrije u FBiH prema starosti u 2010. i 2015. godini, </w:t>
      </w:r>
      <w:r w:rsidRPr="00B355CF">
        <w:t>indeks strukture</w:t>
      </w:r>
    </w:p>
    <w:p w:rsidR="00D878AE" w:rsidRPr="00155F80" w:rsidRDefault="00D878AE" w:rsidP="00D878AE">
      <w:pPr>
        <w:spacing w:line="276" w:lineRule="auto"/>
        <w:rPr>
          <w:rFonts w:ascii="Times New Roman" w:hAnsi="Times New Roman"/>
          <w:lang w:val="bs-Latn-BA"/>
        </w:rPr>
      </w:pPr>
      <w:r w:rsidRPr="00155F80">
        <w:rPr>
          <w:rFonts w:ascii="Times New Roman" w:hAnsi="Times New Roman"/>
          <w:noProof/>
          <w:lang w:eastAsia="en-GB"/>
        </w:rPr>
        <w:drawing>
          <wp:inline distT="0" distB="0" distL="0" distR="0" wp14:anchorId="5084E478" wp14:editId="153DB5F3">
            <wp:extent cx="5835650" cy="2410691"/>
            <wp:effectExtent l="0" t="0" r="12700" b="8890"/>
            <wp:docPr id="8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U promatranom </w:t>
      </w:r>
      <w:r w:rsidR="00F70FD4">
        <w:rPr>
          <w:sz w:val="22"/>
          <w:szCs w:val="22"/>
        </w:rPr>
        <w:t>periodu</w:t>
      </w:r>
      <w:r w:rsidRPr="00155F80">
        <w:rPr>
          <w:sz w:val="22"/>
          <w:szCs w:val="22"/>
        </w:rPr>
        <w:t xml:space="preserve"> je registr</w:t>
      </w:r>
      <w:r w:rsidR="00283697">
        <w:rPr>
          <w:sz w:val="22"/>
          <w:szCs w:val="22"/>
        </w:rPr>
        <w:t>iran</w:t>
      </w:r>
      <w:r w:rsidRPr="00155F80">
        <w:rPr>
          <w:sz w:val="22"/>
          <w:szCs w:val="22"/>
        </w:rPr>
        <w:t xml:space="preserve"> porast </w:t>
      </w:r>
      <w:r w:rsidR="00950A64">
        <w:rPr>
          <w:sz w:val="22"/>
          <w:szCs w:val="22"/>
        </w:rPr>
        <w:t>zaposlen</w:t>
      </w:r>
      <w:r w:rsidRPr="00155F80">
        <w:rPr>
          <w:sz w:val="22"/>
          <w:szCs w:val="22"/>
        </w:rPr>
        <w:t>ih sa završenim fakultetom zdravstvenih studija, sa u</w:t>
      </w:r>
      <w:r w:rsidR="00283697">
        <w:rPr>
          <w:sz w:val="22"/>
          <w:szCs w:val="22"/>
        </w:rPr>
        <w:t>djelom</w:t>
      </w:r>
      <w:r w:rsidRPr="00155F80">
        <w:rPr>
          <w:sz w:val="22"/>
          <w:szCs w:val="22"/>
        </w:rPr>
        <w:t xml:space="preserve"> od 2,4% u ukupno </w:t>
      </w:r>
      <w:r w:rsidR="00950A64">
        <w:rPr>
          <w:sz w:val="22"/>
          <w:szCs w:val="22"/>
        </w:rPr>
        <w:t>zaposlen</w:t>
      </w:r>
      <w:r w:rsidRPr="00155F80">
        <w:rPr>
          <w:sz w:val="22"/>
          <w:szCs w:val="22"/>
        </w:rPr>
        <w:t xml:space="preserve">im u zdravstvu u 2015. godini. </w:t>
      </w:r>
    </w:p>
    <w:p w:rsidR="00D878AE" w:rsidRPr="00155F80" w:rsidRDefault="00D878AE" w:rsidP="00D878AE">
      <w:pPr>
        <w:pStyle w:val="NoSpacing"/>
        <w:spacing w:line="276" w:lineRule="auto"/>
        <w:rPr>
          <w:sz w:val="22"/>
          <w:szCs w:val="22"/>
        </w:rPr>
      </w:pPr>
    </w:p>
    <w:p w:rsidR="00D878AE" w:rsidRPr="00155F80" w:rsidRDefault="00D878AE" w:rsidP="00D878AE">
      <w:pPr>
        <w:pStyle w:val="refererere"/>
        <w:jc w:val="left"/>
        <w:rPr>
          <w:i/>
        </w:rPr>
      </w:pPr>
      <w:r w:rsidRPr="00155F80">
        <w:t xml:space="preserve">Grafikon 96: Zdravstveni </w:t>
      </w:r>
      <w:r w:rsidR="00950A64">
        <w:t>radnici</w:t>
      </w:r>
      <w:r w:rsidRPr="00155F80">
        <w:t xml:space="preserve"> sa završenim fakultetom zdravstvenih studija, </w:t>
      </w:r>
      <w:r w:rsidR="00283697">
        <w:t xml:space="preserve">u </w:t>
      </w:r>
      <w:r w:rsidR="00F70FD4">
        <w:t>periodu</w:t>
      </w:r>
      <w:r w:rsidRPr="00155F80">
        <w:t xml:space="preserve"> 2010.-2015. godina, indeks strukture</w:t>
      </w:r>
      <w:r w:rsidRPr="00155F80">
        <w:rPr>
          <w:i/>
          <w:noProof/>
          <w:lang w:eastAsia="en-GB"/>
        </w:rPr>
        <w:drawing>
          <wp:inline distT="0" distB="0" distL="0" distR="0" wp14:anchorId="7B79E365" wp14:editId="0E159BC5">
            <wp:extent cx="5678805" cy="2054431"/>
            <wp:effectExtent l="0" t="0" r="17145" b="3175"/>
            <wp:docPr id="1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D878AE" w:rsidRPr="00155F80" w:rsidRDefault="00D878AE" w:rsidP="00D878AE">
      <w:pPr>
        <w:pStyle w:val="Heading2"/>
        <w:spacing w:line="276" w:lineRule="auto"/>
        <w:rPr>
          <w:rFonts w:ascii="Times New Roman" w:hAnsi="Times New Roman" w:cs="Times New Roman"/>
          <w:sz w:val="22"/>
          <w:szCs w:val="22"/>
        </w:rPr>
      </w:pPr>
      <w:bookmarkStart w:id="343" w:name="_Toc390781140"/>
    </w:p>
    <w:p w:rsidR="00D878AE" w:rsidRPr="00155F80" w:rsidRDefault="00D878AE" w:rsidP="00D878AE">
      <w:pPr>
        <w:pStyle w:val="Poglavlje2"/>
        <w:spacing w:line="276" w:lineRule="auto"/>
      </w:pPr>
      <w:bookmarkStart w:id="344" w:name="_Toc460929219"/>
      <w:r w:rsidRPr="00155F80">
        <w:t>5.2  Primarna zdravstvena zaštita</w:t>
      </w:r>
      <w:bookmarkEnd w:id="343"/>
      <w:bookmarkEnd w:id="344"/>
    </w:p>
    <w:p w:rsidR="00D878AE" w:rsidRPr="00155F80" w:rsidRDefault="00D878AE" w:rsidP="00D878AE">
      <w:pPr>
        <w:spacing w:line="276" w:lineRule="auto"/>
        <w:rPr>
          <w:rFonts w:ascii="Times New Roman" w:hAnsi="Times New Roman"/>
          <w:lang w:val="bs-Latn-BA"/>
        </w:rPr>
      </w:pPr>
    </w:p>
    <w:p w:rsidR="00D878AE" w:rsidRPr="0075527F" w:rsidRDefault="00283697" w:rsidP="00D878AE">
      <w:pPr>
        <w:spacing w:line="276" w:lineRule="auto"/>
        <w:rPr>
          <w:rFonts w:ascii="Times New Roman" w:hAnsi="Times New Roman"/>
          <w:b/>
          <w:bCs/>
          <w:iCs/>
          <w:highlight w:val="lightGray"/>
          <w:lang w:val="bs-Latn-BA"/>
        </w:rPr>
      </w:pPr>
      <w:r>
        <w:rPr>
          <w:rFonts w:ascii="Times New Roman" w:hAnsi="Times New Roman"/>
          <w:b/>
          <w:lang w:val="bs-Latn-BA"/>
        </w:rPr>
        <w:t>Zemljopisne</w:t>
      </w:r>
      <w:r w:rsidR="00D878AE" w:rsidRPr="0075527F">
        <w:rPr>
          <w:rFonts w:ascii="Times New Roman" w:hAnsi="Times New Roman"/>
          <w:b/>
          <w:bCs/>
          <w:iCs/>
          <w:lang w:val="bs-Latn-BA"/>
        </w:rPr>
        <w:t xml:space="preserve"> lokacije (ambulante) u PZZ</w:t>
      </w:r>
      <w:r w:rsidR="00D878AE" w:rsidRPr="0075527F">
        <w:rPr>
          <w:rFonts w:ascii="Times New Roman" w:hAnsi="Times New Roman"/>
          <w:b/>
          <w:bCs/>
          <w:iCs/>
          <w:highlight w:val="lightGray"/>
          <w:lang w:val="bs-Latn-BA"/>
        </w:rPr>
        <w:t xml:space="preserve"> </w:t>
      </w:r>
    </w:p>
    <w:p w:rsidR="00D878AE" w:rsidRPr="00155F80" w:rsidRDefault="00283697" w:rsidP="00D878AE">
      <w:pPr>
        <w:pStyle w:val="Tekst0"/>
        <w:spacing w:line="276" w:lineRule="auto"/>
        <w:rPr>
          <w:sz w:val="22"/>
          <w:szCs w:val="22"/>
        </w:rPr>
      </w:pPr>
      <w:r>
        <w:rPr>
          <w:sz w:val="22"/>
          <w:szCs w:val="22"/>
        </w:rPr>
        <w:t>Važana</w:t>
      </w:r>
      <w:r w:rsidR="00D878AE" w:rsidRPr="00155F80">
        <w:rPr>
          <w:sz w:val="22"/>
          <w:szCs w:val="22"/>
        </w:rPr>
        <w:t xml:space="preserve"> cilj reforme zdravstvenog </w:t>
      </w:r>
      <w:r w:rsidR="00512E30">
        <w:rPr>
          <w:sz w:val="22"/>
          <w:szCs w:val="22"/>
        </w:rPr>
        <w:t>sistem</w:t>
      </w:r>
      <w:r>
        <w:rPr>
          <w:sz w:val="22"/>
          <w:szCs w:val="22"/>
        </w:rPr>
        <w:t xml:space="preserve">a </w:t>
      </w:r>
      <w:r w:rsidR="00D878AE" w:rsidRPr="00155F80">
        <w:rPr>
          <w:sz w:val="22"/>
          <w:szCs w:val="22"/>
        </w:rPr>
        <w:t xml:space="preserve">u FBiH je </w:t>
      </w:r>
      <w:r w:rsidR="00512E30">
        <w:rPr>
          <w:sz w:val="22"/>
          <w:szCs w:val="22"/>
        </w:rPr>
        <w:t>obolijevanje</w:t>
      </w:r>
      <w:r w:rsidR="00D878AE" w:rsidRPr="00155F80">
        <w:rPr>
          <w:sz w:val="22"/>
          <w:szCs w:val="22"/>
        </w:rPr>
        <w:t xml:space="preserve">jšanje dostupnosti primarne zdravstvene zaštite. Prema </w:t>
      </w:r>
      <w:r w:rsidR="002B489B">
        <w:rPr>
          <w:sz w:val="22"/>
          <w:szCs w:val="22"/>
        </w:rPr>
        <w:t>podaci</w:t>
      </w:r>
      <w:r w:rsidR="00D878AE" w:rsidRPr="00155F80">
        <w:rPr>
          <w:sz w:val="22"/>
          <w:szCs w:val="22"/>
        </w:rPr>
        <w:t xml:space="preserve">ma </w:t>
      </w:r>
      <w:r w:rsidR="002B489B">
        <w:rPr>
          <w:sz w:val="22"/>
          <w:szCs w:val="22"/>
        </w:rPr>
        <w:t>redovne</w:t>
      </w:r>
      <w:r w:rsidR="00D878AE" w:rsidRPr="00155F80">
        <w:rPr>
          <w:sz w:val="22"/>
          <w:szCs w:val="22"/>
        </w:rPr>
        <w:t xml:space="preserve"> zdravstvene statistike za 2015. godinu, stanovništvo Federacije BiH je primarnu zdravstvenu zaštitiu os</w:t>
      </w:r>
      <w:r w:rsidR="00D21A46">
        <w:rPr>
          <w:sz w:val="22"/>
          <w:szCs w:val="22"/>
        </w:rPr>
        <w:t>materija</w:t>
      </w:r>
      <w:r w:rsidR="00D878AE" w:rsidRPr="00155F80">
        <w:rPr>
          <w:sz w:val="22"/>
          <w:szCs w:val="22"/>
        </w:rPr>
        <w:t xml:space="preserve">ivalo u okviru 993 </w:t>
      </w:r>
      <w:r>
        <w:rPr>
          <w:sz w:val="22"/>
          <w:szCs w:val="22"/>
        </w:rPr>
        <w:t>zemljopisne</w:t>
      </w:r>
      <w:r w:rsidR="00D878AE" w:rsidRPr="00155F80">
        <w:rPr>
          <w:sz w:val="22"/>
          <w:szCs w:val="22"/>
        </w:rPr>
        <w:t xml:space="preserve"> lokacije/ambulante, što u odnosu na 2010. godinu predstavlja povećan</w:t>
      </w:r>
      <w:r w:rsidR="0069577B">
        <w:rPr>
          <w:sz w:val="22"/>
          <w:szCs w:val="22"/>
        </w:rPr>
        <w:t>j</w:t>
      </w:r>
      <w:r w:rsidR="00D878AE" w:rsidRPr="00155F80">
        <w:rPr>
          <w:sz w:val="22"/>
          <w:szCs w:val="22"/>
        </w:rPr>
        <w:t xml:space="preserve">e broja ambulanti za 5,9%. </w:t>
      </w:r>
    </w:p>
    <w:p w:rsidR="00D878AE" w:rsidRPr="00155F80" w:rsidRDefault="00D878AE" w:rsidP="00D878AE">
      <w:pPr>
        <w:spacing w:line="276" w:lineRule="auto"/>
        <w:rPr>
          <w:rFonts w:ascii="Times New Roman" w:hAnsi="Times New Roman"/>
          <w:lang w:val="bs-Latn-BA"/>
        </w:rPr>
      </w:pPr>
    </w:p>
    <w:p w:rsidR="00D878AE" w:rsidRDefault="00D878AE" w:rsidP="00D878AE">
      <w:pPr>
        <w:spacing w:line="276" w:lineRule="auto"/>
        <w:rPr>
          <w:rFonts w:ascii="Times New Roman" w:hAnsi="Times New Roman"/>
        </w:rPr>
      </w:pPr>
      <w:r w:rsidRPr="00155F80">
        <w:rPr>
          <w:rFonts w:ascii="Times New Roman" w:hAnsi="Times New Roman"/>
          <w:lang w:val="bs-Latn-BA"/>
        </w:rPr>
        <w:t>Rezultati istraživanja su pokazali da g</w:t>
      </w:r>
      <w:r w:rsidRPr="00155F80">
        <w:rPr>
          <w:rFonts w:ascii="Times New Roman" w:hAnsi="Times New Roman"/>
          <w:lang w:val="bs-Latn-BA" w:eastAsia="de-DE"/>
        </w:rPr>
        <w:t xml:space="preserve">otovo polovina stanovništva u FBiH stanuje na udaljenosti manjoj od 1500m </w:t>
      </w:r>
      <w:r w:rsidRPr="00155F80">
        <w:rPr>
          <w:rFonts w:ascii="Times New Roman" w:hAnsi="Times New Roman"/>
          <w:lang w:val="bs-Latn-BA"/>
        </w:rPr>
        <w:t>od najbliže ambulante u kojoj os</w:t>
      </w:r>
      <w:r w:rsidR="00D21A46">
        <w:rPr>
          <w:rFonts w:ascii="Times New Roman" w:hAnsi="Times New Roman"/>
          <w:lang w:val="bs-Latn-BA"/>
        </w:rPr>
        <w:t>materija</w:t>
      </w:r>
      <w:r w:rsidRPr="00155F80">
        <w:rPr>
          <w:rFonts w:ascii="Times New Roman" w:hAnsi="Times New Roman"/>
          <w:lang w:val="bs-Latn-BA"/>
        </w:rPr>
        <w:t xml:space="preserve">uje usluge </w:t>
      </w:r>
      <w:r w:rsidR="00950A64">
        <w:rPr>
          <w:rFonts w:ascii="Times New Roman" w:hAnsi="Times New Roman"/>
          <w:lang w:val="bs-Latn-BA"/>
        </w:rPr>
        <w:t>porodične</w:t>
      </w:r>
      <w:r w:rsidRPr="00155F80">
        <w:rPr>
          <w:rFonts w:ascii="Times New Roman" w:hAnsi="Times New Roman"/>
          <w:lang w:val="bs-Latn-BA"/>
        </w:rPr>
        <w:t xml:space="preserve"> medicine (48%), za blizu dvije petine stanovništva (38%) ova udaljenost iznosi između 1.500 i 5.000m, te 13% stanovništva stanuje na udaljenosti većoj od 5.000m od najbliže ambulante.</w:t>
      </w:r>
      <w:r w:rsidRPr="00155F80">
        <w:rPr>
          <w:rFonts w:ascii="Times New Roman" w:hAnsi="Times New Roman"/>
          <w:color w:val="FF0000"/>
          <w:lang w:val="bs-Latn-BA"/>
        </w:rPr>
        <w:t xml:space="preserve"> </w:t>
      </w:r>
      <w:r w:rsidRPr="003C0D4E">
        <w:rPr>
          <w:rFonts w:ascii="Times New Roman" w:hAnsi="Times New Roman"/>
        </w:rPr>
        <w:t>(9)</w:t>
      </w:r>
    </w:p>
    <w:p w:rsidR="00D878AE" w:rsidRPr="00155F80" w:rsidRDefault="00D878AE" w:rsidP="00D878AE">
      <w:pPr>
        <w:spacing w:line="276" w:lineRule="auto"/>
        <w:rPr>
          <w:rFonts w:ascii="Times New Roman" w:hAnsi="Times New Roman"/>
          <w:iCs/>
          <w:noProof/>
          <w:lang w:val="bs-Latn-BA" w:eastAsia="bs-Latn-BA"/>
        </w:rPr>
      </w:pPr>
    </w:p>
    <w:p w:rsidR="00D878AE" w:rsidRPr="00155F80" w:rsidRDefault="00D878AE" w:rsidP="00D878AE">
      <w:pPr>
        <w:pStyle w:val="refererere"/>
      </w:pPr>
      <w:r w:rsidRPr="00155F80">
        <w:t xml:space="preserve">Grafikon 97: Udaljenost stanovništva od najbliže ambulante </w:t>
      </w:r>
      <w:r w:rsidR="00950A64">
        <w:t>porodične</w:t>
      </w:r>
      <w:r w:rsidRPr="00155F80">
        <w:t xml:space="preserve"> medicine u Federaciji BiH</w:t>
      </w:r>
    </w:p>
    <w:p w:rsidR="00D878AE" w:rsidRPr="00155F80" w:rsidRDefault="00D878AE" w:rsidP="00D878AE">
      <w:pPr>
        <w:spacing w:line="276" w:lineRule="auto"/>
        <w:ind w:right="72"/>
        <w:jc w:val="center"/>
        <w:rPr>
          <w:rFonts w:ascii="Times New Roman" w:hAnsi="Times New Roman"/>
          <w:lang w:val="bs-Latn-BA"/>
        </w:rPr>
      </w:pPr>
      <w:r w:rsidRPr="00155F80">
        <w:rPr>
          <w:rFonts w:ascii="Times New Roman" w:hAnsi="Times New Roman"/>
          <w:noProof/>
          <w:lang w:eastAsia="en-GB"/>
        </w:rPr>
        <w:drawing>
          <wp:inline distT="0" distB="0" distL="0" distR="0" wp14:anchorId="6E0594A1" wp14:editId="6723C9F0">
            <wp:extent cx="5630545" cy="1793174"/>
            <wp:effectExtent l="0" t="0" r="8255" b="17145"/>
            <wp:docPr id="1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D878AE" w:rsidRPr="003066C2" w:rsidRDefault="00D878AE" w:rsidP="00250204">
      <w:pPr>
        <w:pStyle w:val="TEKST"/>
        <w:rPr>
          <w:i/>
        </w:rPr>
      </w:pPr>
      <w:r w:rsidRPr="003066C2">
        <w:t>Izvor: Studija o stanju zdravlja odrasloga stanovništva u Federaciji Bosne i Hercegovine 2012.</w:t>
      </w:r>
    </w:p>
    <w:p w:rsidR="0075440C" w:rsidRDefault="0075440C" w:rsidP="00D878AE">
      <w:pPr>
        <w:spacing w:line="276" w:lineRule="auto"/>
        <w:rPr>
          <w:rFonts w:ascii="Times New Roman" w:hAnsi="Times New Roman"/>
          <w:b/>
          <w:bCs/>
          <w:iCs/>
          <w:lang w:val="bs-Latn-BA"/>
        </w:rPr>
      </w:pPr>
    </w:p>
    <w:p w:rsidR="00D878AE" w:rsidRPr="00155F80" w:rsidRDefault="00D878AE" w:rsidP="00D878AE">
      <w:pPr>
        <w:spacing w:line="276" w:lineRule="auto"/>
        <w:rPr>
          <w:rFonts w:ascii="Times New Roman" w:hAnsi="Times New Roman"/>
          <w:b/>
          <w:bCs/>
          <w:iCs/>
          <w:lang w:val="bs-Latn-BA"/>
        </w:rPr>
      </w:pPr>
      <w:r w:rsidRPr="00155F80">
        <w:rPr>
          <w:rFonts w:ascii="Times New Roman" w:hAnsi="Times New Roman"/>
          <w:b/>
          <w:bCs/>
          <w:iCs/>
          <w:lang w:val="bs-Latn-BA"/>
        </w:rPr>
        <w:t>Zdravstveni radnici u PZZ</w:t>
      </w:r>
    </w:p>
    <w:p w:rsidR="00D878AE" w:rsidRPr="00D878AE" w:rsidRDefault="00D878AE" w:rsidP="00D878AE">
      <w:pPr>
        <w:pStyle w:val="Tekst0"/>
        <w:spacing w:line="276" w:lineRule="auto"/>
        <w:rPr>
          <w:sz w:val="22"/>
          <w:szCs w:val="22"/>
        </w:rPr>
      </w:pPr>
      <w:r w:rsidRPr="00155F80">
        <w:rPr>
          <w:sz w:val="22"/>
          <w:szCs w:val="22"/>
        </w:rPr>
        <w:t xml:space="preserve">Prema </w:t>
      </w:r>
      <w:r w:rsidR="002B489B">
        <w:rPr>
          <w:sz w:val="22"/>
          <w:szCs w:val="22"/>
        </w:rPr>
        <w:t>podaci</w:t>
      </w:r>
      <w:r w:rsidRPr="00155F80">
        <w:rPr>
          <w:sz w:val="22"/>
          <w:szCs w:val="22"/>
        </w:rPr>
        <w:t xml:space="preserve">ma </w:t>
      </w:r>
      <w:r w:rsidR="002B489B">
        <w:rPr>
          <w:sz w:val="22"/>
          <w:szCs w:val="22"/>
        </w:rPr>
        <w:t>redovne</w:t>
      </w:r>
      <w:r w:rsidRPr="00155F80">
        <w:rPr>
          <w:sz w:val="22"/>
          <w:szCs w:val="22"/>
        </w:rPr>
        <w:t xml:space="preserve"> zdravstvene statistike za 2015. godinu, u Federaciji BIH je u primarnoj zdravstvenoj zaštiti (</w:t>
      </w:r>
      <w:r w:rsidR="00950A64">
        <w:rPr>
          <w:sz w:val="22"/>
          <w:szCs w:val="22"/>
        </w:rPr>
        <w:t>porodična</w:t>
      </w:r>
      <w:r w:rsidRPr="00155F80">
        <w:rPr>
          <w:sz w:val="22"/>
          <w:szCs w:val="22"/>
        </w:rPr>
        <w:t xml:space="preserve"> medicina, opća medicina, pedijatrija, školska medicina, pneumoftiziološka zaštita, medicina rada, hitna pomoć, patronaža) radila trećina ukupnog broja </w:t>
      </w:r>
      <w:r w:rsidR="00950A64">
        <w:rPr>
          <w:sz w:val="22"/>
          <w:szCs w:val="22"/>
        </w:rPr>
        <w:t>zaposlen</w:t>
      </w:r>
      <w:r w:rsidRPr="00D878AE">
        <w:rPr>
          <w:sz w:val="22"/>
          <w:szCs w:val="22"/>
        </w:rPr>
        <w:t xml:space="preserve">ih doktora medicine (33,0%), te preko petine ukupnih medicinskih sestara/tehničara (22,4%). </w:t>
      </w:r>
    </w:p>
    <w:p w:rsidR="00D878AE" w:rsidRDefault="00D878AE" w:rsidP="00D878AE">
      <w:pPr>
        <w:spacing w:line="276" w:lineRule="auto"/>
        <w:rPr>
          <w:rFonts w:ascii="Times New Roman" w:hAnsi="Times New Roman"/>
          <w:lang w:val="bs-Latn-BA"/>
        </w:rPr>
      </w:pPr>
      <w:r w:rsidRPr="00D878AE">
        <w:rPr>
          <w:rFonts w:ascii="Times New Roman" w:hAnsi="Times New Roman"/>
          <w:lang w:val="bs-Latn-BA"/>
        </w:rPr>
        <w:t>Primarnu zdravstvenu zaštitu je na 100.000 stanovnika o</w:t>
      </w:r>
      <w:r w:rsidR="00283697">
        <w:rPr>
          <w:rFonts w:ascii="Times New Roman" w:hAnsi="Times New Roman"/>
          <w:lang w:val="bs-Latn-BA"/>
        </w:rPr>
        <w:t>siguravalo</w:t>
      </w:r>
      <w:r w:rsidRPr="00D878AE">
        <w:rPr>
          <w:rFonts w:ascii="Times New Roman" w:hAnsi="Times New Roman"/>
          <w:lang w:val="bs-Latn-BA"/>
        </w:rPr>
        <w:t xml:space="preserve"> </w:t>
      </w:r>
      <w:r w:rsidRPr="00D878AE">
        <w:rPr>
          <w:rFonts w:ascii="Times New Roman" w:hAnsi="Times New Roman"/>
          <w:color w:val="000000"/>
          <w:lang w:val="bs-Latn-BA"/>
        </w:rPr>
        <w:t>67</w:t>
      </w:r>
      <w:r w:rsidRPr="00D878AE">
        <w:rPr>
          <w:rFonts w:ascii="Times New Roman" w:hAnsi="Times New Roman"/>
          <w:lang w:val="bs-Latn-BA"/>
        </w:rPr>
        <w:t xml:space="preserve"> doktora medicine i 127 medicinskih sestara/tehničara, a na jednog doktora medicine su u prosjeku radile dvije medicinske sestre/tehničara (1,9).</w:t>
      </w:r>
      <w:r w:rsidR="0075440C">
        <w:rPr>
          <w:rFonts w:ascii="Times New Roman" w:hAnsi="Times New Roman"/>
          <w:lang w:val="bs-Latn-BA"/>
        </w:rPr>
        <w:t xml:space="preserve"> </w:t>
      </w:r>
      <w:r w:rsidRPr="00D878AE">
        <w:rPr>
          <w:rFonts w:ascii="Times New Roman" w:hAnsi="Times New Roman"/>
          <w:lang w:val="bs-Latn-BA"/>
        </w:rPr>
        <w:t xml:space="preserve">U </w:t>
      </w:r>
      <w:r w:rsidR="00283697">
        <w:rPr>
          <w:rFonts w:ascii="Times New Roman" w:hAnsi="Times New Roman"/>
          <w:lang w:val="bs-Latn-BA"/>
        </w:rPr>
        <w:t>us</w:t>
      </w:r>
      <w:r w:rsidRPr="00D878AE">
        <w:rPr>
          <w:rFonts w:ascii="Times New Roman" w:hAnsi="Times New Roman"/>
          <w:lang w:val="bs-Latn-BA"/>
        </w:rPr>
        <w:t>pore</w:t>
      </w:r>
      <w:r w:rsidR="00283697">
        <w:rPr>
          <w:rFonts w:ascii="Times New Roman" w:hAnsi="Times New Roman"/>
          <w:lang w:val="bs-Latn-BA"/>
        </w:rPr>
        <w:t>dbi</w:t>
      </w:r>
      <w:r w:rsidRPr="00D878AE">
        <w:rPr>
          <w:rFonts w:ascii="Times New Roman" w:hAnsi="Times New Roman"/>
          <w:lang w:val="bs-Latn-BA"/>
        </w:rPr>
        <w:t xml:space="preserve"> sa 2010. godinom broj doktora medicine u PZZ je povećan za 6,8%, dok je broj medicinskih sestara/tehničara smanjen za 3,9%.</w:t>
      </w:r>
    </w:p>
    <w:p w:rsidR="00D878AE" w:rsidRPr="00155F80" w:rsidRDefault="00D878AE" w:rsidP="00D878AE">
      <w:pPr>
        <w:spacing w:line="276" w:lineRule="auto"/>
        <w:rPr>
          <w:rFonts w:ascii="Times New Roman" w:hAnsi="Times New Roman"/>
          <w:color w:val="000000"/>
          <w:lang w:val="bs-Latn-BA"/>
        </w:rPr>
      </w:pPr>
    </w:p>
    <w:p w:rsidR="00D878AE" w:rsidRDefault="00D878AE" w:rsidP="00D878AE">
      <w:pPr>
        <w:pStyle w:val="refererere"/>
        <w:jc w:val="left"/>
      </w:pPr>
      <w:r w:rsidRPr="00155F80">
        <w:t xml:space="preserve">Grafikon 98: </w:t>
      </w:r>
      <w:r w:rsidRPr="00155F80">
        <w:rPr>
          <w:bCs/>
        </w:rPr>
        <w:t xml:space="preserve">Doktori medicine </w:t>
      </w:r>
      <w:r w:rsidRPr="00155F80">
        <w:t xml:space="preserve">i medicinske sestre/tehničari u PZZ u Federaciji BiH, </w:t>
      </w:r>
      <w:r w:rsidR="00F70FD4">
        <w:t>period</w:t>
      </w:r>
      <w:r w:rsidRPr="00155F80">
        <w:t xml:space="preserve"> 2010.-2015. godina, stopa na 100.000 stanovnika</w:t>
      </w:r>
    </w:p>
    <w:p w:rsidR="00D878AE" w:rsidRDefault="00D878AE" w:rsidP="00D878AE">
      <w:pPr>
        <w:pStyle w:val="refererere"/>
        <w:jc w:val="left"/>
      </w:pPr>
      <w:r>
        <w:rPr>
          <w:noProof/>
          <w:lang w:eastAsia="en-GB"/>
        </w:rPr>
        <w:drawing>
          <wp:inline distT="0" distB="0" distL="0" distR="0" wp14:anchorId="6306FA24" wp14:editId="1DB71DE2">
            <wp:extent cx="5753100" cy="2066306"/>
            <wp:effectExtent l="0" t="0" r="0" b="1016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D878AE" w:rsidRDefault="00D878AE" w:rsidP="00D878AE">
      <w:pPr>
        <w:pStyle w:val="refererere"/>
        <w:jc w:val="left"/>
      </w:pPr>
    </w:p>
    <w:p w:rsidR="00D878AE" w:rsidRPr="00155F80" w:rsidRDefault="002B489B" w:rsidP="00D878AE">
      <w:pPr>
        <w:pStyle w:val="Tekst0"/>
        <w:spacing w:line="276" w:lineRule="auto"/>
        <w:rPr>
          <w:sz w:val="22"/>
          <w:szCs w:val="22"/>
        </w:rPr>
      </w:pPr>
      <w:r>
        <w:rPr>
          <w:sz w:val="22"/>
          <w:szCs w:val="22"/>
        </w:rPr>
        <w:t>Podaci</w:t>
      </w:r>
      <w:r w:rsidR="00D878AE" w:rsidRPr="00155F80">
        <w:rPr>
          <w:sz w:val="22"/>
          <w:szCs w:val="22"/>
        </w:rPr>
        <w:t xml:space="preserve"> </w:t>
      </w:r>
      <w:r>
        <w:rPr>
          <w:sz w:val="22"/>
          <w:szCs w:val="22"/>
        </w:rPr>
        <w:t>redovne</w:t>
      </w:r>
      <w:r w:rsidR="00D878AE" w:rsidRPr="00155F80">
        <w:rPr>
          <w:sz w:val="22"/>
          <w:szCs w:val="22"/>
        </w:rPr>
        <w:t xml:space="preserve"> zdravstvene statistike ukazuju na prisutne razlike u pokrivenosti stanovništva timovima primarne zdravstvene zaštite. Tako je u 2015. godini najveći broj doktora medicine bio u Kantonu Sarajevo (82/100.000) i Tuzlanskom kantonu (78/100.000), dok je najmanji broj doktora bio u Unsko-sanskom kantonu (44/100.000) i Kantonu 10 i (49/100.000).</w:t>
      </w:r>
    </w:p>
    <w:p w:rsidR="00D878AE" w:rsidRPr="00155F80" w:rsidRDefault="00D878AE" w:rsidP="00D878AE">
      <w:pPr>
        <w:pStyle w:val="Tekst0"/>
        <w:spacing w:line="276" w:lineRule="auto"/>
        <w:rPr>
          <w:sz w:val="22"/>
          <w:szCs w:val="22"/>
        </w:rPr>
      </w:pPr>
      <w:r w:rsidRPr="00155F80">
        <w:rPr>
          <w:sz w:val="22"/>
          <w:szCs w:val="22"/>
        </w:rPr>
        <w:t xml:space="preserve">Po jednom doktoru medicine u PPZ u FBiH je u 2015. u prosjeku bilo 1.484 stanovnika, s najvećim brojem stanovnika po jednom doktoru u Kantonu 10, a najmanjim u Kantonu Sarajevo. </w:t>
      </w:r>
    </w:p>
    <w:p w:rsidR="0075440C" w:rsidRDefault="00D878AE" w:rsidP="00D878AE">
      <w:pPr>
        <w:pStyle w:val="Tekst0"/>
        <w:spacing w:line="276" w:lineRule="auto"/>
        <w:rPr>
          <w:sz w:val="22"/>
          <w:szCs w:val="22"/>
        </w:rPr>
      </w:pPr>
      <w:r w:rsidRPr="00155F80">
        <w:rPr>
          <w:sz w:val="22"/>
          <w:szCs w:val="22"/>
        </w:rPr>
        <w:t xml:space="preserve">U </w:t>
      </w:r>
      <w:r w:rsidR="00283697">
        <w:rPr>
          <w:sz w:val="22"/>
          <w:szCs w:val="22"/>
        </w:rPr>
        <w:t xml:space="preserve">usporedbi </w:t>
      </w:r>
      <w:r w:rsidRPr="00155F80">
        <w:rPr>
          <w:sz w:val="22"/>
          <w:szCs w:val="22"/>
        </w:rPr>
        <w:t xml:space="preserve">sa 2010. godinom, u 2015. godini je u tri kantona Federacije BiH evidentiran veći broj stanovnika po jednom doktoru medicine u PZZ: Srednjebosanski, Hercegovačko-neretvanski i Kanton </w:t>
      </w:r>
      <w:r w:rsidRPr="00D878AE">
        <w:rPr>
          <w:sz w:val="22"/>
          <w:szCs w:val="22"/>
        </w:rPr>
        <w:t>Sarajevo, što je posljedica smanjenja broja doktora u ovim kantonima.</w:t>
      </w:r>
      <w:r w:rsidRPr="00155F80">
        <w:rPr>
          <w:sz w:val="22"/>
          <w:szCs w:val="22"/>
        </w:rPr>
        <w:t xml:space="preserve"> </w:t>
      </w:r>
    </w:p>
    <w:p w:rsidR="0075440C" w:rsidRPr="00155F80" w:rsidRDefault="0075440C" w:rsidP="00D878AE">
      <w:pPr>
        <w:pStyle w:val="Tekst0"/>
        <w:spacing w:line="276" w:lineRule="auto"/>
        <w:rPr>
          <w:sz w:val="22"/>
          <w:szCs w:val="22"/>
        </w:rPr>
      </w:pPr>
    </w:p>
    <w:p w:rsidR="00D878AE" w:rsidRPr="00155F80" w:rsidRDefault="00D878AE" w:rsidP="0075440C">
      <w:pPr>
        <w:pStyle w:val="refererere"/>
        <w:rPr>
          <w:highlight w:val="yellow"/>
          <w:lang w:val="bs-Latn-BA"/>
        </w:rPr>
      </w:pPr>
      <w:r w:rsidRPr="00155F80">
        <w:t>Grafikon 99: Broj stanovnika po jednom doktoru medicine u PZZ u Federaciji BiH, u 2010. i 2015. godini</w:t>
      </w:r>
      <w:r w:rsidRPr="00155F80">
        <w:rPr>
          <w:noProof/>
          <w:lang w:eastAsia="en-GB"/>
        </w:rPr>
        <w:drawing>
          <wp:inline distT="0" distB="0" distL="0" distR="0" wp14:anchorId="150222AC" wp14:editId="0DF8E379">
            <wp:extent cx="6008370" cy="2624447"/>
            <wp:effectExtent l="0" t="0" r="11430" b="5080"/>
            <wp:docPr id="1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D878AE" w:rsidRPr="005332DE" w:rsidRDefault="00950A64" w:rsidP="00D878AE">
      <w:pPr>
        <w:pStyle w:val="NoSpacing"/>
        <w:spacing w:line="276" w:lineRule="auto"/>
        <w:jc w:val="both"/>
        <w:rPr>
          <w:i/>
          <w:sz w:val="22"/>
          <w:szCs w:val="22"/>
          <w:lang w:val="bs-Latn-BA" w:eastAsia="de-DE"/>
        </w:rPr>
      </w:pPr>
      <w:r>
        <w:rPr>
          <w:i/>
          <w:sz w:val="22"/>
          <w:szCs w:val="22"/>
          <w:lang w:val="bs-Latn-BA" w:eastAsia="de-DE"/>
        </w:rPr>
        <w:t>Porodična</w:t>
      </w:r>
      <w:r w:rsidR="00D878AE" w:rsidRPr="005332DE">
        <w:rPr>
          <w:i/>
          <w:sz w:val="22"/>
          <w:szCs w:val="22"/>
          <w:lang w:val="bs-Latn-BA" w:eastAsia="de-DE"/>
        </w:rPr>
        <w:t xml:space="preserve"> medicina</w:t>
      </w:r>
    </w:p>
    <w:p w:rsidR="00D878AE" w:rsidRPr="00155F80" w:rsidRDefault="00D878AE" w:rsidP="00D878AE">
      <w:pPr>
        <w:spacing w:after="200" w:line="276" w:lineRule="auto"/>
        <w:rPr>
          <w:rFonts w:ascii="Times New Roman" w:hAnsi="Times New Roman"/>
          <w:iCs/>
          <w:lang w:val="bs-Latn-BA" w:eastAsia="bs-Latn-BA"/>
        </w:rPr>
      </w:pPr>
      <w:r w:rsidRPr="00155F80">
        <w:rPr>
          <w:rFonts w:ascii="Times New Roman" w:hAnsi="Times New Roman"/>
          <w:lang w:val="bs-Latn-BA"/>
        </w:rPr>
        <w:t xml:space="preserve">Prema </w:t>
      </w:r>
      <w:r w:rsidR="002B489B">
        <w:rPr>
          <w:rFonts w:ascii="Times New Roman" w:hAnsi="Times New Roman"/>
          <w:lang w:val="bs-Latn-BA"/>
        </w:rPr>
        <w:t>podaci</w:t>
      </w:r>
      <w:r w:rsidRPr="00155F80">
        <w:rPr>
          <w:rFonts w:ascii="Times New Roman" w:hAnsi="Times New Roman"/>
          <w:lang w:val="bs-Latn-BA"/>
        </w:rPr>
        <w:t xml:space="preserve">ma </w:t>
      </w:r>
      <w:r w:rsidR="002B489B">
        <w:rPr>
          <w:rFonts w:ascii="Times New Roman" w:hAnsi="Times New Roman"/>
          <w:lang w:val="bs-Latn-BA"/>
        </w:rPr>
        <w:t>redovne</w:t>
      </w:r>
      <w:r w:rsidRPr="00155F80">
        <w:rPr>
          <w:rFonts w:ascii="Times New Roman" w:hAnsi="Times New Roman"/>
          <w:lang w:val="bs-Latn-BA"/>
        </w:rPr>
        <w:t xml:space="preserve"> zdravstvene statistik</w:t>
      </w:r>
      <w:r w:rsidR="00283697">
        <w:rPr>
          <w:rFonts w:ascii="Times New Roman" w:hAnsi="Times New Roman"/>
          <w:lang w:val="bs-Latn-BA"/>
        </w:rPr>
        <w:t>e</w:t>
      </w:r>
      <w:r w:rsidRPr="00155F80">
        <w:rPr>
          <w:rFonts w:ascii="Times New Roman" w:hAnsi="Times New Roman"/>
          <w:lang w:val="bs-Latn-BA"/>
        </w:rPr>
        <w:t xml:space="preserve"> za 2015. godinu,  preko polovine  svih doktora medicine (54,4%) i blizu polovine medicinskih sestara/tehničara (47,7%) </w:t>
      </w:r>
      <w:r w:rsidR="00950A64">
        <w:rPr>
          <w:rFonts w:ascii="Times New Roman" w:hAnsi="Times New Roman"/>
          <w:lang w:val="bs-Latn-BA"/>
        </w:rPr>
        <w:t>zaposlen</w:t>
      </w:r>
      <w:r w:rsidRPr="00155F80">
        <w:rPr>
          <w:rFonts w:ascii="Times New Roman" w:hAnsi="Times New Roman"/>
          <w:lang w:val="bs-Latn-BA"/>
        </w:rPr>
        <w:t xml:space="preserve">ih u PZZ u Federaciji BiH je radilo u službama </w:t>
      </w:r>
      <w:r w:rsidR="00950A64">
        <w:rPr>
          <w:rFonts w:ascii="Times New Roman" w:hAnsi="Times New Roman"/>
          <w:lang w:val="bs-Latn-BA"/>
        </w:rPr>
        <w:t>porodične</w:t>
      </w:r>
      <w:r w:rsidRPr="00155F80">
        <w:rPr>
          <w:rFonts w:ascii="Times New Roman" w:hAnsi="Times New Roman"/>
          <w:lang w:val="bs-Latn-BA"/>
        </w:rPr>
        <w:t xml:space="preserve"> medicine.   </w:t>
      </w:r>
    </w:p>
    <w:p w:rsidR="00D878AE" w:rsidRPr="00155F80" w:rsidRDefault="00D878AE" w:rsidP="00D878AE">
      <w:pPr>
        <w:pStyle w:val="Tekst0"/>
        <w:spacing w:line="276" w:lineRule="auto"/>
        <w:rPr>
          <w:sz w:val="22"/>
          <w:szCs w:val="22"/>
        </w:rPr>
      </w:pPr>
      <w:r w:rsidRPr="00155F80">
        <w:rPr>
          <w:sz w:val="22"/>
          <w:szCs w:val="22"/>
        </w:rPr>
        <w:t xml:space="preserve">Od ukupno 832 doktora medicine u ovim službama, dvije petine je imalo završenu specijalizaciju </w:t>
      </w:r>
      <w:r w:rsidR="00950A64">
        <w:rPr>
          <w:sz w:val="22"/>
          <w:szCs w:val="22"/>
        </w:rPr>
        <w:t>porodične</w:t>
      </w:r>
      <w:r w:rsidRPr="00155F80">
        <w:rPr>
          <w:sz w:val="22"/>
          <w:szCs w:val="22"/>
        </w:rPr>
        <w:t xml:space="preserve"> medicine (41,1%), iznad polovine (51,8%) je imalo završenu dodatnu edukaciju iz </w:t>
      </w:r>
      <w:r w:rsidR="00283697">
        <w:rPr>
          <w:sz w:val="22"/>
          <w:szCs w:val="22"/>
        </w:rPr>
        <w:t>područja</w:t>
      </w:r>
      <w:r w:rsidRPr="00155F80">
        <w:rPr>
          <w:sz w:val="22"/>
          <w:szCs w:val="22"/>
        </w:rPr>
        <w:t xml:space="preserve"> </w:t>
      </w:r>
      <w:r w:rsidR="00950A64">
        <w:rPr>
          <w:sz w:val="22"/>
          <w:szCs w:val="22"/>
        </w:rPr>
        <w:t>porodične</w:t>
      </w:r>
      <w:r w:rsidRPr="00155F80">
        <w:rPr>
          <w:sz w:val="22"/>
          <w:szCs w:val="22"/>
        </w:rPr>
        <w:t xml:space="preserve"> medicine (PAT), 3,6% doktora medicine je bilo na specijalizaciji, te 3,5% doktora medicine nije imalo edukaciju iz ov</w:t>
      </w:r>
      <w:r w:rsidR="00283697">
        <w:rPr>
          <w:sz w:val="22"/>
          <w:szCs w:val="22"/>
        </w:rPr>
        <w:t>og područja</w:t>
      </w:r>
      <w:r w:rsidRPr="00155F80">
        <w:rPr>
          <w:sz w:val="22"/>
          <w:szCs w:val="22"/>
        </w:rPr>
        <w:t xml:space="preserve">. </w:t>
      </w:r>
    </w:p>
    <w:p w:rsidR="00D878AE" w:rsidRPr="00155F80" w:rsidRDefault="00D878AE" w:rsidP="00D878AE">
      <w:pPr>
        <w:pStyle w:val="Tekst0"/>
        <w:spacing w:line="276" w:lineRule="auto"/>
        <w:rPr>
          <w:sz w:val="22"/>
          <w:szCs w:val="22"/>
        </w:rPr>
      </w:pPr>
      <w:r w:rsidRPr="00155F80">
        <w:rPr>
          <w:sz w:val="22"/>
          <w:szCs w:val="22"/>
        </w:rPr>
        <w:t xml:space="preserve">Završenu dodatnu edukaciju iz </w:t>
      </w:r>
      <w:r w:rsidR="00283697">
        <w:rPr>
          <w:sz w:val="22"/>
          <w:szCs w:val="22"/>
        </w:rPr>
        <w:t>područja</w:t>
      </w:r>
      <w:r w:rsidRPr="00155F80">
        <w:rPr>
          <w:sz w:val="22"/>
          <w:szCs w:val="22"/>
        </w:rPr>
        <w:t xml:space="preserve"> </w:t>
      </w:r>
      <w:r w:rsidR="00950A64">
        <w:rPr>
          <w:sz w:val="22"/>
          <w:szCs w:val="22"/>
        </w:rPr>
        <w:t>porodične</w:t>
      </w:r>
      <w:r w:rsidRPr="00155F80">
        <w:rPr>
          <w:sz w:val="22"/>
          <w:szCs w:val="22"/>
        </w:rPr>
        <w:t xml:space="preserve"> medicine (PAT) je imalo 90,2% medicinskih sestara/tehničara od ukupno i 1.418 medicinskih sestara koje su radile u službama </w:t>
      </w:r>
      <w:r w:rsidR="00950A64">
        <w:rPr>
          <w:sz w:val="22"/>
          <w:szCs w:val="22"/>
        </w:rPr>
        <w:t>porodične</w:t>
      </w:r>
      <w:r w:rsidRPr="00155F80">
        <w:rPr>
          <w:sz w:val="22"/>
          <w:szCs w:val="22"/>
        </w:rPr>
        <w:t xml:space="preserve"> medicine.</w:t>
      </w:r>
    </w:p>
    <w:p w:rsidR="00D878AE" w:rsidRPr="00155F80" w:rsidRDefault="00D878AE" w:rsidP="00D878AE">
      <w:pPr>
        <w:pStyle w:val="Tekst0"/>
        <w:spacing w:line="276" w:lineRule="auto"/>
        <w:rPr>
          <w:sz w:val="22"/>
          <w:szCs w:val="22"/>
          <w:lang w:eastAsia="de-DE"/>
        </w:rPr>
      </w:pPr>
      <w:r w:rsidRPr="00155F80">
        <w:rPr>
          <w:sz w:val="22"/>
          <w:szCs w:val="22"/>
          <w:lang w:eastAsia="de-DE"/>
        </w:rPr>
        <w:t xml:space="preserve">Rezultati istraživanja su pokazali da je svog obiteljskog </w:t>
      </w:r>
      <w:r w:rsidR="00283697">
        <w:rPr>
          <w:sz w:val="22"/>
          <w:szCs w:val="22"/>
          <w:lang w:eastAsia="de-DE"/>
        </w:rPr>
        <w:t>liječnika</w:t>
      </w:r>
      <w:r w:rsidRPr="00155F80">
        <w:rPr>
          <w:sz w:val="22"/>
          <w:szCs w:val="22"/>
          <w:lang w:eastAsia="de-DE"/>
        </w:rPr>
        <w:t xml:space="preserve"> </w:t>
      </w:r>
      <w:r w:rsidR="00F0369C">
        <w:rPr>
          <w:sz w:val="22"/>
          <w:szCs w:val="22"/>
          <w:lang w:eastAsia="de-DE"/>
        </w:rPr>
        <w:t>tokom</w:t>
      </w:r>
      <w:r w:rsidRPr="00155F80">
        <w:rPr>
          <w:sz w:val="22"/>
          <w:szCs w:val="22"/>
          <w:lang w:eastAsia="de-DE"/>
        </w:rPr>
        <w:t xml:space="preserve"> prethodnih 12 mjeseci posjetilo ispod trećine stanovnika FBiH (32,1%), preko četvrtine stanovnika je kod svog obiteljskog </w:t>
      </w:r>
      <w:r w:rsidR="00283697">
        <w:rPr>
          <w:sz w:val="22"/>
          <w:szCs w:val="22"/>
          <w:lang w:eastAsia="de-DE"/>
        </w:rPr>
        <w:t>liječnika</w:t>
      </w:r>
      <w:r w:rsidRPr="00155F80">
        <w:rPr>
          <w:sz w:val="22"/>
          <w:szCs w:val="22"/>
          <w:lang w:eastAsia="de-DE"/>
        </w:rPr>
        <w:t xml:space="preserve"> bilo prije više od godinu dana (28,1%), dok 6,1% stanovnika nikada nije bilo kod obiteljskog </w:t>
      </w:r>
      <w:r w:rsidR="00283697">
        <w:rPr>
          <w:sz w:val="22"/>
          <w:szCs w:val="22"/>
          <w:lang w:eastAsia="de-DE"/>
        </w:rPr>
        <w:t>liječnika</w:t>
      </w:r>
      <w:r w:rsidRPr="00155F80">
        <w:rPr>
          <w:sz w:val="22"/>
          <w:szCs w:val="22"/>
          <w:lang w:eastAsia="de-DE"/>
        </w:rPr>
        <w:t xml:space="preserve">. Glavni razlog posljednjeg posjeta </w:t>
      </w:r>
      <w:r w:rsidR="00283697">
        <w:rPr>
          <w:sz w:val="22"/>
          <w:szCs w:val="22"/>
          <w:lang w:eastAsia="de-DE"/>
        </w:rPr>
        <w:t>liječniku</w:t>
      </w:r>
      <w:r w:rsidRPr="00155F80">
        <w:rPr>
          <w:sz w:val="22"/>
          <w:szCs w:val="22"/>
          <w:lang w:eastAsia="de-DE"/>
        </w:rPr>
        <w:t xml:space="preserve"> </w:t>
      </w:r>
      <w:r w:rsidR="00950A64">
        <w:rPr>
          <w:sz w:val="22"/>
          <w:szCs w:val="22"/>
          <w:lang w:eastAsia="de-DE"/>
        </w:rPr>
        <w:t>porodične</w:t>
      </w:r>
      <w:r w:rsidRPr="00155F80">
        <w:rPr>
          <w:sz w:val="22"/>
          <w:szCs w:val="22"/>
          <w:lang w:eastAsia="de-DE"/>
        </w:rPr>
        <w:t xml:space="preserve"> medicine je za najveći p</w:t>
      </w:r>
      <w:r w:rsidR="00283697">
        <w:rPr>
          <w:sz w:val="22"/>
          <w:szCs w:val="22"/>
          <w:lang w:eastAsia="de-DE"/>
        </w:rPr>
        <w:t xml:space="preserve">rocenat </w:t>
      </w:r>
      <w:r w:rsidRPr="00155F80">
        <w:rPr>
          <w:sz w:val="22"/>
          <w:szCs w:val="22"/>
          <w:lang w:eastAsia="de-DE"/>
        </w:rPr>
        <w:t>stanovnika bila bolest (36,9%), dok je po iznad petine stanovnika kao glavni razlog posjeta navelo kontrolu zdravlja (22,5%) i propisivanje lijekova (22,1%).</w:t>
      </w:r>
      <w:r w:rsidRPr="00155F80">
        <w:rPr>
          <w:color w:val="FF0000"/>
          <w:sz w:val="22"/>
          <w:szCs w:val="22"/>
          <w:lang w:eastAsia="de-DE"/>
        </w:rPr>
        <w:t xml:space="preserve"> </w:t>
      </w:r>
      <w:r w:rsidRPr="003C0D4E">
        <w:rPr>
          <w:sz w:val="22"/>
          <w:szCs w:val="22"/>
          <w:lang w:eastAsia="de-DE"/>
        </w:rPr>
        <w:t>(</w:t>
      </w:r>
      <w:r w:rsidRPr="003C0D4E">
        <w:rPr>
          <w:sz w:val="22"/>
          <w:szCs w:val="22"/>
        </w:rPr>
        <w:t>9</w:t>
      </w:r>
      <w:r w:rsidRPr="003C0D4E">
        <w:rPr>
          <w:sz w:val="22"/>
          <w:szCs w:val="22"/>
          <w:lang w:eastAsia="de-DE"/>
        </w:rPr>
        <w:t>)</w:t>
      </w:r>
    </w:p>
    <w:p w:rsidR="00D878AE" w:rsidRPr="00155F80" w:rsidRDefault="00D878AE" w:rsidP="00D878AE">
      <w:pPr>
        <w:pStyle w:val="Tekst0"/>
        <w:spacing w:line="276" w:lineRule="auto"/>
        <w:rPr>
          <w:sz w:val="22"/>
          <w:szCs w:val="22"/>
          <w:lang w:eastAsia="de-DE"/>
        </w:rPr>
      </w:pPr>
    </w:p>
    <w:p w:rsidR="00D878AE" w:rsidRPr="005332DE" w:rsidRDefault="00D878AE" w:rsidP="00D878AE">
      <w:pPr>
        <w:pStyle w:val="NoSpacing"/>
        <w:spacing w:line="276" w:lineRule="auto"/>
        <w:jc w:val="both"/>
        <w:rPr>
          <w:i/>
          <w:sz w:val="22"/>
          <w:szCs w:val="22"/>
          <w:lang w:val="bs-Latn-BA" w:eastAsia="de-DE"/>
        </w:rPr>
      </w:pPr>
      <w:r w:rsidRPr="005332DE">
        <w:rPr>
          <w:i/>
          <w:sz w:val="22"/>
          <w:szCs w:val="22"/>
          <w:lang w:val="bs-Latn-BA" w:eastAsia="de-DE"/>
        </w:rPr>
        <w:t>Zdravstvena zaštita djece (0-6 godina)</w:t>
      </w:r>
    </w:p>
    <w:p w:rsidR="00D878AE" w:rsidRPr="00155F80" w:rsidRDefault="00D878AE" w:rsidP="00D878AE">
      <w:pPr>
        <w:pStyle w:val="NoSpacing"/>
        <w:spacing w:line="276" w:lineRule="auto"/>
        <w:jc w:val="both"/>
        <w:rPr>
          <w:sz w:val="22"/>
          <w:szCs w:val="22"/>
          <w:lang w:val="bs-Latn-BA" w:eastAsia="de-DE"/>
        </w:rPr>
      </w:pPr>
      <w:r w:rsidRPr="00155F80">
        <w:rPr>
          <w:sz w:val="22"/>
          <w:szCs w:val="22"/>
          <w:lang w:val="bs-Latn-BA"/>
        </w:rPr>
        <w:t xml:space="preserve">Prema </w:t>
      </w:r>
      <w:r w:rsidR="002B489B">
        <w:rPr>
          <w:sz w:val="22"/>
          <w:szCs w:val="22"/>
          <w:lang w:val="bs-Latn-BA"/>
        </w:rPr>
        <w:t>podaci</w:t>
      </w:r>
      <w:r w:rsidRPr="00155F80">
        <w:rPr>
          <w:sz w:val="22"/>
          <w:szCs w:val="22"/>
          <w:lang w:val="bs-Latn-BA"/>
        </w:rPr>
        <w:t xml:space="preserve">ma </w:t>
      </w:r>
      <w:r w:rsidR="002B489B">
        <w:rPr>
          <w:sz w:val="22"/>
          <w:szCs w:val="22"/>
          <w:lang w:val="bs-Latn-BA"/>
        </w:rPr>
        <w:t>redovne</w:t>
      </w:r>
      <w:r w:rsidRPr="00155F80">
        <w:rPr>
          <w:sz w:val="22"/>
          <w:szCs w:val="22"/>
          <w:lang w:val="bs-Latn-BA"/>
        </w:rPr>
        <w:t xml:space="preserve"> zdravstvene statistika za 2015. godinu,  u službama za </w:t>
      </w:r>
      <w:r w:rsidRPr="00155F80">
        <w:rPr>
          <w:sz w:val="22"/>
          <w:szCs w:val="22"/>
          <w:lang w:val="bs-Latn-BA" w:eastAsia="de-DE"/>
        </w:rPr>
        <w:t>zdravstvenu zaštit</w:t>
      </w:r>
      <w:r w:rsidR="00283697">
        <w:rPr>
          <w:sz w:val="22"/>
          <w:szCs w:val="22"/>
          <w:lang w:val="bs-Latn-BA" w:eastAsia="de-DE"/>
        </w:rPr>
        <w:t>u</w:t>
      </w:r>
      <w:r w:rsidRPr="00155F80">
        <w:rPr>
          <w:sz w:val="22"/>
          <w:szCs w:val="22"/>
          <w:lang w:val="bs-Latn-BA" w:eastAsia="de-DE"/>
        </w:rPr>
        <w:t xml:space="preserve"> djece </w:t>
      </w:r>
      <w:r w:rsidR="00283697">
        <w:rPr>
          <w:sz w:val="22"/>
          <w:szCs w:val="22"/>
          <w:lang w:val="bs-Latn-BA" w:eastAsia="de-DE"/>
        </w:rPr>
        <w:t>dobi</w:t>
      </w:r>
      <w:r w:rsidRPr="00155F80">
        <w:rPr>
          <w:sz w:val="22"/>
          <w:szCs w:val="22"/>
          <w:lang w:val="bs-Latn-BA" w:eastAsia="de-DE"/>
        </w:rPr>
        <w:t xml:space="preserve"> 0-6 godina je radio</w:t>
      </w:r>
      <w:r w:rsidR="00283697">
        <w:rPr>
          <w:sz w:val="22"/>
          <w:szCs w:val="22"/>
          <w:lang w:val="bs-Latn-BA" w:eastAsia="de-DE"/>
        </w:rPr>
        <w:t xml:space="preserve"> </w:t>
      </w:r>
      <w:r w:rsidRPr="00155F80">
        <w:rPr>
          <w:sz w:val="22"/>
          <w:szCs w:val="22"/>
          <w:lang w:val="bs-Latn-BA" w:eastAsia="de-DE"/>
        </w:rPr>
        <w:t>131 doktor medicine i 252 medicinske sestre/tehničara.</w:t>
      </w:r>
    </w:p>
    <w:p w:rsidR="00D878AE" w:rsidRPr="00155F80" w:rsidRDefault="00D878AE" w:rsidP="00D878AE">
      <w:pPr>
        <w:pStyle w:val="Tekst0"/>
        <w:spacing w:line="276" w:lineRule="auto"/>
      </w:pPr>
      <w:r w:rsidRPr="00155F80">
        <w:t xml:space="preserve">Doktori medicine su u najvećem procentu bili specijalisti pedijatrije (89,3%), ostalo su bili specijalisti drugih disciplina (2,3%) i doktori medicine bez završene specijalizacije (8,4%). </w:t>
      </w: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 xml:space="preserve">U 2015. godini </w:t>
      </w:r>
      <w:r w:rsidRPr="00155F80">
        <w:rPr>
          <w:rFonts w:ascii="Times New Roman" w:hAnsi="Times New Roman"/>
        </w:rPr>
        <w:t xml:space="preserve">je po jednom </w:t>
      </w:r>
      <w:r w:rsidRPr="00155F80">
        <w:rPr>
          <w:rFonts w:ascii="Times New Roman" w:hAnsi="Times New Roman"/>
          <w:lang w:val="bs-Latn-BA"/>
        </w:rPr>
        <w:t xml:space="preserve">doktoru medicine u zdravstvenoj zaštiti djece </w:t>
      </w:r>
      <w:r w:rsidR="00517A40">
        <w:rPr>
          <w:rFonts w:ascii="Times New Roman" w:hAnsi="Times New Roman"/>
          <w:lang w:val="bs-Latn-BA"/>
        </w:rPr>
        <w:t>dobi</w:t>
      </w:r>
      <w:r w:rsidRPr="00155F80">
        <w:rPr>
          <w:rFonts w:ascii="Times New Roman" w:hAnsi="Times New Roman"/>
          <w:lang w:val="bs-Latn-BA"/>
        </w:rPr>
        <w:t xml:space="preserve"> 0-6 godina u FBiH u prosjeku bilo 1</w:t>
      </w:r>
      <w:r>
        <w:rPr>
          <w:rFonts w:ascii="Times New Roman" w:hAnsi="Times New Roman"/>
          <w:lang w:val="bs-Latn-BA"/>
        </w:rPr>
        <w:t>.515</w:t>
      </w:r>
      <w:r w:rsidRPr="00155F80">
        <w:rPr>
          <w:rFonts w:ascii="Times New Roman" w:hAnsi="Times New Roman"/>
          <w:lang w:val="bs-Latn-BA"/>
        </w:rPr>
        <w:t xml:space="preserve"> djece (2010. godine: </w:t>
      </w:r>
      <w:r>
        <w:rPr>
          <w:rFonts w:ascii="Times New Roman" w:hAnsi="Times New Roman"/>
          <w:color w:val="000000"/>
        </w:rPr>
        <w:t xml:space="preserve">1.684 djece)  </w:t>
      </w:r>
      <w:r w:rsidRPr="00155F80">
        <w:rPr>
          <w:rFonts w:ascii="Times New Roman" w:hAnsi="Times New Roman"/>
          <w:lang w:val="bs-Latn-BA"/>
        </w:rPr>
        <w:t>uz prisutne razlike po kantonima.</w:t>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pStyle w:val="refererere"/>
        <w:rPr>
          <w:lang w:val="bs-Latn-BA"/>
        </w:rPr>
      </w:pPr>
      <w:r w:rsidRPr="00155F80">
        <w:rPr>
          <w:lang w:val="bs-Latn-BA"/>
        </w:rPr>
        <w:t>Grafikon 100: Broj djece po doktoru medicine u zdravstvenoj zaštiti djece (0-6 godina) zaštite u FBiH u 2015. godini</w:t>
      </w:r>
    </w:p>
    <w:p w:rsidR="00D878AE" w:rsidRPr="00155F80" w:rsidRDefault="00D878AE" w:rsidP="00D878AE">
      <w:pPr>
        <w:spacing w:line="276" w:lineRule="auto"/>
        <w:rPr>
          <w:rFonts w:ascii="Times New Roman" w:hAnsi="Times New Roman"/>
          <w:lang w:val="bs-Latn-BA"/>
        </w:rPr>
      </w:pPr>
      <w:r>
        <w:rPr>
          <w:noProof/>
          <w:lang w:eastAsia="en-GB"/>
        </w:rPr>
        <w:drawing>
          <wp:inline distT="0" distB="0" distL="0" distR="0" wp14:anchorId="203B5B45" wp14:editId="20293664">
            <wp:extent cx="5781675" cy="2305050"/>
            <wp:effectExtent l="0" t="0" r="9525"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D878AE" w:rsidRPr="00155F80" w:rsidRDefault="00D878AE" w:rsidP="00D878AE">
      <w:pPr>
        <w:spacing w:line="276" w:lineRule="auto"/>
        <w:rPr>
          <w:rFonts w:ascii="Times New Roman" w:hAnsi="Times New Roman"/>
          <w:b/>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Posjete</w:t>
      </w:r>
    </w:p>
    <w:p w:rsidR="00D878AE" w:rsidRPr="00155F80" w:rsidRDefault="00D878AE" w:rsidP="00D878AE">
      <w:pPr>
        <w:pStyle w:val="Tekst0"/>
        <w:spacing w:line="276" w:lineRule="auto"/>
        <w:rPr>
          <w:sz w:val="22"/>
          <w:szCs w:val="22"/>
        </w:rPr>
      </w:pPr>
      <w:r w:rsidRPr="00155F80">
        <w:rPr>
          <w:sz w:val="22"/>
          <w:szCs w:val="22"/>
        </w:rPr>
        <w:t>Po jednom doktoru medicine je u primarnoj zdravstvenoj zaštiti u Federaciji BiH u 2015. godini u prosjeku os</w:t>
      </w:r>
      <w:r w:rsidR="00D21A46">
        <w:rPr>
          <w:sz w:val="22"/>
          <w:szCs w:val="22"/>
        </w:rPr>
        <w:t>materija</w:t>
      </w:r>
      <w:r w:rsidRPr="00155F80">
        <w:rPr>
          <w:sz w:val="22"/>
          <w:szCs w:val="22"/>
        </w:rPr>
        <w:t>eno 29,4 posjet</w:t>
      </w:r>
      <w:r w:rsidRPr="00517A40">
        <w:rPr>
          <w:sz w:val="22"/>
          <w:szCs w:val="22"/>
        </w:rPr>
        <w:t>a</w:t>
      </w:r>
      <w:r w:rsidRPr="00155F80">
        <w:rPr>
          <w:sz w:val="22"/>
          <w:szCs w:val="22"/>
        </w:rPr>
        <w:t xml:space="preserve"> dnevno.</w:t>
      </w:r>
    </w:p>
    <w:p w:rsidR="00D878AE" w:rsidRPr="00155F80" w:rsidRDefault="00D878AE" w:rsidP="00D878AE">
      <w:pPr>
        <w:pStyle w:val="Tekst0"/>
        <w:spacing w:line="276" w:lineRule="auto"/>
        <w:rPr>
          <w:sz w:val="22"/>
          <w:szCs w:val="22"/>
        </w:rPr>
      </w:pPr>
      <w:r w:rsidRPr="00155F80">
        <w:rPr>
          <w:sz w:val="22"/>
          <w:szCs w:val="22"/>
        </w:rPr>
        <w:t>Po jednom stanovniku je kod doktora medicine u PZZ u Federaciji BiH u prosjeku os</w:t>
      </w:r>
      <w:r w:rsidR="00D21A46">
        <w:rPr>
          <w:sz w:val="22"/>
          <w:szCs w:val="22"/>
        </w:rPr>
        <w:t>materija</w:t>
      </w:r>
      <w:r w:rsidRPr="00155F80">
        <w:rPr>
          <w:sz w:val="22"/>
          <w:szCs w:val="22"/>
        </w:rPr>
        <w:t>eno 4,6 posjeta, s najvećim brojem posjeta os</w:t>
      </w:r>
      <w:r w:rsidR="00D21A46">
        <w:rPr>
          <w:sz w:val="22"/>
          <w:szCs w:val="22"/>
        </w:rPr>
        <w:t>materija</w:t>
      </w:r>
      <w:r w:rsidRPr="00155F80">
        <w:rPr>
          <w:sz w:val="22"/>
          <w:szCs w:val="22"/>
        </w:rPr>
        <w:t>enim u Tuzlanskom kantonu (5,5), a najmanjim u Unsko-sanskom i Kantonu 10.</w:t>
      </w:r>
    </w:p>
    <w:p w:rsidR="00D878AE" w:rsidRDefault="00D878AE" w:rsidP="0075440C">
      <w:pPr>
        <w:pStyle w:val="Tekst0"/>
        <w:spacing w:after="240" w:line="276" w:lineRule="auto"/>
        <w:rPr>
          <w:sz w:val="22"/>
          <w:szCs w:val="22"/>
        </w:rPr>
      </w:pPr>
      <w:r w:rsidRPr="00155F80">
        <w:rPr>
          <w:sz w:val="22"/>
          <w:szCs w:val="22"/>
        </w:rPr>
        <w:t>Slično prethodnim godinama, u 2015. godini su na jednu prvu posjetu u PZZ u prosjeku os</w:t>
      </w:r>
      <w:r w:rsidR="00D21A46">
        <w:rPr>
          <w:sz w:val="22"/>
          <w:szCs w:val="22"/>
        </w:rPr>
        <w:t>materija</w:t>
      </w:r>
      <w:r w:rsidRPr="00155F80">
        <w:rPr>
          <w:sz w:val="22"/>
          <w:szCs w:val="22"/>
        </w:rPr>
        <w:t>ene</w:t>
      </w:r>
      <w:r w:rsidRPr="00155F80">
        <w:rPr>
          <w:color w:val="FF0000"/>
          <w:sz w:val="22"/>
          <w:szCs w:val="22"/>
        </w:rPr>
        <w:t xml:space="preserve"> </w:t>
      </w:r>
      <w:r w:rsidRPr="00155F80">
        <w:rPr>
          <w:sz w:val="22"/>
          <w:szCs w:val="22"/>
        </w:rPr>
        <w:t>2,3 ponovne posjete.</w:t>
      </w:r>
    </w:p>
    <w:p w:rsidR="00D878AE" w:rsidRPr="00155F80" w:rsidRDefault="00D878AE" w:rsidP="00D878AE">
      <w:pPr>
        <w:pStyle w:val="refererere"/>
        <w:rPr>
          <w:i/>
        </w:rPr>
      </w:pPr>
      <w:r w:rsidRPr="00155F80">
        <w:t>Grafikon 101: Prosječan broj posjeta u PZZ  po stanovniku u Federaciji BiH, 2010. i 2015. godina</w:t>
      </w:r>
      <w:r w:rsidRPr="00155F80">
        <w:rPr>
          <w:i/>
          <w:noProof/>
          <w:lang w:eastAsia="en-GB"/>
        </w:rPr>
        <w:drawing>
          <wp:inline distT="0" distB="0" distL="0" distR="0" wp14:anchorId="68186960" wp14:editId="0B8F79EB">
            <wp:extent cx="5654675" cy="2185059"/>
            <wp:effectExtent l="0" t="0" r="3175" b="5715"/>
            <wp:docPr id="1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3E3695" w:rsidRDefault="003E3695" w:rsidP="00D878AE">
      <w:pPr>
        <w:spacing w:line="276" w:lineRule="auto"/>
        <w:rPr>
          <w:rFonts w:ascii="Times New Roman" w:hAnsi="Times New Roman"/>
          <w:b/>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 xml:space="preserve">Upućivanje specijalisti </w:t>
      </w:r>
    </w:p>
    <w:p w:rsidR="0075440C" w:rsidRPr="00155F80" w:rsidRDefault="00D878AE" w:rsidP="00250204">
      <w:pPr>
        <w:pStyle w:val="TEKST"/>
      </w:pPr>
      <w:r w:rsidRPr="00155F80">
        <w:t xml:space="preserve">Prema </w:t>
      </w:r>
      <w:r w:rsidR="002B489B">
        <w:t>podaci</w:t>
      </w:r>
      <w:r w:rsidRPr="00155F80">
        <w:t xml:space="preserve">ma </w:t>
      </w:r>
      <w:r w:rsidR="002B489B">
        <w:t>redovne</w:t>
      </w:r>
      <w:r w:rsidRPr="00155F80">
        <w:t xml:space="preserve"> zdravstvene statistike, u </w:t>
      </w:r>
      <w:r w:rsidR="00F70FD4">
        <w:t>periodu</w:t>
      </w:r>
      <w:r w:rsidRPr="00155F80">
        <w:t xml:space="preserve"> od 2010.</w:t>
      </w:r>
      <w:r w:rsidR="00517A40">
        <w:t xml:space="preserve"> do </w:t>
      </w:r>
      <w:r w:rsidRPr="00155F80">
        <w:t xml:space="preserve">2015. godine zabilježen je visok procenat pacijenata upućenih specijalisti u odnosu na prve posjete u PZZ. Ovo je u suprotnosti sa strateškim opredjeljenjem razvoja primarne zdravstvene zaštite, prema kojem se oko 80% svih zahtjeva za zdravstvenom zaštitom treba zadovoljiti na </w:t>
      </w:r>
      <w:r w:rsidR="002B489B">
        <w:t>nivou</w:t>
      </w:r>
      <w:r w:rsidRPr="00155F80">
        <w:t xml:space="preserve"> PZZ. </w:t>
      </w:r>
    </w:p>
    <w:p w:rsidR="00D878AE" w:rsidRPr="00155F80" w:rsidRDefault="00D878AE" w:rsidP="00D878AE">
      <w:pPr>
        <w:pStyle w:val="refererere"/>
      </w:pPr>
      <w:r w:rsidRPr="00155F80">
        <w:t xml:space="preserve">Grafikon 102: Procenat pacijenata upućenih specijalisti u odnosu na prve posjete u PZZ u Federaciji BiH, </w:t>
      </w:r>
      <w:r w:rsidR="00F70FD4">
        <w:t>period</w:t>
      </w:r>
      <w:r>
        <w:t xml:space="preserve"> 2010.-</w:t>
      </w:r>
      <w:r w:rsidRPr="00155F80">
        <w:t xml:space="preserve">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eastAsia="en-GB"/>
        </w:rPr>
        <w:drawing>
          <wp:inline distT="0" distB="0" distL="0" distR="0" wp14:anchorId="1A44F162" wp14:editId="61ECFB3D">
            <wp:extent cx="5605145" cy="2359025"/>
            <wp:effectExtent l="0" t="0" r="14605" b="3175"/>
            <wp:docPr id="1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D878AE" w:rsidRDefault="00D878AE" w:rsidP="00D878AE">
      <w:pPr>
        <w:pStyle w:val="Tekst0"/>
        <w:spacing w:line="276" w:lineRule="auto"/>
        <w:rPr>
          <w:sz w:val="22"/>
          <w:szCs w:val="22"/>
          <w:lang w:eastAsia="de-DE"/>
        </w:rPr>
      </w:pPr>
      <w:r w:rsidRPr="00155F80">
        <w:rPr>
          <w:sz w:val="22"/>
          <w:szCs w:val="22"/>
          <w:lang w:eastAsia="de-DE"/>
        </w:rPr>
        <w:t xml:space="preserve">Rezultati istraživanja su pokazali da je po jednom stanovniku u FBiH </w:t>
      </w:r>
      <w:r w:rsidR="00F0369C">
        <w:rPr>
          <w:sz w:val="22"/>
          <w:szCs w:val="22"/>
          <w:lang w:eastAsia="de-DE"/>
        </w:rPr>
        <w:t>tokom</w:t>
      </w:r>
      <w:r w:rsidRPr="00155F80">
        <w:rPr>
          <w:sz w:val="22"/>
          <w:szCs w:val="22"/>
          <w:lang w:eastAsia="de-DE"/>
        </w:rPr>
        <w:t xml:space="preserve"> posljednjih 12 mjeseci u prosjeku bilo 2,7 posjeta doktoru medicine specijalisti, pri čemu su najveći prosječan broj posjeta imali stanovnici dobi 65 i više godina (3,3 posjeta).</w:t>
      </w:r>
      <w:r w:rsidRPr="00155F80">
        <w:rPr>
          <w:color w:val="FF0000"/>
          <w:sz w:val="22"/>
          <w:szCs w:val="22"/>
          <w:lang w:eastAsia="de-DE"/>
        </w:rPr>
        <w:t xml:space="preserve"> </w:t>
      </w:r>
      <w:r w:rsidRPr="003C0D4E">
        <w:rPr>
          <w:sz w:val="22"/>
          <w:szCs w:val="22"/>
          <w:lang w:eastAsia="de-DE"/>
        </w:rPr>
        <w:t>(9)</w:t>
      </w:r>
    </w:p>
    <w:p w:rsidR="0075440C" w:rsidRDefault="0075440C" w:rsidP="00D878AE">
      <w:pPr>
        <w:pStyle w:val="Tekst0"/>
        <w:spacing w:line="276" w:lineRule="auto"/>
        <w:rPr>
          <w:sz w:val="22"/>
          <w:szCs w:val="22"/>
          <w:lang w:eastAsia="de-DE"/>
        </w:rPr>
      </w:pPr>
    </w:p>
    <w:p w:rsidR="0075440C" w:rsidRDefault="0075440C" w:rsidP="00D878AE">
      <w:pPr>
        <w:pStyle w:val="Tekst0"/>
        <w:spacing w:line="276" w:lineRule="auto"/>
        <w:rPr>
          <w:sz w:val="22"/>
          <w:szCs w:val="22"/>
          <w:lang w:eastAsia="de-DE"/>
        </w:rPr>
      </w:pPr>
    </w:p>
    <w:p w:rsidR="0075440C" w:rsidRDefault="0075440C" w:rsidP="00D878AE">
      <w:pPr>
        <w:pStyle w:val="Tekst0"/>
        <w:spacing w:line="276" w:lineRule="auto"/>
        <w:rPr>
          <w:sz w:val="22"/>
          <w:szCs w:val="22"/>
          <w:lang w:eastAsia="de-DE"/>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Preventivne usluge</w:t>
      </w:r>
    </w:p>
    <w:p w:rsidR="00D878AE" w:rsidRPr="00155F80" w:rsidRDefault="00D878AE" w:rsidP="00D878AE">
      <w:pPr>
        <w:pStyle w:val="Tekst0"/>
        <w:spacing w:line="276" w:lineRule="auto"/>
        <w:rPr>
          <w:sz w:val="22"/>
          <w:szCs w:val="22"/>
        </w:rPr>
      </w:pPr>
      <w:r w:rsidRPr="00155F80">
        <w:rPr>
          <w:sz w:val="22"/>
          <w:szCs w:val="22"/>
        </w:rPr>
        <w:t>Strateško opredjeljenje razvoja zdravstva je jačanje promocije zdravlja i prevencije bolesti, što podržavaju i standardi i normativi zdravstvene zaštite</w:t>
      </w:r>
      <w:r>
        <w:rPr>
          <w:sz w:val="22"/>
          <w:szCs w:val="22"/>
        </w:rPr>
        <w:t>.</w:t>
      </w:r>
      <w:r w:rsidRPr="00155F80">
        <w:rPr>
          <w:sz w:val="22"/>
          <w:szCs w:val="22"/>
        </w:rPr>
        <w:t xml:space="preserve"> </w:t>
      </w:r>
      <w:r w:rsidR="002B489B">
        <w:rPr>
          <w:sz w:val="22"/>
          <w:szCs w:val="22"/>
        </w:rPr>
        <w:t>Podaci</w:t>
      </w:r>
      <w:r w:rsidRPr="00155F80">
        <w:rPr>
          <w:sz w:val="22"/>
          <w:szCs w:val="22"/>
        </w:rPr>
        <w:t xml:space="preserve"> </w:t>
      </w:r>
      <w:r w:rsidR="002B489B">
        <w:rPr>
          <w:sz w:val="22"/>
          <w:szCs w:val="22"/>
        </w:rPr>
        <w:t>redovne</w:t>
      </w:r>
      <w:r w:rsidRPr="00155F80">
        <w:rPr>
          <w:sz w:val="22"/>
          <w:szCs w:val="22"/>
        </w:rPr>
        <w:t xml:space="preserve"> statistike međutim ukazuju na trend pada udjela preventivnih usluga u odnosu na prve posjete u PZZ.</w:t>
      </w:r>
    </w:p>
    <w:p w:rsidR="00D878AE" w:rsidRPr="00155F80" w:rsidRDefault="00D878AE" w:rsidP="00D878AE">
      <w:pPr>
        <w:pStyle w:val="Tekst0"/>
        <w:spacing w:line="276" w:lineRule="auto"/>
        <w:rPr>
          <w:iCs/>
          <w:lang w:val="bs-Latn-BA" w:eastAsia="bs-Latn-BA"/>
        </w:rPr>
      </w:pPr>
    </w:p>
    <w:p w:rsidR="00D878AE" w:rsidRPr="00155F80" w:rsidRDefault="00D878AE" w:rsidP="00D878AE">
      <w:pPr>
        <w:pStyle w:val="refererere"/>
        <w:jc w:val="left"/>
      </w:pPr>
      <w:r w:rsidRPr="00155F80">
        <w:t xml:space="preserve">Grafikon 103: Procenat preventivnih  usluga u odnosu na prve posjete u PZZ u Federaciji BiH, </w:t>
      </w:r>
      <w:r w:rsidR="00F70FD4">
        <w:t>period</w:t>
      </w:r>
      <w:r w:rsidRPr="00155F80">
        <w:t xml:space="preserve"> 2010. -2015. godina</w:t>
      </w:r>
      <w:r w:rsidRPr="00155F80">
        <w:rPr>
          <w:noProof/>
          <w:lang w:eastAsia="en-GB"/>
        </w:rPr>
        <w:drawing>
          <wp:inline distT="0" distB="0" distL="0" distR="0" wp14:anchorId="5B6F4DAB" wp14:editId="58037249">
            <wp:extent cx="5652135" cy="2125659"/>
            <wp:effectExtent l="0" t="0" r="5715" b="8255"/>
            <wp:docPr id="13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D878AE" w:rsidRPr="00155F80" w:rsidRDefault="002B489B" w:rsidP="00D878AE">
      <w:pPr>
        <w:pStyle w:val="Tekst0"/>
        <w:spacing w:line="276" w:lineRule="auto"/>
        <w:rPr>
          <w:sz w:val="22"/>
          <w:szCs w:val="22"/>
          <w:lang w:eastAsia="de-DE"/>
        </w:rPr>
      </w:pPr>
      <w:r>
        <w:rPr>
          <w:sz w:val="22"/>
          <w:szCs w:val="22"/>
        </w:rPr>
        <w:t>Podaci</w:t>
      </w:r>
      <w:r w:rsidR="00D878AE" w:rsidRPr="00155F80">
        <w:rPr>
          <w:sz w:val="22"/>
          <w:szCs w:val="22"/>
        </w:rPr>
        <w:t xml:space="preserve"> istraživanja su pokazali da je </w:t>
      </w:r>
      <w:r w:rsidR="00D878AE" w:rsidRPr="00155F80">
        <w:rPr>
          <w:sz w:val="22"/>
          <w:szCs w:val="22"/>
          <w:lang w:eastAsia="de-DE"/>
        </w:rPr>
        <w:t xml:space="preserve">u zdravstvenim ustanovama u FBiH </w:t>
      </w:r>
      <w:r w:rsidR="00F0369C">
        <w:rPr>
          <w:sz w:val="22"/>
          <w:szCs w:val="22"/>
        </w:rPr>
        <w:t>tokom</w:t>
      </w:r>
      <w:r w:rsidR="00D878AE" w:rsidRPr="00155F80">
        <w:rPr>
          <w:sz w:val="22"/>
          <w:szCs w:val="22"/>
          <w:lang w:eastAsia="de-DE"/>
        </w:rPr>
        <w:t xml:space="preserve"> prethodnih 12 mjeseci približno polovini stanovnika dobi 18 i više godina izmjeren krvni </w:t>
      </w:r>
      <w:r w:rsidR="00517A40">
        <w:rPr>
          <w:sz w:val="22"/>
          <w:szCs w:val="22"/>
          <w:lang w:eastAsia="de-DE"/>
        </w:rPr>
        <w:t>tlak</w:t>
      </w:r>
      <w:r w:rsidR="00D878AE" w:rsidRPr="00155F80">
        <w:rPr>
          <w:sz w:val="22"/>
          <w:szCs w:val="22"/>
          <w:lang w:eastAsia="de-DE"/>
        </w:rPr>
        <w:t xml:space="preserve"> (54,0%), šećer u krvi (45,5%) i masnoće u krvi (42,7%), te je digitorektalni pregled debelog crijeva urađen kod 1,0% stanovnika. Četvrtini stanovnika u FBiH je izmjerena tjelesna težina (24,6%,), te je u nešto manjem p</w:t>
      </w:r>
      <w:r w:rsidR="00517A40">
        <w:rPr>
          <w:sz w:val="22"/>
          <w:szCs w:val="22"/>
          <w:lang w:eastAsia="de-DE"/>
        </w:rPr>
        <w:t>rocentu</w:t>
      </w:r>
      <w:r w:rsidR="00D878AE" w:rsidRPr="00155F80">
        <w:rPr>
          <w:sz w:val="22"/>
          <w:szCs w:val="22"/>
          <w:lang w:eastAsia="de-DE"/>
        </w:rPr>
        <w:t xml:space="preserve"> izmjerena tjelesna visina (18,9%).</w:t>
      </w:r>
      <w:r w:rsidR="00D878AE" w:rsidRPr="00155F80">
        <w:rPr>
          <w:sz w:val="22"/>
          <w:szCs w:val="22"/>
        </w:rPr>
        <w:t xml:space="preserve"> </w:t>
      </w:r>
    </w:p>
    <w:p w:rsidR="00D878AE" w:rsidRDefault="00D878AE" w:rsidP="00D878AE">
      <w:pPr>
        <w:pStyle w:val="Tekst0"/>
        <w:spacing w:line="276" w:lineRule="auto"/>
        <w:rPr>
          <w:sz w:val="22"/>
          <w:szCs w:val="22"/>
          <w:lang w:eastAsia="de-DE"/>
        </w:rPr>
      </w:pPr>
      <w:r w:rsidRPr="00155F80">
        <w:rPr>
          <w:sz w:val="22"/>
          <w:szCs w:val="22"/>
          <w:lang w:eastAsia="de-DE"/>
        </w:rPr>
        <w:t xml:space="preserve">Doktor ili drugi zdravstveni </w:t>
      </w:r>
      <w:r w:rsidR="00517A40">
        <w:rPr>
          <w:sz w:val="22"/>
          <w:szCs w:val="22"/>
          <w:lang w:eastAsia="de-DE"/>
        </w:rPr>
        <w:t>djelatnik</w:t>
      </w:r>
      <w:r w:rsidRPr="00155F80">
        <w:rPr>
          <w:sz w:val="22"/>
          <w:szCs w:val="22"/>
          <w:lang w:eastAsia="de-DE"/>
        </w:rPr>
        <w:t xml:space="preserve"> su, </w:t>
      </w:r>
      <w:r w:rsidR="00F0369C">
        <w:rPr>
          <w:sz w:val="22"/>
          <w:szCs w:val="22"/>
        </w:rPr>
        <w:t>tokom</w:t>
      </w:r>
      <w:r w:rsidRPr="00155F80">
        <w:rPr>
          <w:sz w:val="22"/>
          <w:szCs w:val="22"/>
          <w:lang w:eastAsia="de-DE"/>
        </w:rPr>
        <w:t xml:space="preserve"> prethodnih 12 mjeseci, približno petini stanovnika u FBiH savjetovali da jedu manje masnu hranu (22,0%), da manje koriste sol (20,0%) i šećer (17,7%), te da konzumiraju više voća (17,4%). U manjem p</w:t>
      </w:r>
      <w:r w:rsidR="00517A40">
        <w:rPr>
          <w:sz w:val="22"/>
          <w:szCs w:val="22"/>
          <w:lang w:eastAsia="de-DE"/>
        </w:rPr>
        <w:t>rocentu</w:t>
      </w:r>
      <w:r w:rsidRPr="00155F80">
        <w:rPr>
          <w:sz w:val="22"/>
          <w:szCs w:val="22"/>
          <w:lang w:eastAsia="de-DE"/>
        </w:rPr>
        <w:t xml:space="preserve"> su </w:t>
      </w:r>
      <w:r w:rsidR="00F0369C">
        <w:rPr>
          <w:sz w:val="22"/>
          <w:szCs w:val="22"/>
          <w:lang w:eastAsia="de-DE"/>
        </w:rPr>
        <w:t>tokom</w:t>
      </w:r>
      <w:r w:rsidRPr="00155F80">
        <w:rPr>
          <w:sz w:val="22"/>
          <w:szCs w:val="22"/>
          <w:lang w:eastAsia="de-DE"/>
        </w:rPr>
        <w:t xml:space="preserve"> prethodnih 12 mjeseci doktor ili drugi zdravstveni </w:t>
      </w:r>
      <w:r w:rsidR="00517A40">
        <w:rPr>
          <w:sz w:val="22"/>
          <w:szCs w:val="22"/>
          <w:lang w:eastAsia="de-DE"/>
        </w:rPr>
        <w:t>djelatnik</w:t>
      </w:r>
      <w:r w:rsidRPr="00155F80">
        <w:rPr>
          <w:sz w:val="22"/>
          <w:szCs w:val="22"/>
          <w:lang w:eastAsia="de-DE"/>
        </w:rPr>
        <w:t xml:space="preserve"> savjetovali stanovništvo da smanje tjelesnu težinu (10,9%), povećaju tjelesnu aktivnost (10,3%)</w:t>
      </w:r>
      <w:r>
        <w:rPr>
          <w:sz w:val="22"/>
          <w:szCs w:val="22"/>
          <w:lang w:eastAsia="de-DE"/>
        </w:rPr>
        <w:t>,</w:t>
      </w:r>
      <w:r w:rsidRPr="00155F80">
        <w:rPr>
          <w:sz w:val="22"/>
          <w:szCs w:val="22"/>
          <w:lang w:eastAsia="de-DE"/>
        </w:rPr>
        <w:t xml:space="preserve"> prestanu pušiti (7,7%) i smanje unos alkohola (2,1%). </w:t>
      </w:r>
      <w:r w:rsidRPr="003C0D4E">
        <w:rPr>
          <w:sz w:val="22"/>
          <w:szCs w:val="22"/>
          <w:lang w:eastAsia="de-DE"/>
        </w:rPr>
        <w:t>(9)</w:t>
      </w:r>
    </w:p>
    <w:p w:rsidR="00D878AE" w:rsidRPr="00155F80" w:rsidRDefault="00D878AE" w:rsidP="00D878AE">
      <w:pPr>
        <w:pStyle w:val="Tekst0"/>
        <w:spacing w:before="0" w:line="276" w:lineRule="auto"/>
        <w:rPr>
          <w:sz w:val="22"/>
          <w:szCs w:val="22"/>
        </w:rPr>
      </w:pPr>
    </w:p>
    <w:p w:rsidR="00D878AE" w:rsidRPr="00155F80" w:rsidRDefault="00D878AE" w:rsidP="00D878AE">
      <w:pPr>
        <w:pStyle w:val="refererere"/>
      </w:pPr>
      <w:r w:rsidRPr="00155F80">
        <w:t xml:space="preserve">Grafikon 104: Savjetovanje od strane zdravstvenih </w:t>
      </w:r>
      <w:r w:rsidR="00950A64">
        <w:t>radnika</w:t>
      </w:r>
      <w:r w:rsidRPr="00155F80">
        <w:t xml:space="preserve"> </w:t>
      </w:r>
      <w:r w:rsidR="00F0369C">
        <w:t>tokom</w:t>
      </w:r>
      <w:r w:rsidRPr="00155F80">
        <w:t xml:space="preserve"> prethodnih 12 mjeseci u Federaciji BiH, indeks strukture</w:t>
      </w:r>
    </w:p>
    <w:p w:rsidR="00D878AE" w:rsidRPr="00155F80" w:rsidRDefault="00D878AE" w:rsidP="00D878AE">
      <w:pPr>
        <w:pStyle w:val="NoSpacing"/>
        <w:spacing w:line="276" w:lineRule="auto"/>
        <w:jc w:val="center"/>
        <w:rPr>
          <w:sz w:val="22"/>
          <w:szCs w:val="22"/>
          <w:lang w:val="bs-Latn-BA"/>
        </w:rPr>
      </w:pPr>
      <w:r w:rsidRPr="00155F80">
        <w:rPr>
          <w:noProof/>
          <w:sz w:val="22"/>
          <w:szCs w:val="22"/>
          <w:lang w:eastAsia="en-GB"/>
        </w:rPr>
        <w:drawing>
          <wp:inline distT="0" distB="0" distL="0" distR="0" wp14:anchorId="17443A35" wp14:editId="2F79B502">
            <wp:extent cx="5568950" cy="2343150"/>
            <wp:effectExtent l="0" t="0" r="12700" b="0"/>
            <wp:docPr id="14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D878AE" w:rsidRPr="00155F80" w:rsidRDefault="00D878AE" w:rsidP="00D878AE">
      <w:pPr>
        <w:pStyle w:val="NoSpacing"/>
        <w:spacing w:line="276" w:lineRule="auto"/>
        <w:rPr>
          <w:sz w:val="22"/>
          <w:szCs w:val="22"/>
          <w:lang w:val="bs-Latn-BA"/>
        </w:rPr>
      </w:pPr>
      <w:r w:rsidRPr="00155F80">
        <w:rPr>
          <w:sz w:val="22"/>
          <w:szCs w:val="22"/>
          <w:lang w:val="bs-Latn-BA"/>
        </w:rPr>
        <w:t>Izvor: Studija o stanju zdravlja odrasloga stanovništva u Federaciji Bosne i Hercegovine 2012.</w:t>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Kućne posjete</w:t>
      </w:r>
    </w:p>
    <w:p w:rsidR="00D878AE" w:rsidRPr="00155F80" w:rsidRDefault="00D878AE" w:rsidP="00D878AE">
      <w:pPr>
        <w:pStyle w:val="Tekst0"/>
        <w:spacing w:line="276" w:lineRule="auto"/>
        <w:rPr>
          <w:sz w:val="22"/>
          <w:szCs w:val="22"/>
        </w:rPr>
      </w:pPr>
      <w:r w:rsidRPr="00155F80">
        <w:rPr>
          <w:sz w:val="22"/>
          <w:szCs w:val="22"/>
        </w:rPr>
        <w:t>Kao i pre</w:t>
      </w:r>
      <w:r w:rsidR="00517A40">
        <w:rPr>
          <w:sz w:val="22"/>
          <w:szCs w:val="22"/>
        </w:rPr>
        <w:t>t</w:t>
      </w:r>
      <w:r w:rsidRPr="00155F80">
        <w:rPr>
          <w:sz w:val="22"/>
          <w:szCs w:val="22"/>
        </w:rPr>
        <w:t>hodnih godina, doktori medicine u PZZ su u 2015. godini os</w:t>
      </w:r>
      <w:r w:rsidR="00D21A46">
        <w:rPr>
          <w:sz w:val="22"/>
          <w:szCs w:val="22"/>
        </w:rPr>
        <w:t>materija</w:t>
      </w:r>
      <w:r w:rsidRPr="00155F80">
        <w:rPr>
          <w:sz w:val="22"/>
          <w:szCs w:val="22"/>
        </w:rPr>
        <w:t>ili mali broj (3,0)  kućnih posjeta (u odnosu na prve posjete).</w:t>
      </w:r>
    </w:p>
    <w:p w:rsidR="00D878AE" w:rsidRPr="00155F80" w:rsidRDefault="00D878AE" w:rsidP="0075440C">
      <w:pPr>
        <w:pStyle w:val="Tekst0"/>
        <w:spacing w:after="240" w:line="276" w:lineRule="auto"/>
        <w:rPr>
          <w:sz w:val="22"/>
          <w:szCs w:val="22"/>
        </w:rPr>
      </w:pPr>
      <w:r w:rsidRPr="00155F80">
        <w:rPr>
          <w:sz w:val="22"/>
          <w:szCs w:val="22"/>
        </w:rPr>
        <w:t>S druge strane, registr</w:t>
      </w:r>
      <w:r w:rsidR="00517A40">
        <w:rPr>
          <w:sz w:val="22"/>
          <w:szCs w:val="22"/>
        </w:rPr>
        <w:t>iran</w:t>
      </w:r>
      <w:r w:rsidRPr="00155F80">
        <w:rPr>
          <w:sz w:val="22"/>
          <w:szCs w:val="22"/>
        </w:rPr>
        <w:t xml:space="preserve"> je porast broja kućnih posjeta medicinskih sestara/tehničara (2010.</w:t>
      </w:r>
      <w:r>
        <w:rPr>
          <w:sz w:val="22"/>
          <w:szCs w:val="22"/>
        </w:rPr>
        <w:t xml:space="preserve"> </w:t>
      </w:r>
      <w:r w:rsidRPr="00155F80">
        <w:rPr>
          <w:sz w:val="22"/>
          <w:szCs w:val="22"/>
        </w:rPr>
        <w:t xml:space="preserve">godine: 19,7%;  2015. godine: 23,1%). </w:t>
      </w:r>
    </w:p>
    <w:p w:rsidR="00D878AE" w:rsidRPr="00155F80" w:rsidRDefault="00D878AE" w:rsidP="003E3695">
      <w:pPr>
        <w:pStyle w:val="refererere"/>
        <w:jc w:val="left"/>
      </w:pPr>
      <w:r w:rsidRPr="00155F80">
        <w:t>Grafikon 105: P</w:t>
      </w:r>
      <w:r w:rsidR="00517A40">
        <w:t>rocent</w:t>
      </w:r>
      <w:r w:rsidRPr="00155F80">
        <w:t xml:space="preserve"> kućnih posjeta zdravstvenih </w:t>
      </w:r>
      <w:r w:rsidR="00950A64">
        <w:t>radnika</w:t>
      </w:r>
      <w:r w:rsidRPr="00155F80">
        <w:t xml:space="preserve"> u odnosu na prve posjete u Federaciji BiH, </w:t>
      </w:r>
      <w:r w:rsidR="00F70FD4">
        <w:t>period</w:t>
      </w:r>
      <w:r w:rsidRPr="00155F80">
        <w:t xml:space="preserve"> 2010</w:t>
      </w:r>
      <w:r>
        <w:t>.</w:t>
      </w:r>
      <w:r w:rsidRPr="00155F80">
        <w:t>-2015. godina</w:t>
      </w:r>
      <w:r w:rsidRPr="00155F80">
        <w:rPr>
          <w:noProof/>
          <w:lang w:eastAsia="en-GB"/>
        </w:rPr>
        <w:drawing>
          <wp:inline distT="0" distB="0" distL="0" distR="0" wp14:anchorId="6B21D894" wp14:editId="0C7E9137">
            <wp:extent cx="5699760" cy="1876425"/>
            <wp:effectExtent l="0" t="0" r="15240" b="9525"/>
            <wp:docPr id="14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Stomatološka zaštita</w:t>
      </w:r>
    </w:p>
    <w:p w:rsidR="00D878AE" w:rsidRPr="00155F80" w:rsidRDefault="00D878AE" w:rsidP="00D878AE">
      <w:pPr>
        <w:pStyle w:val="Tekst0"/>
        <w:spacing w:line="276" w:lineRule="auto"/>
        <w:rPr>
          <w:sz w:val="22"/>
          <w:szCs w:val="22"/>
        </w:rPr>
      </w:pPr>
      <w:r w:rsidRPr="00155F80">
        <w:rPr>
          <w:sz w:val="22"/>
          <w:szCs w:val="22"/>
        </w:rPr>
        <w:t>Stanovništvo u FBIH je stomatološku zaštitu u 2015. godini os</w:t>
      </w:r>
      <w:r w:rsidR="00D21A46">
        <w:rPr>
          <w:sz w:val="22"/>
          <w:szCs w:val="22"/>
        </w:rPr>
        <w:t>materija</w:t>
      </w:r>
      <w:r w:rsidRPr="00155F80">
        <w:rPr>
          <w:sz w:val="22"/>
          <w:szCs w:val="22"/>
        </w:rPr>
        <w:t xml:space="preserve">ivalo u okviru 270 </w:t>
      </w:r>
      <w:r w:rsidR="00517A40">
        <w:rPr>
          <w:sz w:val="22"/>
          <w:szCs w:val="22"/>
        </w:rPr>
        <w:t>zemljopisnih</w:t>
      </w:r>
      <w:r w:rsidRPr="00155F80">
        <w:rPr>
          <w:sz w:val="22"/>
          <w:szCs w:val="22"/>
        </w:rPr>
        <w:t xml:space="preserve"> lokacija/stomatoloških ambulanti u javnom sektoru, što predstavlja povećanje broja ambulanti za 20,5% u odnosu na 2010. godinu.  </w:t>
      </w:r>
    </w:p>
    <w:p w:rsidR="00D878AE" w:rsidRPr="00155F80" w:rsidRDefault="00D878AE" w:rsidP="00D878AE">
      <w:pPr>
        <w:pStyle w:val="Tekst0"/>
        <w:spacing w:line="276" w:lineRule="auto"/>
        <w:rPr>
          <w:sz w:val="22"/>
          <w:szCs w:val="22"/>
        </w:rPr>
      </w:pPr>
      <w:r w:rsidRPr="00155F80">
        <w:rPr>
          <w:sz w:val="22"/>
          <w:szCs w:val="22"/>
        </w:rPr>
        <w:t>Slično predhodnim godinama, stomatološku zaštitu u Federaciji BiH je o</w:t>
      </w:r>
      <w:r w:rsidR="00517A40">
        <w:rPr>
          <w:sz w:val="22"/>
          <w:szCs w:val="22"/>
        </w:rPr>
        <w:t>siguravalo</w:t>
      </w:r>
      <w:r w:rsidRPr="00155F80">
        <w:rPr>
          <w:sz w:val="22"/>
          <w:szCs w:val="22"/>
        </w:rPr>
        <w:t xml:space="preserve"> 559 doktora stomatologije (24/100</w:t>
      </w:r>
      <w:r>
        <w:rPr>
          <w:sz w:val="22"/>
          <w:szCs w:val="22"/>
        </w:rPr>
        <w:t>.</w:t>
      </w:r>
      <w:r w:rsidRPr="00155F80">
        <w:rPr>
          <w:sz w:val="22"/>
          <w:szCs w:val="22"/>
        </w:rPr>
        <w:t xml:space="preserve">000 stanovnika) i 671 stomatoloških sestara/tehničara (29/100.000). Prisutne su razlike u dostupnosti stomatološke zaštite po kantonima FBiH. Tako je i u 2015. godini najveći broj doktora stomatologije bio u Kantonu Sarajevo (50/100.000), a najmanji u Zeničko-dobojskom kantonu (12/100.000). </w:t>
      </w:r>
    </w:p>
    <w:p w:rsidR="00D878AE" w:rsidRDefault="00D878AE" w:rsidP="00D878AE">
      <w:pPr>
        <w:pStyle w:val="TekstCharChar1"/>
        <w:spacing w:line="276" w:lineRule="auto"/>
        <w:rPr>
          <w:rFonts w:ascii="Times New Roman" w:hAnsi="Times New Roman"/>
          <w:color w:val="000000"/>
          <w:szCs w:val="22"/>
          <w:lang w:val="bs-Latn-BA"/>
        </w:rPr>
      </w:pPr>
      <w:r w:rsidRPr="00155F80">
        <w:rPr>
          <w:rFonts w:ascii="Times New Roman" w:hAnsi="Times New Roman"/>
          <w:szCs w:val="22"/>
        </w:rPr>
        <w:t xml:space="preserve">U </w:t>
      </w:r>
      <w:r w:rsidR="00517A40">
        <w:rPr>
          <w:rFonts w:ascii="Times New Roman" w:hAnsi="Times New Roman"/>
          <w:szCs w:val="22"/>
        </w:rPr>
        <w:t>usporedbi</w:t>
      </w:r>
      <w:r w:rsidRPr="00155F80">
        <w:rPr>
          <w:rFonts w:ascii="Times New Roman" w:hAnsi="Times New Roman"/>
          <w:szCs w:val="22"/>
        </w:rPr>
        <w:t xml:space="preserve"> sa 2010. godinom, zapošljavanjem novih doktora stomatologije je </w:t>
      </w:r>
      <w:r>
        <w:rPr>
          <w:rFonts w:ascii="Times New Roman" w:hAnsi="Times New Roman"/>
          <w:color w:val="000000"/>
          <w:szCs w:val="22"/>
          <w:lang w:val="bs-Latn-BA"/>
        </w:rPr>
        <w:t xml:space="preserve">značajno </w:t>
      </w:r>
      <w:r w:rsidR="00512E30">
        <w:rPr>
          <w:rFonts w:ascii="Times New Roman" w:hAnsi="Times New Roman"/>
          <w:color w:val="000000"/>
          <w:szCs w:val="22"/>
          <w:lang w:val="bs-Latn-BA"/>
        </w:rPr>
        <w:t>obolijevanje</w:t>
      </w:r>
      <w:r w:rsidRPr="00155F80">
        <w:rPr>
          <w:rFonts w:ascii="Times New Roman" w:hAnsi="Times New Roman"/>
          <w:color w:val="000000"/>
          <w:szCs w:val="22"/>
          <w:lang w:val="bs-Latn-BA"/>
        </w:rPr>
        <w:t>jšana dostupnost stomatološke zaštite</w:t>
      </w:r>
      <w:r w:rsidRPr="00155F80">
        <w:rPr>
          <w:rFonts w:ascii="Times New Roman" w:hAnsi="Times New Roman"/>
          <w:szCs w:val="22"/>
        </w:rPr>
        <w:t xml:space="preserve"> na području Srednjebosanskog kantona, </w:t>
      </w:r>
      <w:r w:rsidRPr="00155F80">
        <w:rPr>
          <w:rFonts w:ascii="Times New Roman" w:hAnsi="Times New Roman"/>
          <w:color w:val="000000"/>
          <w:szCs w:val="22"/>
          <w:lang w:val="bs-Latn-BA"/>
        </w:rPr>
        <w:t>Tuzlanskog, Posavskog i Bosansko-podrinjskog kantona.</w:t>
      </w:r>
    </w:p>
    <w:p w:rsidR="00D878AE" w:rsidRPr="00155F80" w:rsidRDefault="00D878AE" w:rsidP="00D878AE">
      <w:pPr>
        <w:pStyle w:val="TekstCharChar1"/>
        <w:spacing w:before="0" w:line="276" w:lineRule="auto"/>
        <w:rPr>
          <w:rFonts w:ascii="Times New Roman" w:hAnsi="Times New Roman"/>
          <w:color w:val="000000"/>
          <w:szCs w:val="22"/>
          <w:lang w:val="bs-Latn-BA"/>
        </w:rPr>
      </w:pPr>
    </w:p>
    <w:p w:rsidR="00D878AE" w:rsidRPr="00155F80" w:rsidRDefault="00D878AE" w:rsidP="003E3695">
      <w:pPr>
        <w:pStyle w:val="refererere"/>
        <w:rPr>
          <w:highlight w:val="yellow"/>
        </w:rPr>
      </w:pPr>
      <w:r w:rsidRPr="00155F80">
        <w:t xml:space="preserve">Grafikon 106: Doktori stomatologije u PZZ </w:t>
      </w:r>
      <w:r>
        <w:t>u Federaciji BiH , 2010. i 2015</w:t>
      </w:r>
      <w:r w:rsidRPr="00155F80">
        <w:t>.godina, stopa na 100.000 stanovnika</w:t>
      </w:r>
      <w:r w:rsidRPr="00155F80">
        <w:rPr>
          <w:noProof/>
          <w:lang w:eastAsia="en-GB"/>
        </w:rPr>
        <w:drawing>
          <wp:inline distT="0" distB="0" distL="0" distR="0" wp14:anchorId="6E95B096" wp14:editId="7FA460E0">
            <wp:extent cx="5770880" cy="2333625"/>
            <wp:effectExtent l="0" t="0" r="1270" b="9525"/>
            <wp:docPr id="14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75440C" w:rsidRPr="0075440C" w:rsidRDefault="00D878AE" w:rsidP="0075440C">
      <w:pPr>
        <w:pStyle w:val="TekstCharChar1"/>
        <w:spacing w:after="240" w:line="276" w:lineRule="auto"/>
        <w:jc w:val="left"/>
        <w:rPr>
          <w:rFonts w:ascii="Times New Roman" w:hAnsi="Times New Roman"/>
          <w:szCs w:val="22"/>
        </w:rPr>
      </w:pPr>
      <w:r w:rsidRPr="00155F80">
        <w:rPr>
          <w:rFonts w:ascii="Times New Roman" w:hAnsi="Times New Roman"/>
          <w:szCs w:val="22"/>
          <w:lang w:val="bs-Latn-BA"/>
        </w:rPr>
        <w:t xml:space="preserve">Na jednog doktora stomatologije je u FBiH u 2015. godini u prosjeku dolazilo 4.176 stanovnika sa </w:t>
      </w:r>
      <w:r w:rsidRPr="00155F80">
        <w:rPr>
          <w:rFonts w:ascii="Times New Roman" w:hAnsi="Times New Roman"/>
          <w:szCs w:val="22"/>
        </w:rPr>
        <w:t>najvećim  brojem stanovnika po jednom doktoru u Zeničko-dobojskom kantonu, a najmanjim u Kantonu Sarajevo.</w:t>
      </w:r>
    </w:p>
    <w:p w:rsidR="00D878AE" w:rsidRPr="00155F80" w:rsidRDefault="00D878AE" w:rsidP="00D878AE">
      <w:pPr>
        <w:pStyle w:val="refererere"/>
      </w:pPr>
      <w:r w:rsidRPr="00155F80">
        <w:t>Grafikon 107: Broj stanovnika po doktoru stomatologije u Federaciji BiH, 2010. i 2015.godina</w:t>
      </w:r>
    </w:p>
    <w:p w:rsidR="00D878AE" w:rsidRPr="00155F80" w:rsidRDefault="00D878AE" w:rsidP="003066C2">
      <w:pPr>
        <w:pStyle w:val="grafikon"/>
      </w:pPr>
      <w:r w:rsidRPr="00155F80">
        <w:rPr>
          <w:lang w:val="en-GB" w:eastAsia="en-GB"/>
        </w:rPr>
        <w:drawing>
          <wp:inline distT="0" distB="0" distL="0" distR="0" wp14:anchorId="60257147" wp14:editId="17778D08">
            <wp:extent cx="5676265" cy="2486025"/>
            <wp:effectExtent l="0" t="0" r="635" b="9525"/>
            <wp:docPr id="1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Prema </w:t>
      </w:r>
      <w:r w:rsidR="002B489B">
        <w:rPr>
          <w:sz w:val="22"/>
          <w:szCs w:val="22"/>
        </w:rPr>
        <w:t>podaci</w:t>
      </w:r>
      <w:r w:rsidRPr="00155F80">
        <w:rPr>
          <w:sz w:val="22"/>
          <w:szCs w:val="22"/>
        </w:rPr>
        <w:t xml:space="preserve">ma </w:t>
      </w:r>
      <w:r w:rsidR="002B489B">
        <w:rPr>
          <w:sz w:val="22"/>
          <w:szCs w:val="22"/>
        </w:rPr>
        <w:t>redovne</w:t>
      </w:r>
      <w:r w:rsidRPr="00155F80">
        <w:rPr>
          <w:sz w:val="22"/>
          <w:szCs w:val="22"/>
        </w:rPr>
        <w:t xml:space="preserve"> statistike, po jednom doktoru stomatologije je u Federaciji BiH u 2015. godini u prosjeku os</w:t>
      </w:r>
      <w:r w:rsidR="00D21A46">
        <w:rPr>
          <w:sz w:val="22"/>
          <w:szCs w:val="22"/>
        </w:rPr>
        <w:t>materija</w:t>
      </w:r>
      <w:r w:rsidRPr="00155F80">
        <w:rPr>
          <w:sz w:val="22"/>
          <w:szCs w:val="22"/>
        </w:rPr>
        <w:t xml:space="preserve">eno 8,2 posjeta dnevno. </w:t>
      </w:r>
    </w:p>
    <w:p w:rsidR="0069577B" w:rsidRPr="003C0D4E" w:rsidRDefault="00D878AE" w:rsidP="0075440C">
      <w:pPr>
        <w:pStyle w:val="Tekst0"/>
        <w:spacing w:after="240" w:line="276" w:lineRule="auto"/>
        <w:rPr>
          <w:sz w:val="22"/>
          <w:szCs w:val="22"/>
        </w:rPr>
      </w:pPr>
      <w:r w:rsidRPr="00155F80">
        <w:rPr>
          <w:sz w:val="22"/>
          <w:szCs w:val="22"/>
        </w:rPr>
        <w:t xml:space="preserve">Kao i prethodnih godina, prosječan broj posjeta doktoru stomatologije po jednom stanovniku </w:t>
      </w:r>
      <w:r>
        <w:rPr>
          <w:sz w:val="22"/>
          <w:szCs w:val="22"/>
        </w:rPr>
        <w:t xml:space="preserve">u javnom sektoru </w:t>
      </w:r>
      <w:r w:rsidRPr="00155F80">
        <w:rPr>
          <w:sz w:val="22"/>
          <w:szCs w:val="22"/>
        </w:rPr>
        <w:t>u Federaciji BiH u 2015. godini je iznosio samo 0,5, te je bio veoma nizak u svim kantonima, sa najvećim brojem posjeta je os</w:t>
      </w:r>
      <w:r w:rsidR="00D21A46">
        <w:rPr>
          <w:sz w:val="22"/>
          <w:szCs w:val="22"/>
        </w:rPr>
        <w:t>materija</w:t>
      </w:r>
      <w:r w:rsidRPr="00155F80">
        <w:rPr>
          <w:sz w:val="22"/>
          <w:szCs w:val="22"/>
        </w:rPr>
        <w:t>enim u Kantonu Sarajevo i Bosansko-podrinjskom kantonu (0,9 posjeta).</w:t>
      </w:r>
      <w:r>
        <w:rPr>
          <w:sz w:val="22"/>
          <w:szCs w:val="22"/>
        </w:rPr>
        <w:t xml:space="preserve"> </w:t>
      </w:r>
    </w:p>
    <w:p w:rsidR="00D878AE" w:rsidRPr="00155F80" w:rsidRDefault="00D878AE" w:rsidP="00D878AE">
      <w:pPr>
        <w:pStyle w:val="refererere"/>
      </w:pPr>
      <w:r w:rsidRPr="00155F80">
        <w:t>Grafikon 108: Prosječan broj posjeta doktoru stomatologije po jednom stanovniku u Federaciji BiH, 2010. i 2015.godina</w:t>
      </w:r>
    </w:p>
    <w:p w:rsidR="00D878AE" w:rsidRPr="00155F80" w:rsidRDefault="00D878AE" w:rsidP="00D878AE">
      <w:pPr>
        <w:spacing w:after="200" w:line="276" w:lineRule="auto"/>
        <w:jc w:val="center"/>
        <w:rPr>
          <w:rFonts w:ascii="Times New Roman" w:hAnsi="Times New Roman"/>
          <w:lang w:val="bs-Latn-BA"/>
        </w:rPr>
      </w:pPr>
      <w:r w:rsidRPr="00155F80">
        <w:rPr>
          <w:rFonts w:ascii="Times New Roman" w:hAnsi="Times New Roman"/>
          <w:noProof/>
          <w:lang w:eastAsia="en-GB"/>
        </w:rPr>
        <w:drawing>
          <wp:inline distT="0" distB="0" distL="0" distR="0" wp14:anchorId="606A3662" wp14:editId="65B53C92">
            <wp:extent cx="5617028" cy="2683823"/>
            <wp:effectExtent l="0" t="0" r="3175" b="2540"/>
            <wp:docPr id="1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U promatranom </w:t>
      </w:r>
      <w:r w:rsidR="00F70FD4">
        <w:rPr>
          <w:sz w:val="22"/>
          <w:szCs w:val="22"/>
        </w:rPr>
        <w:t>periodu</w:t>
      </w:r>
      <w:r w:rsidRPr="00155F80">
        <w:rPr>
          <w:sz w:val="22"/>
          <w:szCs w:val="22"/>
        </w:rPr>
        <w:t xml:space="preserve"> je bio nezadovoljavajući odnos plombiranih i izvađenih zuba, tako je u prosjeku na jednu uslugu plombiranja stalnih zuba u 2015. godini bilo 0,8 izvađenih zuba.</w:t>
      </w:r>
    </w:p>
    <w:p w:rsidR="00D878AE" w:rsidRPr="00155F80" w:rsidRDefault="00D878AE" w:rsidP="00D878AE">
      <w:pPr>
        <w:pStyle w:val="Tekst0"/>
        <w:spacing w:line="276" w:lineRule="auto"/>
        <w:rPr>
          <w:sz w:val="22"/>
          <w:szCs w:val="22"/>
        </w:rPr>
      </w:pPr>
      <w:r w:rsidRPr="00155F80">
        <w:rPr>
          <w:sz w:val="22"/>
          <w:szCs w:val="22"/>
        </w:rPr>
        <w:t>Rezultati istraživanja su pokazali da je najveći p</w:t>
      </w:r>
      <w:r w:rsidR="00517A40">
        <w:rPr>
          <w:sz w:val="22"/>
          <w:szCs w:val="22"/>
        </w:rPr>
        <w:t>rocenat</w:t>
      </w:r>
      <w:r w:rsidRPr="00155F80">
        <w:rPr>
          <w:sz w:val="22"/>
          <w:szCs w:val="22"/>
        </w:rPr>
        <w:t xml:space="preserve"> stanovnika u FBiH posjetio doktora stomatologije u javnom sektoru prije više od godinu dana (64,2%), četvrtina stanovnika (25,0%) je bila kod doktora stomatologije </w:t>
      </w:r>
      <w:r w:rsidR="00F0369C">
        <w:rPr>
          <w:sz w:val="22"/>
          <w:szCs w:val="22"/>
        </w:rPr>
        <w:t>tokom</w:t>
      </w:r>
      <w:r w:rsidRPr="00155F80">
        <w:rPr>
          <w:sz w:val="22"/>
          <w:szCs w:val="22"/>
        </w:rPr>
        <w:t xml:space="preserve"> prethodnih 12 mjeseci, a svega  6,5% za vrijeme posljednj</w:t>
      </w:r>
      <w:r w:rsidR="00C861DA">
        <w:rPr>
          <w:sz w:val="22"/>
          <w:szCs w:val="22"/>
        </w:rPr>
        <w:t>a</w:t>
      </w:r>
      <w:r w:rsidRPr="00155F80">
        <w:rPr>
          <w:sz w:val="22"/>
          <w:szCs w:val="22"/>
        </w:rPr>
        <w:t xml:space="preserve"> 4 </w:t>
      </w:r>
      <w:r w:rsidR="00C861DA">
        <w:rPr>
          <w:sz w:val="22"/>
          <w:szCs w:val="22"/>
        </w:rPr>
        <w:t>tjedna</w:t>
      </w:r>
      <w:r w:rsidRPr="00155F80">
        <w:rPr>
          <w:sz w:val="22"/>
          <w:szCs w:val="22"/>
        </w:rPr>
        <w:t>.</w:t>
      </w:r>
    </w:p>
    <w:p w:rsidR="00D878AE" w:rsidRPr="00155F80" w:rsidRDefault="00D878AE" w:rsidP="00D878AE">
      <w:pPr>
        <w:pStyle w:val="Tekst0"/>
        <w:spacing w:line="276" w:lineRule="auto"/>
        <w:rPr>
          <w:sz w:val="22"/>
          <w:szCs w:val="22"/>
          <w:lang w:eastAsia="de-DE"/>
        </w:rPr>
      </w:pPr>
      <w:r w:rsidRPr="00155F80">
        <w:rPr>
          <w:sz w:val="22"/>
          <w:szCs w:val="22"/>
          <w:lang w:eastAsia="de-DE"/>
        </w:rPr>
        <w:t>Glavni razlog posljednje posjete doktoru stomatologije je za najveći broj stanovnika u FBiH bio popravljanje i liječenje zuba ili desni (39,7%) i vađenje zuba (33,5%). Za 17,6% stanovnika su glavni razlog posljednje posjete bili protetski radovi, a preventivni ili kontrolni pregled ili savjet je kao glavni razlog posljednje posjete stomatologu navelo svega 5,6% stanovnika.</w:t>
      </w:r>
      <w:r w:rsidRPr="00155F80">
        <w:rPr>
          <w:color w:val="FF0000"/>
          <w:sz w:val="22"/>
          <w:szCs w:val="22"/>
          <w:lang w:eastAsia="de-DE"/>
        </w:rPr>
        <w:t xml:space="preserve"> </w:t>
      </w:r>
      <w:r w:rsidRPr="00155F80">
        <w:rPr>
          <w:sz w:val="22"/>
          <w:szCs w:val="22"/>
          <w:lang w:eastAsia="de-DE"/>
        </w:rPr>
        <w:t>(</w:t>
      </w:r>
      <w:r w:rsidRPr="00155F80">
        <w:rPr>
          <w:sz w:val="22"/>
          <w:szCs w:val="22"/>
        </w:rPr>
        <w:t>9</w:t>
      </w:r>
      <w:r w:rsidRPr="00155F80">
        <w:rPr>
          <w:sz w:val="22"/>
          <w:szCs w:val="22"/>
          <w:lang w:eastAsia="de-DE"/>
        </w:rPr>
        <w:t>)</w:t>
      </w:r>
    </w:p>
    <w:p w:rsidR="00D878AE" w:rsidRPr="00155F80" w:rsidRDefault="00D878AE" w:rsidP="00D878AE">
      <w:pPr>
        <w:pStyle w:val="Tekst0"/>
        <w:spacing w:line="276" w:lineRule="auto"/>
        <w:rPr>
          <w:sz w:val="22"/>
          <w:szCs w:val="22"/>
          <w:lang w:eastAsia="de-DE"/>
        </w:rPr>
      </w:pPr>
    </w:p>
    <w:p w:rsidR="00D878AE" w:rsidRPr="00155F80" w:rsidRDefault="00517A40" w:rsidP="00D878AE">
      <w:pPr>
        <w:spacing w:line="276" w:lineRule="auto"/>
        <w:rPr>
          <w:rFonts w:ascii="Times New Roman" w:hAnsi="Times New Roman"/>
          <w:b/>
          <w:lang w:val="bs-Latn-BA"/>
        </w:rPr>
      </w:pPr>
      <w:r>
        <w:rPr>
          <w:rFonts w:ascii="Times New Roman" w:hAnsi="Times New Roman"/>
          <w:b/>
          <w:lang w:val="bs-Latn-BA"/>
        </w:rPr>
        <w:t>Ljekarne</w:t>
      </w:r>
    </w:p>
    <w:p w:rsidR="00D878AE" w:rsidRPr="00155F80" w:rsidRDefault="00D878AE" w:rsidP="00D878AE">
      <w:pPr>
        <w:spacing w:line="276" w:lineRule="auto"/>
        <w:rPr>
          <w:rFonts w:ascii="Times New Roman" w:hAnsi="Times New Roman"/>
          <w:lang w:val="bs-Latn-BA"/>
        </w:rPr>
      </w:pP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 xml:space="preserve">Prema </w:t>
      </w:r>
      <w:r w:rsidR="002B489B">
        <w:rPr>
          <w:rFonts w:ascii="Times New Roman" w:hAnsi="Times New Roman"/>
          <w:lang w:val="bs-Latn-BA"/>
        </w:rPr>
        <w:t>podaci</w:t>
      </w:r>
      <w:r w:rsidRPr="00155F80">
        <w:rPr>
          <w:rFonts w:ascii="Times New Roman" w:hAnsi="Times New Roman"/>
          <w:lang w:val="bs-Latn-BA"/>
        </w:rPr>
        <w:t xml:space="preserve">ma </w:t>
      </w:r>
      <w:r w:rsidR="002B489B">
        <w:rPr>
          <w:rFonts w:ascii="Times New Roman" w:hAnsi="Times New Roman"/>
          <w:lang w:val="bs-Latn-BA"/>
        </w:rPr>
        <w:t>redovne</w:t>
      </w:r>
      <w:r w:rsidRPr="00155F80">
        <w:rPr>
          <w:rFonts w:ascii="Times New Roman" w:hAnsi="Times New Roman"/>
          <w:lang w:val="bs-Latn-BA"/>
        </w:rPr>
        <w:t xml:space="preserve"> zdravstvene statistike u Federaciji BiH je u 2015. godini bilo 58 samostalnih </w:t>
      </w:r>
      <w:r w:rsidR="00517A40">
        <w:rPr>
          <w:rFonts w:ascii="Times New Roman" w:hAnsi="Times New Roman"/>
          <w:lang w:val="bs-Latn-BA"/>
        </w:rPr>
        <w:t>ljekarni</w:t>
      </w:r>
      <w:r w:rsidRPr="00155F80">
        <w:rPr>
          <w:rFonts w:ascii="Times New Roman" w:hAnsi="Times New Roman"/>
          <w:lang w:val="bs-Latn-BA"/>
        </w:rPr>
        <w:t xml:space="preserve"> u javnom sektoru u kojima je radilo 310 magistara farmacije  (13/100.000)  i 328 farmaceutskih tehničara (14/100.000), sa napomenom da nedostaju </w:t>
      </w:r>
      <w:r w:rsidR="002B489B">
        <w:rPr>
          <w:rFonts w:ascii="Times New Roman" w:hAnsi="Times New Roman"/>
          <w:lang w:val="bs-Latn-BA"/>
        </w:rPr>
        <w:t>podaci</w:t>
      </w:r>
      <w:r w:rsidRPr="00155F80">
        <w:rPr>
          <w:rFonts w:ascii="Times New Roman" w:hAnsi="Times New Roman"/>
          <w:lang w:val="bs-Latn-BA"/>
        </w:rPr>
        <w:t xml:space="preserve"> za Zapadnohe</w:t>
      </w:r>
      <w:r>
        <w:rPr>
          <w:rFonts w:ascii="Times New Roman" w:hAnsi="Times New Roman"/>
          <w:lang w:val="bs-Latn-BA"/>
        </w:rPr>
        <w:t xml:space="preserve">rcegovački kanton i Kanton 10. </w:t>
      </w:r>
    </w:p>
    <w:p w:rsidR="00D878AE" w:rsidRPr="00C11A27" w:rsidRDefault="00D878AE" w:rsidP="00D878AE">
      <w:pPr>
        <w:spacing w:line="276" w:lineRule="auto"/>
        <w:rPr>
          <w:rFonts w:ascii="Times New Roman" w:hAnsi="Times New Roman"/>
          <w:lang w:val="bs-Latn-BA"/>
        </w:rPr>
      </w:pPr>
    </w:p>
    <w:p w:rsidR="00D878AE" w:rsidRPr="00155F80" w:rsidRDefault="00D878AE" w:rsidP="00D878AE">
      <w:pPr>
        <w:pStyle w:val="Poglavlje2"/>
        <w:spacing w:line="276" w:lineRule="auto"/>
      </w:pPr>
      <w:bookmarkStart w:id="345" w:name="_Toc460929220"/>
      <w:r w:rsidRPr="00155F80">
        <w:t>5.3 Specijalističko-</w:t>
      </w:r>
      <w:r w:rsidR="00D21A46">
        <w:t>konsultativna</w:t>
      </w:r>
      <w:r w:rsidRPr="00155F80">
        <w:t xml:space="preserve"> zaštita</w:t>
      </w:r>
      <w:bookmarkEnd w:id="345"/>
    </w:p>
    <w:p w:rsidR="00D878AE" w:rsidRPr="00155F80" w:rsidRDefault="00D878AE" w:rsidP="00D878AE">
      <w:pPr>
        <w:pStyle w:val="Tekst0"/>
        <w:spacing w:line="276" w:lineRule="auto"/>
        <w:rPr>
          <w:sz w:val="22"/>
          <w:szCs w:val="22"/>
        </w:rPr>
      </w:pPr>
      <w:r w:rsidRPr="00155F80">
        <w:rPr>
          <w:sz w:val="22"/>
          <w:szCs w:val="22"/>
        </w:rPr>
        <w:t>Stanovništvo Federacije BiH je specijalističko-kon</w:t>
      </w:r>
      <w:r w:rsidR="00517A40">
        <w:rPr>
          <w:sz w:val="22"/>
          <w:szCs w:val="22"/>
        </w:rPr>
        <w:t>z</w:t>
      </w:r>
      <w:r w:rsidRPr="00155F80">
        <w:rPr>
          <w:sz w:val="22"/>
          <w:szCs w:val="22"/>
        </w:rPr>
        <w:t>ultativnu zdravstvenu zaštitu u 2015. godini os</w:t>
      </w:r>
      <w:r w:rsidR="00D21A46">
        <w:rPr>
          <w:sz w:val="22"/>
          <w:szCs w:val="22"/>
        </w:rPr>
        <w:t>materija</w:t>
      </w:r>
      <w:r w:rsidRPr="00155F80">
        <w:rPr>
          <w:sz w:val="22"/>
          <w:szCs w:val="22"/>
        </w:rPr>
        <w:t xml:space="preserve">ivalo u okviru 717 mjesta-punktova, što predstavalja smanjenje broja punktova za 5,3% u odnosu na 2010. godinu. </w:t>
      </w: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Slično 2010. godini, specijalističko-kon</w:t>
      </w:r>
      <w:r w:rsidR="00CB5BF5">
        <w:rPr>
          <w:rFonts w:ascii="Times New Roman" w:hAnsi="Times New Roman"/>
          <w:lang w:val="bs-Latn-BA"/>
        </w:rPr>
        <w:t>z</w:t>
      </w:r>
      <w:r w:rsidRPr="00155F80">
        <w:rPr>
          <w:rFonts w:ascii="Times New Roman" w:hAnsi="Times New Roman"/>
          <w:lang w:val="bs-Latn-BA"/>
        </w:rPr>
        <w:t>ultativnu zdravstvenu zaštitu je o</w:t>
      </w:r>
      <w:r w:rsidR="00CB5BF5">
        <w:rPr>
          <w:rFonts w:ascii="Times New Roman" w:hAnsi="Times New Roman"/>
          <w:lang w:val="bs-Latn-BA"/>
        </w:rPr>
        <w:t>siguravalo</w:t>
      </w:r>
      <w:r w:rsidRPr="00155F80">
        <w:rPr>
          <w:rFonts w:ascii="Times New Roman" w:hAnsi="Times New Roman"/>
          <w:lang w:val="bs-Latn-BA"/>
        </w:rPr>
        <w:t xml:space="preserve"> 27,9 doktora medicine na 100.000 stanovnika Federacije BiH, dok je broj medicinskih sestara/tehničara (59,7/100.000) i zdravstvenih </w:t>
      </w:r>
      <w:r>
        <w:rPr>
          <w:rFonts w:ascii="Times New Roman" w:hAnsi="Times New Roman"/>
          <w:lang w:val="bs-Latn-BA"/>
        </w:rPr>
        <w:t>s</w:t>
      </w:r>
      <w:r w:rsidR="00CB5BF5">
        <w:rPr>
          <w:rFonts w:ascii="Times New Roman" w:hAnsi="Times New Roman"/>
          <w:lang w:val="bs-Latn-BA"/>
        </w:rPr>
        <w:t>u</w:t>
      </w:r>
      <w:r>
        <w:rPr>
          <w:rFonts w:ascii="Times New Roman" w:hAnsi="Times New Roman"/>
          <w:lang w:val="bs-Latn-BA"/>
        </w:rPr>
        <w:t>radnika (5,8/100.000) nešto</w:t>
      </w:r>
      <w:r w:rsidRPr="00155F80">
        <w:rPr>
          <w:rFonts w:ascii="Times New Roman" w:hAnsi="Times New Roman"/>
          <w:lang w:val="bs-Latn-BA"/>
        </w:rPr>
        <w:t xml:space="preserve"> povećan.</w:t>
      </w:r>
      <w:r>
        <w:rPr>
          <w:rFonts w:ascii="Times New Roman" w:hAnsi="Times New Roman"/>
          <w:lang w:val="bs-Latn-BA"/>
        </w:rPr>
        <w:t xml:space="preserve"> </w:t>
      </w:r>
    </w:p>
    <w:p w:rsidR="00D878AE" w:rsidRPr="00155F80" w:rsidRDefault="00D878AE" w:rsidP="00D878AE">
      <w:pPr>
        <w:spacing w:line="276" w:lineRule="auto"/>
        <w:rPr>
          <w:rFonts w:ascii="Times New Roman" w:hAnsi="Times New Roman"/>
          <w:noProof/>
          <w:lang w:val="sl-SI"/>
        </w:rPr>
      </w:pPr>
    </w:p>
    <w:p w:rsidR="00D878AE" w:rsidRPr="00155F80" w:rsidRDefault="00D878AE" w:rsidP="00D878AE">
      <w:pPr>
        <w:pStyle w:val="refererere"/>
      </w:pPr>
      <w:r w:rsidRPr="00155F80">
        <w:t xml:space="preserve">Grafikon 109: </w:t>
      </w:r>
      <w:r w:rsidR="00950A64">
        <w:t>Zaposlen</w:t>
      </w:r>
      <w:r w:rsidRPr="00155F80">
        <w:t>i u specijalističko-kon</w:t>
      </w:r>
      <w:r w:rsidR="00CB5BF5">
        <w:t>zu</w:t>
      </w:r>
      <w:r w:rsidRPr="00155F80">
        <w:t>ltativnoj zaštiti u Federaciji BiH, 2010. i 2015. godina, stopa na 100.000 stanovnika</w:t>
      </w:r>
    </w:p>
    <w:p w:rsidR="00D878AE" w:rsidRPr="00155F80" w:rsidRDefault="00D878AE" w:rsidP="00D878AE">
      <w:pPr>
        <w:pStyle w:val="Tekst0"/>
        <w:spacing w:line="276" w:lineRule="auto"/>
        <w:jc w:val="center"/>
        <w:rPr>
          <w:sz w:val="22"/>
          <w:szCs w:val="22"/>
        </w:rPr>
      </w:pPr>
      <w:r w:rsidRPr="00155F80">
        <w:rPr>
          <w:sz w:val="22"/>
          <w:szCs w:val="22"/>
          <w:lang w:val="en-GB" w:eastAsia="en-GB"/>
        </w:rPr>
        <w:drawing>
          <wp:inline distT="0" distB="0" distL="0" distR="0" wp14:anchorId="74E18740" wp14:editId="0B0E96C4">
            <wp:extent cx="5724525" cy="1983740"/>
            <wp:effectExtent l="0" t="0" r="9525" b="16510"/>
            <wp:docPr id="14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D878AE" w:rsidRPr="00155F80" w:rsidRDefault="00D878AE" w:rsidP="00D878AE">
      <w:pPr>
        <w:pStyle w:val="Tekst0"/>
        <w:spacing w:line="276" w:lineRule="auto"/>
        <w:rPr>
          <w:sz w:val="22"/>
          <w:szCs w:val="22"/>
        </w:rPr>
      </w:pPr>
      <w:r w:rsidRPr="00155F80">
        <w:rPr>
          <w:sz w:val="22"/>
          <w:szCs w:val="22"/>
        </w:rPr>
        <w:t>Broj posjeta po stanovniku se u 2015. godini (1,9) nije značajnije razlikovao u odnosu na 2010. godinu (1,8).</w:t>
      </w:r>
    </w:p>
    <w:p w:rsidR="00D878AE" w:rsidRPr="00155F80" w:rsidRDefault="00D878AE" w:rsidP="00D878AE">
      <w:pPr>
        <w:pStyle w:val="Heading2"/>
        <w:spacing w:line="276" w:lineRule="auto"/>
        <w:rPr>
          <w:rFonts w:ascii="Times New Roman" w:hAnsi="Times New Roman" w:cs="Times New Roman"/>
          <w:sz w:val="22"/>
          <w:szCs w:val="22"/>
        </w:rPr>
      </w:pPr>
      <w:bookmarkStart w:id="346" w:name="_Toc390781141"/>
    </w:p>
    <w:p w:rsidR="00D878AE" w:rsidRPr="00155F80" w:rsidRDefault="00D878AE" w:rsidP="00D878AE">
      <w:pPr>
        <w:pStyle w:val="Poglavlje2"/>
        <w:spacing w:line="276" w:lineRule="auto"/>
      </w:pPr>
      <w:bookmarkStart w:id="347" w:name="_Toc460929221"/>
      <w:r w:rsidRPr="00155F80">
        <w:t>5.4  Bolnička zdravstvena zaštita</w:t>
      </w:r>
      <w:bookmarkEnd w:id="346"/>
      <w:bookmarkEnd w:id="347"/>
    </w:p>
    <w:p w:rsidR="00D878AE" w:rsidRPr="00155F80" w:rsidRDefault="00D878AE" w:rsidP="00D878AE">
      <w:pPr>
        <w:pStyle w:val="Tekst0"/>
        <w:spacing w:line="276" w:lineRule="auto"/>
        <w:rPr>
          <w:sz w:val="22"/>
          <w:szCs w:val="22"/>
        </w:rPr>
      </w:pPr>
      <w:r w:rsidRPr="00155F80">
        <w:rPr>
          <w:sz w:val="22"/>
          <w:szCs w:val="22"/>
        </w:rPr>
        <w:t>Stanovništvo Federacije BiH je u 2015. godini bolničku zdravstvenu zaštitu os</w:t>
      </w:r>
      <w:r w:rsidR="00D21A46">
        <w:rPr>
          <w:sz w:val="22"/>
          <w:szCs w:val="22"/>
        </w:rPr>
        <w:t>materija</w:t>
      </w:r>
      <w:r w:rsidRPr="00155F80">
        <w:rPr>
          <w:sz w:val="22"/>
          <w:szCs w:val="22"/>
        </w:rPr>
        <w:t xml:space="preserve">ivalo u 23 bolnice (opće i kantonalne bolnice, klinička bolnica, klinički centri, specijalne bolnice, lječilišta, medicinski centar) u kojima je radilo 49,2% svih doktora medicine i 47,5% svih medicinskih sestara/tehničara, što je bilo slično u promatranom </w:t>
      </w:r>
      <w:r w:rsidR="00F70FD4">
        <w:rPr>
          <w:sz w:val="22"/>
          <w:szCs w:val="22"/>
        </w:rPr>
        <w:t>periodu</w:t>
      </w:r>
      <w:r w:rsidRPr="00155F80">
        <w:rPr>
          <w:sz w:val="22"/>
          <w:szCs w:val="22"/>
        </w:rPr>
        <w:t xml:space="preserve">. </w:t>
      </w:r>
    </w:p>
    <w:p w:rsidR="00D878AE" w:rsidRPr="00155F80" w:rsidRDefault="00D878AE" w:rsidP="00D878AE">
      <w:pPr>
        <w:pStyle w:val="Tekst0"/>
        <w:spacing w:line="276" w:lineRule="auto"/>
        <w:rPr>
          <w:sz w:val="22"/>
          <w:szCs w:val="22"/>
        </w:rPr>
      </w:pPr>
      <w:r w:rsidRPr="00155F80">
        <w:rPr>
          <w:sz w:val="22"/>
          <w:szCs w:val="22"/>
        </w:rPr>
        <w:t xml:space="preserve">Na 100.000 stanovnika je u 2015. godini u bolnicama radilo 100 doktora medicine i 269 medicinskih sestara/tehničara, </w:t>
      </w:r>
      <w:r>
        <w:rPr>
          <w:sz w:val="22"/>
          <w:szCs w:val="22"/>
        </w:rPr>
        <w:t xml:space="preserve">a </w:t>
      </w:r>
      <w:r w:rsidRPr="00155F80">
        <w:rPr>
          <w:sz w:val="22"/>
          <w:szCs w:val="22"/>
        </w:rPr>
        <w:t>na jednog doktora medicine u prosjeku</w:t>
      </w:r>
      <w:r>
        <w:rPr>
          <w:sz w:val="22"/>
          <w:szCs w:val="22"/>
        </w:rPr>
        <w:t xml:space="preserve"> je</w:t>
      </w:r>
      <w:r w:rsidRPr="00155F80">
        <w:rPr>
          <w:sz w:val="22"/>
          <w:szCs w:val="22"/>
        </w:rPr>
        <w:t xml:space="preserve"> radilo 2,8 medicinskih sestara/tehničara.</w:t>
      </w:r>
    </w:p>
    <w:p w:rsidR="00D878AE" w:rsidRDefault="00D878AE" w:rsidP="003E3695">
      <w:pPr>
        <w:pStyle w:val="Tekst0"/>
        <w:spacing w:before="0" w:line="276" w:lineRule="auto"/>
        <w:rPr>
          <w:sz w:val="22"/>
          <w:szCs w:val="22"/>
        </w:rPr>
      </w:pPr>
      <w:r w:rsidRPr="00155F80">
        <w:rPr>
          <w:sz w:val="22"/>
          <w:szCs w:val="22"/>
        </w:rPr>
        <w:t xml:space="preserve">U Fedaraciji BiH je u 2015. godini na 1.000 stanovnika bilo 3,6 postelja, što se nije značajnije promijenilo u odnosu na prethodne godine.  </w:t>
      </w:r>
    </w:p>
    <w:p w:rsidR="00D878AE" w:rsidRPr="00155F80" w:rsidRDefault="00D878AE" w:rsidP="00D878AE">
      <w:pPr>
        <w:pStyle w:val="Tekst0"/>
        <w:spacing w:line="276" w:lineRule="auto"/>
        <w:rPr>
          <w:sz w:val="22"/>
          <w:szCs w:val="22"/>
        </w:rPr>
      </w:pPr>
    </w:p>
    <w:p w:rsidR="00D878AE" w:rsidRPr="00155F80" w:rsidRDefault="00D878AE" w:rsidP="00D878AE">
      <w:pPr>
        <w:pStyle w:val="refererere"/>
      </w:pPr>
      <w:r w:rsidRPr="00155F80">
        <w:t xml:space="preserve">Grafikon 110: Broj postelja u Federaciji BiH, </w:t>
      </w:r>
      <w:r w:rsidR="00F70FD4">
        <w:t>period</w:t>
      </w:r>
      <w:r w:rsidRPr="00155F80">
        <w:t xml:space="preserve"> 2010.-2015. godina, stopa  na 1.000 stanovnika</w:t>
      </w:r>
    </w:p>
    <w:p w:rsidR="00D878AE" w:rsidRPr="00155F80" w:rsidRDefault="00D878AE" w:rsidP="00D878AE">
      <w:pPr>
        <w:spacing w:line="276" w:lineRule="auto"/>
        <w:jc w:val="center"/>
        <w:rPr>
          <w:rFonts w:ascii="Times New Roman" w:hAnsi="Times New Roman"/>
          <w:lang w:val="bs-Latn-BA"/>
        </w:rPr>
      </w:pPr>
      <w:r w:rsidRPr="00155F80">
        <w:rPr>
          <w:rFonts w:ascii="Times New Roman" w:hAnsi="Times New Roman"/>
          <w:noProof/>
          <w:lang w:eastAsia="en-GB"/>
        </w:rPr>
        <w:drawing>
          <wp:inline distT="0" distB="0" distL="0" distR="0" wp14:anchorId="49BAA210" wp14:editId="17E816E2">
            <wp:extent cx="5795010" cy="1662545"/>
            <wp:effectExtent l="0" t="0" r="15240" b="13970"/>
            <wp:docPr id="1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D878AE" w:rsidRPr="00155F80" w:rsidRDefault="00D878AE" w:rsidP="00D878AE">
      <w:pPr>
        <w:spacing w:line="276" w:lineRule="auto"/>
        <w:rPr>
          <w:rFonts w:ascii="Times New Roman" w:hAnsi="Times New Roman"/>
          <w:lang w:val="bs-Latn-BA"/>
        </w:rPr>
      </w:pPr>
    </w:p>
    <w:p w:rsidR="00D878AE" w:rsidRDefault="002B489B" w:rsidP="00D878AE">
      <w:pPr>
        <w:spacing w:line="276" w:lineRule="auto"/>
        <w:rPr>
          <w:rFonts w:ascii="Times New Roman" w:hAnsi="Times New Roman"/>
          <w:lang w:val="bs-Latn-BA"/>
        </w:rPr>
      </w:pPr>
      <w:r>
        <w:rPr>
          <w:rFonts w:ascii="Times New Roman" w:hAnsi="Times New Roman"/>
          <w:lang w:val="bs-Latn-BA"/>
        </w:rPr>
        <w:t>Podaci</w:t>
      </w:r>
      <w:r w:rsidR="00D878AE" w:rsidRPr="00155F80">
        <w:rPr>
          <w:rFonts w:ascii="Times New Roman" w:hAnsi="Times New Roman"/>
          <w:lang w:val="bs-Latn-BA"/>
        </w:rPr>
        <w:t xml:space="preserve"> pokazuju da Federacija BiH ima značajno manje postelja (360/100.000) u </w:t>
      </w:r>
      <w:r w:rsidR="00CB5BF5">
        <w:rPr>
          <w:rFonts w:ascii="Times New Roman" w:hAnsi="Times New Roman"/>
          <w:lang w:val="bs-Latn-BA"/>
        </w:rPr>
        <w:t>usporedbi</w:t>
      </w:r>
      <w:r w:rsidR="00D878AE" w:rsidRPr="00155F80">
        <w:rPr>
          <w:rFonts w:ascii="Times New Roman" w:hAnsi="Times New Roman"/>
          <w:lang w:val="bs-Latn-BA"/>
        </w:rPr>
        <w:t xml:space="preserve"> s prosjekom </w:t>
      </w:r>
      <w:r w:rsidR="00CB5BF5">
        <w:rPr>
          <w:rFonts w:ascii="Times New Roman" w:hAnsi="Times New Roman"/>
          <w:lang w:val="bs-Latn-BA"/>
        </w:rPr>
        <w:t>europske</w:t>
      </w:r>
      <w:r w:rsidR="00D878AE" w:rsidRPr="00155F80">
        <w:rPr>
          <w:rFonts w:ascii="Times New Roman" w:hAnsi="Times New Roman"/>
          <w:lang w:val="bs-Latn-BA"/>
        </w:rPr>
        <w:t xml:space="preserve"> </w:t>
      </w:r>
      <w:r w:rsidR="00CB5BF5">
        <w:rPr>
          <w:rFonts w:ascii="Times New Roman" w:hAnsi="Times New Roman"/>
          <w:lang w:val="bs-Latn-BA"/>
        </w:rPr>
        <w:t>regije</w:t>
      </w:r>
      <w:r w:rsidR="00D878AE" w:rsidRPr="00155F80">
        <w:rPr>
          <w:rFonts w:ascii="Times New Roman" w:hAnsi="Times New Roman"/>
          <w:lang w:val="bs-Latn-BA"/>
        </w:rPr>
        <w:t xml:space="preserve"> (567/100.000) kao i u odnosu na odabrane zemlje u </w:t>
      </w:r>
      <w:r w:rsidR="00D878AE" w:rsidRPr="003C0D4E">
        <w:rPr>
          <w:rFonts w:ascii="Times New Roman" w:hAnsi="Times New Roman"/>
          <w:lang w:val="bs-Latn-BA"/>
        </w:rPr>
        <w:t>okruženju</w:t>
      </w:r>
      <w:r w:rsidR="00D878AE">
        <w:rPr>
          <w:rFonts w:ascii="Times New Roman" w:hAnsi="Times New Roman"/>
          <w:lang w:val="bs-Latn-BA"/>
        </w:rPr>
        <w:t>.</w:t>
      </w:r>
      <w:r w:rsidR="00D878AE" w:rsidRPr="003C0D4E">
        <w:rPr>
          <w:rFonts w:ascii="Times New Roman" w:hAnsi="Times New Roman"/>
          <w:lang w:val="bs-Latn-BA"/>
        </w:rPr>
        <w:t xml:space="preserve"> (2)</w:t>
      </w:r>
      <w:r w:rsidR="00D878AE">
        <w:rPr>
          <w:rFonts w:ascii="Times New Roman" w:hAnsi="Times New Roman"/>
          <w:lang w:val="bs-Latn-BA"/>
        </w:rPr>
        <w:t xml:space="preserve"> </w:t>
      </w:r>
    </w:p>
    <w:p w:rsidR="00D878AE" w:rsidRPr="00155F80" w:rsidRDefault="00D878AE" w:rsidP="00D878AE">
      <w:pPr>
        <w:spacing w:line="276" w:lineRule="auto"/>
        <w:rPr>
          <w:rFonts w:ascii="Times New Roman" w:hAnsi="Times New Roman"/>
          <w:iCs/>
          <w:noProof/>
          <w:lang w:val="bs-Latn-BA" w:eastAsia="bs-Latn-BA"/>
        </w:rPr>
      </w:pPr>
    </w:p>
    <w:p w:rsidR="00D878AE" w:rsidRPr="00155F80" w:rsidRDefault="00D878AE" w:rsidP="00D878AE">
      <w:pPr>
        <w:pStyle w:val="refererere"/>
      </w:pPr>
      <w:r w:rsidRPr="00155F80">
        <w:t xml:space="preserve">Grafikon 111: Broj postelja u odabranim zemljama </w:t>
      </w:r>
      <w:r w:rsidR="00CB5BF5">
        <w:t>europske regije</w:t>
      </w:r>
      <w:r w:rsidRPr="00155F80">
        <w:t>, stopa na 100.000 stanovnika</w:t>
      </w:r>
      <w:r w:rsidRPr="00155F80">
        <w:rPr>
          <w:noProof/>
          <w:lang w:eastAsia="en-GB"/>
        </w:rPr>
        <w:drawing>
          <wp:inline distT="0" distB="0" distL="0" distR="0" wp14:anchorId="3DC29220" wp14:editId="6C6CAE0A">
            <wp:extent cx="5676265" cy="1888177"/>
            <wp:effectExtent l="0" t="0" r="635" b="1714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D878AE" w:rsidRDefault="00D878AE" w:rsidP="003E3695">
      <w:pPr>
        <w:pStyle w:val="Tekst0"/>
        <w:spacing w:before="0" w:line="276" w:lineRule="auto"/>
        <w:rPr>
          <w:sz w:val="22"/>
          <w:szCs w:val="22"/>
        </w:rPr>
      </w:pPr>
      <w:r w:rsidRPr="00155F80">
        <w:rPr>
          <w:sz w:val="22"/>
          <w:szCs w:val="22"/>
        </w:rPr>
        <w:t>Najveći broj postelja u Federaciji BiH su u 2015. godini imali Kanton Sarajevo i Srednjobosanski kanton (5,0/1000).</w:t>
      </w:r>
      <w:r w:rsidR="0075440C">
        <w:rPr>
          <w:sz w:val="22"/>
          <w:szCs w:val="22"/>
        </w:rPr>
        <w:t xml:space="preserve"> </w:t>
      </w:r>
      <w:r w:rsidRPr="00155F80">
        <w:rPr>
          <w:sz w:val="22"/>
          <w:szCs w:val="22"/>
        </w:rPr>
        <w:t>Na području Kantona Sarajevo se nalazi klinički centar, koji osigurava tercijarn</w:t>
      </w:r>
      <w:r w:rsidR="00CB5BF5">
        <w:rPr>
          <w:sz w:val="22"/>
          <w:szCs w:val="22"/>
        </w:rPr>
        <w:t>u</w:t>
      </w:r>
      <w:r w:rsidRPr="00155F80">
        <w:rPr>
          <w:sz w:val="22"/>
          <w:szCs w:val="22"/>
        </w:rPr>
        <w:t xml:space="preserve"> </w:t>
      </w:r>
      <w:r w:rsidR="002B489B">
        <w:rPr>
          <w:sz w:val="22"/>
          <w:szCs w:val="22"/>
        </w:rPr>
        <w:t>nivo</w:t>
      </w:r>
      <w:r w:rsidRPr="00155F80">
        <w:rPr>
          <w:sz w:val="22"/>
          <w:szCs w:val="22"/>
        </w:rPr>
        <w:t xml:space="preserve"> bolničke zaštite stanovništvu Kantona Sarajevo i gravitirajućih kantona, te samim tim za najveći broj stanovnika FBiH. Kanton Sarajevo  raspolaže sa 110 postelja dnevne hospitalizacije (0,3/1.000).</w:t>
      </w:r>
    </w:p>
    <w:p w:rsidR="003E3695" w:rsidRPr="00155F80" w:rsidRDefault="003E3695" w:rsidP="0075440C">
      <w:pPr>
        <w:pStyle w:val="Tekst0"/>
        <w:spacing w:line="276" w:lineRule="auto"/>
      </w:pPr>
    </w:p>
    <w:p w:rsidR="00D878AE" w:rsidRPr="00155F80" w:rsidRDefault="00D878AE" w:rsidP="00D878AE">
      <w:pPr>
        <w:pStyle w:val="refererere"/>
      </w:pPr>
      <w:r w:rsidRPr="00155F80">
        <w:t>Grafikon 112: Broj postelja po kantonima Federaciji BiH, 2015. godina, stopa na 1.000 stanovnika</w:t>
      </w:r>
    </w:p>
    <w:p w:rsidR="00D878AE" w:rsidRPr="00155F80" w:rsidRDefault="00D878AE" w:rsidP="00D878AE">
      <w:pPr>
        <w:spacing w:line="276" w:lineRule="auto"/>
        <w:jc w:val="center"/>
        <w:rPr>
          <w:rFonts w:ascii="Times New Roman" w:hAnsi="Times New Roman"/>
          <w:highlight w:val="yellow"/>
        </w:rPr>
      </w:pPr>
      <w:r w:rsidRPr="00155F80">
        <w:rPr>
          <w:rFonts w:ascii="Times New Roman" w:hAnsi="Times New Roman"/>
          <w:noProof/>
          <w:lang w:eastAsia="en-GB"/>
        </w:rPr>
        <w:drawing>
          <wp:inline distT="0" distB="0" distL="0" distR="0" wp14:anchorId="205D9C5D" wp14:editId="42445076">
            <wp:extent cx="5653405" cy="2000250"/>
            <wp:effectExtent l="0" t="0" r="4445" b="0"/>
            <wp:docPr id="1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D878AE" w:rsidRPr="00155F80" w:rsidRDefault="00D878AE" w:rsidP="00D878AE">
      <w:pPr>
        <w:spacing w:line="276" w:lineRule="auto"/>
        <w:jc w:val="center"/>
        <w:rPr>
          <w:rFonts w:ascii="Times New Roman" w:hAnsi="Times New Roman"/>
          <w:highlight w:val="yellow"/>
        </w:rPr>
      </w:pPr>
    </w:p>
    <w:p w:rsidR="00D878AE" w:rsidRPr="00155F80" w:rsidRDefault="00D878AE" w:rsidP="00D878AE">
      <w:pPr>
        <w:pStyle w:val="Tekst0"/>
        <w:spacing w:line="276" w:lineRule="auto"/>
        <w:rPr>
          <w:sz w:val="22"/>
          <w:szCs w:val="22"/>
        </w:rPr>
      </w:pPr>
      <w:r w:rsidRPr="00155F80">
        <w:rPr>
          <w:sz w:val="22"/>
          <w:szCs w:val="22"/>
        </w:rPr>
        <w:t>Veliki broj postelja u Srednjobosanskom kantonu (5,0/1000) je posljedica postojanja čak šest ustanova bolničke zaštite na području ovog kantona. U ukupan broj postelja ovog kantona ulazi i 520 postelja rehabilitacijskog centra Fojnica, što čini 41,0% posteljnog fonda ovog kantona.</w:t>
      </w:r>
    </w:p>
    <w:p w:rsidR="00D878AE" w:rsidRPr="00155F80" w:rsidRDefault="00D878AE" w:rsidP="00D878AE">
      <w:pPr>
        <w:pStyle w:val="Tekst0"/>
        <w:spacing w:line="276" w:lineRule="auto"/>
        <w:rPr>
          <w:sz w:val="22"/>
          <w:szCs w:val="22"/>
        </w:rPr>
      </w:pPr>
      <w:r w:rsidRPr="00155F80">
        <w:rPr>
          <w:sz w:val="22"/>
          <w:szCs w:val="22"/>
        </w:rPr>
        <w:t xml:space="preserve">Po jednom doktoru medicine </w:t>
      </w:r>
      <w:r>
        <w:rPr>
          <w:sz w:val="22"/>
          <w:szCs w:val="22"/>
        </w:rPr>
        <w:t xml:space="preserve">u bolničkoj zaštiti </w:t>
      </w:r>
      <w:r w:rsidRPr="00155F80">
        <w:rPr>
          <w:sz w:val="22"/>
          <w:szCs w:val="22"/>
        </w:rPr>
        <w:t xml:space="preserve">je u 2015. godini u FBiH u prosjeku dolazilo </w:t>
      </w:r>
      <w:r w:rsidRPr="00155F80">
        <w:rPr>
          <w:sz w:val="22"/>
          <w:szCs w:val="22"/>
          <w:shd w:val="clear" w:color="auto" w:fill="FFFFFF" w:themeFill="background1"/>
        </w:rPr>
        <w:t>3,6 postelja,</w:t>
      </w:r>
      <w:r w:rsidRPr="00155F80">
        <w:rPr>
          <w:sz w:val="22"/>
          <w:szCs w:val="22"/>
        </w:rPr>
        <w:t xml:space="preserve"> te je po jednoj medicinskoj sestri/tehničaru u prosjeku bilo </w:t>
      </w:r>
      <w:r w:rsidRPr="00155F80">
        <w:rPr>
          <w:sz w:val="22"/>
          <w:szCs w:val="22"/>
          <w:shd w:val="clear" w:color="auto" w:fill="FFFFFF" w:themeFill="background1"/>
        </w:rPr>
        <w:t>1,3 postelja.</w:t>
      </w:r>
    </w:p>
    <w:p w:rsidR="00D878AE" w:rsidRPr="00155F80" w:rsidRDefault="00D878AE" w:rsidP="00D878AE">
      <w:pPr>
        <w:pStyle w:val="Tekst0"/>
        <w:spacing w:line="276" w:lineRule="auto"/>
        <w:rPr>
          <w:sz w:val="22"/>
          <w:szCs w:val="22"/>
          <w:lang w:eastAsia="de-DE"/>
        </w:rPr>
      </w:pPr>
      <w:r>
        <w:rPr>
          <w:sz w:val="22"/>
          <w:szCs w:val="22"/>
          <w:lang w:eastAsia="de-DE"/>
        </w:rPr>
        <w:t xml:space="preserve">Prema </w:t>
      </w:r>
      <w:r w:rsidR="002B489B">
        <w:rPr>
          <w:sz w:val="22"/>
          <w:szCs w:val="22"/>
          <w:lang w:eastAsia="de-DE"/>
        </w:rPr>
        <w:t>podaci</w:t>
      </w:r>
      <w:r>
        <w:rPr>
          <w:sz w:val="22"/>
          <w:szCs w:val="22"/>
          <w:lang w:eastAsia="de-DE"/>
        </w:rPr>
        <w:t xml:space="preserve">ma </w:t>
      </w:r>
      <w:r w:rsidR="002B489B">
        <w:rPr>
          <w:sz w:val="22"/>
          <w:szCs w:val="22"/>
          <w:lang w:eastAsia="de-DE"/>
        </w:rPr>
        <w:t>redovne</w:t>
      </w:r>
      <w:r>
        <w:rPr>
          <w:sz w:val="22"/>
          <w:szCs w:val="22"/>
          <w:lang w:eastAsia="de-DE"/>
        </w:rPr>
        <w:t xml:space="preserve"> zdravstvene statistike koji se odnose na bolničk</w:t>
      </w:r>
      <w:r w:rsidR="0061286D">
        <w:rPr>
          <w:sz w:val="22"/>
          <w:szCs w:val="22"/>
          <w:lang w:eastAsia="de-DE"/>
        </w:rPr>
        <w:t>o liječenje, u 2015. godini je 9</w:t>
      </w:r>
      <w:r>
        <w:rPr>
          <w:sz w:val="22"/>
          <w:szCs w:val="22"/>
          <w:lang w:eastAsia="de-DE"/>
        </w:rPr>
        <w:t>,2% stanovništva koristilo ovaj vid zdravstvene zaštite.</w:t>
      </w:r>
    </w:p>
    <w:p w:rsidR="00D878AE" w:rsidRPr="00155F80" w:rsidRDefault="00D878AE" w:rsidP="0075440C">
      <w:pPr>
        <w:pStyle w:val="Tekst0"/>
        <w:spacing w:after="240" w:line="276" w:lineRule="auto"/>
        <w:rPr>
          <w:sz w:val="22"/>
          <w:szCs w:val="22"/>
        </w:rPr>
      </w:pPr>
      <w:r w:rsidRPr="00155F80">
        <w:rPr>
          <w:sz w:val="22"/>
          <w:szCs w:val="22"/>
        </w:rPr>
        <w:t>Prosječna zauzetost postelja u Federaciji BiH je u 2015. godini iznosila 59,5%, a prosječna dužina ležanja 7,6 dana, što predstavlja smanjenje u odnosu na pre</w:t>
      </w:r>
      <w:r w:rsidR="00CB5BF5">
        <w:rPr>
          <w:sz w:val="22"/>
          <w:szCs w:val="22"/>
        </w:rPr>
        <w:t>t</w:t>
      </w:r>
      <w:r w:rsidRPr="00155F80">
        <w:rPr>
          <w:sz w:val="22"/>
          <w:szCs w:val="22"/>
        </w:rPr>
        <w:t>hodne godine.</w:t>
      </w:r>
    </w:p>
    <w:p w:rsidR="00D878AE" w:rsidRPr="00155F80" w:rsidRDefault="00D878AE" w:rsidP="0075440C">
      <w:pPr>
        <w:pStyle w:val="refererere"/>
        <w:jc w:val="left"/>
        <w:rPr>
          <w:sz w:val="22"/>
          <w:szCs w:val="22"/>
        </w:rPr>
      </w:pPr>
      <w:r w:rsidRPr="00155F80">
        <w:t xml:space="preserve">Grafikon 113: Korištenje bolničkih resursa u Federaciji BiH, </w:t>
      </w:r>
      <w:r w:rsidR="00F70FD4">
        <w:t>period</w:t>
      </w:r>
      <w:r w:rsidRPr="00155F80">
        <w:t xml:space="preserve"> 2010.-2015.godina</w:t>
      </w:r>
      <w:r w:rsidRPr="00155F80">
        <w:rPr>
          <w:noProof/>
          <w:sz w:val="22"/>
          <w:szCs w:val="22"/>
          <w:lang w:eastAsia="en-GB"/>
        </w:rPr>
        <w:drawing>
          <wp:inline distT="0" distB="0" distL="0" distR="0" wp14:anchorId="51CF8CF1" wp14:editId="225EDDBB">
            <wp:extent cx="5640705" cy="2339439"/>
            <wp:effectExtent l="0" t="0" r="17145" b="3810"/>
            <wp:docPr id="14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D878AE" w:rsidRDefault="00D878AE" w:rsidP="00D878AE">
      <w:pPr>
        <w:pStyle w:val="Tekst0"/>
        <w:spacing w:line="276" w:lineRule="auto"/>
        <w:rPr>
          <w:sz w:val="22"/>
          <w:szCs w:val="22"/>
        </w:rPr>
      </w:pPr>
      <w:r w:rsidRPr="00155F80">
        <w:rPr>
          <w:sz w:val="22"/>
          <w:szCs w:val="22"/>
        </w:rPr>
        <w:t xml:space="preserve">Zauzetost postelja je odnosu na 2010. godinu najviše smanjena u specijalnim bolnicama, potom u kantonalnim i </w:t>
      </w:r>
      <w:r w:rsidR="00CB080B">
        <w:rPr>
          <w:sz w:val="22"/>
          <w:szCs w:val="22"/>
        </w:rPr>
        <w:t>opšti</w:t>
      </w:r>
      <w:r w:rsidRPr="00155F80">
        <w:rPr>
          <w:sz w:val="22"/>
          <w:szCs w:val="22"/>
        </w:rPr>
        <w:t>m bolnicama.</w:t>
      </w:r>
    </w:p>
    <w:p w:rsidR="0075440C" w:rsidRDefault="0075440C" w:rsidP="00D878AE">
      <w:pPr>
        <w:pStyle w:val="refererere"/>
      </w:pPr>
    </w:p>
    <w:p w:rsidR="00D878AE" w:rsidRPr="00155F80" w:rsidRDefault="00D878AE" w:rsidP="00D878AE">
      <w:pPr>
        <w:pStyle w:val="refererere"/>
      </w:pPr>
      <w:r w:rsidRPr="00155F80">
        <w:t xml:space="preserve">Grafikon 114: Zauzetost postelja (%), prema </w:t>
      </w:r>
      <w:r w:rsidR="002B489B">
        <w:t>nivo</w:t>
      </w:r>
      <w:r w:rsidR="00CB5BF5">
        <w:t>ma</w:t>
      </w:r>
      <w:r w:rsidRPr="00155F80">
        <w:t xml:space="preserve"> bolnica u Federaciji BiH, 2010. i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eastAsia="en-GB"/>
        </w:rPr>
        <w:drawing>
          <wp:inline distT="0" distB="0" distL="0" distR="0" wp14:anchorId="2C6D2328" wp14:editId="71EA6F4C">
            <wp:extent cx="5605580" cy="2660015"/>
            <wp:effectExtent l="0" t="0" r="14605" b="6985"/>
            <wp:docPr id="15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Slično prethodnim godinama, u 2015. je najmanja dužina ležanja registrirana u medicinskom centru (5,9 dana), a najveća u specijalnim bolnicama (21,1 dana), u okviru kojih se pruža zaštita psihijatrijskim bolesnicima i oboljelim od </w:t>
      </w:r>
      <w:r w:rsidR="00512E30">
        <w:rPr>
          <w:sz w:val="22"/>
          <w:szCs w:val="22"/>
        </w:rPr>
        <w:t>hronični</w:t>
      </w:r>
      <w:r w:rsidRPr="00155F80">
        <w:rPr>
          <w:sz w:val="22"/>
          <w:szCs w:val="22"/>
        </w:rPr>
        <w:t xml:space="preserve">h plućnih bolesti i TBC. </w:t>
      </w:r>
    </w:p>
    <w:p w:rsidR="00276D53" w:rsidRDefault="00D878AE" w:rsidP="0075440C">
      <w:pPr>
        <w:pStyle w:val="Tekst0"/>
        <w:spacing w:after="240" w:line="276" w:lineRule="auto"/>
        <w:rPr>
          <w:sz w:val="22"/>
          <w:szCs w:val="22"/>
        </w:rPr>
      </w:pPr>
      <w:r w:rsidRPr="00155F80">
        <w:rPr>
          <w:sz w:val="22"/>
          <w:szCs w:val="22"/>
        </w:rPr>
        <w:t xml:space="preserve">U odnosu na 2010. godinu dužina ležanja je najviše smanjena </w:t>
      </w:r>
      <w:r>
        <w:rPr>
          <w:sz w:val="22"/>
          <w:szCs w:val="22"/>
        </w:rPr>
        <w:t xml:space="preserve">u </w:t>
      </w:r>
      <w:r w:rsidRPr="00155F80">
        <w:rPr>
          <w:sz w:val="22"/>
          <w:szCs w:val="22"/>
        </w:rPr>
        <w:t>specijalnim bolnicama, zatim kliničkim centrima i kliničkoj bolnici.</w:t>
      </w:r>
      <w:r>
        <w:rPr>
          <w:sz w:val="22"/>
          <w:szCs w:val="22"/>
        </w:rPr>
        <w:t xml:space="preserve"> </w:t>
      </w:r>
    </w:p>
    <w:p w:rsidR="00D878AE" w:rsidRPr="00155F80" w:rsidRDefault="00D878AE" w:rsidP="00D878AE">
      <w:pPr>
        <w:pStyle w:val="refererere"/>
      </w:pPr>
      <w:r w:rsidRPr="00155F80">
        <w:t xml:space="preserve">Grafikon 115: Dužina ležanja u danima, prema </w:t>
      </w:r>
      <w:r w:rsidR="002B489B">
        <w:t>nivo</w:t>
      </w:r>
      <w:r w:rsidR="00CB5BF5">
        <w:t>ma</w:t>
      </w:r>
      <w:r w:rsidRPr="00155F80">
        <w:t xml:space="preserve"> bolnica u Federaciji BiH,  2010. i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eastAsia="en-GB"/>
        </w:rPr>
        <w:drawing>
          <wp:inline distT="0" distB="0" distL="0" distR="0" wp14:anchorId="49BCB889" wp14:editId="68003842">
            <wp:extent cx="5747657" cy="2588820"/>
            <wp:effectExtent l="0" t="0" r="5715" b="2540"/>
            <wp:docPr id="15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Pored standardnih bolničkih postelja (8.322), FBiH je u 2015. godini imala i 57 postelja stacionara, koje su najvećim dijelom bile postelje rodilišta. </w:t>
      </w:r>
    </w:p>
    <w:p w:rsidR="00D878AE" w:rsidRPr="00155F80" w:rsidRDefault="00D878AE" w:rsidP="00D878AE">
      <w:pPr>
        <w:spacing w:line="276" w:lineRule="auto"/>
        <w:jc w:val="left"/>
        <w:rPr>
          <w:rFonts w:ascii="Times New Roman" w:hAnsi="Times New Roman"/>
          <w:lang w:val="bs-Latn-BA"/>
        </w:rPr>
      </w:pPr>
    </w:p>
    <w:p w:rsidR="00A131AD" w:rsidRPr="00155F80" w:rsidRDefault="00AD792C" w:rsidP="000C0138">
      <w:pPr>
        <w:spacing w:line="276" w:lineRule="auto"/>
        <w:jc w:val="left"/>
        <w:rPr>
          <w:rFonts w:ascii="Times New Roman" w:hAnsi="Times New Roman"/>
          <w:lang w:val="bs-Latn-BA"/>
        </w:rPr>
      </w:pPr>
      <w:bookmarkStart w:id="348" w:name="_Toc460929222"/>
      <w:r w:rsidRPr="00155F80">
        <w:rPr>
          <w:rStyle w:val="Poglavlje2Char"/>
          <w:color w:val="auto"/>
        </w:rPr>
        <w:t>5.5</w:t>
      </w:r>
      <w:r w:rsidR="00A131AD" w:rsidRPr="00155F80">
        <w:rPr>
          <w:rStyle w:val="Poglavlje2Char"/>
          <w:color w:val="auto"/>
        </w:rPr>
        <w:t xml:space="preserve"> Privatna praksa</w:t>
      </w:r>
      <w:bookmarkEnd w:id="340"/>
      <w:bookmarkEnd w:id="348"/>
      <w:r w:rsidR="00A131AD" w:rsidRPr="00155F80">
        <w:rPr>
          <w:rFonts w:ascii="Times New Roman" w:hAnsi="Times New Roman"/>
          <w:lang w:val="bs-Latn-BA"/>
        </w:rPr>
        <w:t xml:space="preserve"> </w:t>
      </w:r>
    </w:p>
    <w:p w:rsidR="00A131AD" w:rsidRPr="00155F80" w:rsidRDefault="00A131AD" w:rsidP="000C0138">
      <w:pPr>
        <w:pStyle w:val="Tekst0"/>
        <w:spacing w:line="276" w:lineRule="auto"/>
        <w:rPr>
          <w:sz w:val="22"/>
          <w:szCs w:val="22"/>
        </w:rPr>
      </w:pPr>
      <w:r w:rsidRPr="00155F80">
        <w:rPr>
          <w:sz w:val="22"/>
          <w:szCs w:val="22"/>
        </w:rPr>
        <w:t xml:space="preserve">Prema </w:t>
      </w:r>
      <w:r w:rsidR="002B489B">
        <w:rPr>
          <w:sz w:val="22"/>
          <w:szCs w:val="22"/>
        </w:rPr>
        <w:t>podaci</w:t>
      </w:r>
      <w:r w:rsidRPr="00155F80">
        <w:rPr>
          <w:sz w:val="22"/>
          <w:szCs w:val="22"/>
        </w:rPr>
        <w:t xml:space="preserve">ma Zavoda zdravstvenog osiguranja i reosiguranja FBiH </w:t>
      </w:r>
      <w:r w:rsidR="00620777" w:rsidRPr="00155F80">
        <w:rPr>
          <w:sz w:val="22"/>
          <w:szCs w:val="22"/>
        </w:rPr>
        <w:t xml:space="preserve">na području Federacije je u 2015. godini </w:t>
      </w:r>
      <w:r w:rsidR="00A80006">
        <w:rPr>
          <w:sz w:val="22"/>
          <w:szCs w:val="22"/>
        </w:rPr>
        <w:t>registrovano</w:t>
      </w:r>
      <w:r w:rsidR="00620777" w:rsidRPr="00155F80">
        <w:rPr>
          <w:sz w:val="22"/>
          <w:szCs w:val="22"/>
        </w:rPr>
        <w:t xml:space="preserve"> je 1.104</w:t>
      </w:r>
      <w:r w:rsidRPr="00155F80">
        <w:rPr>
          <w:sz w:val="22"/>
          <w:szCs w:val="22"/>
        </w:rPr>
        <w:t xml:space="preserve"> privatnih zdravstvenih ustanova/privatnih </w:t>
      </w:r>
      <w:r w:rsidR="00620777" w:rsidRPr="00155F80">
        <w:rPr>
          <w:sz w:val="22"/>
          <w:szCs w:val="22"/>
        </w:rPr>
        <w:t xml:space="preserve">praksi u kojima je radilo 3.429 </w:t>
      </w:r>
      <w:r w:rsidRPr="00155F80">
        <w:rPr>
          <w:sz w:val="22"/>
          <w:szCs w:val="22"/>
        </w:rPr>
        <w:t xml:space="preserve">zaposlenih. </w:t>
      </w:r>
    </w:p>
    <w:p w:rsidR="00A131AD" w:rsidRPr="00155F80" w:rsidRDefault="00A131AD" w:rsidP="000C0138">
      <w:pPr>
        <w:pStyle w:val="Tekst0"/>
        <w:spacing w:line="276" w:lineRule="auto"/>
        <w:rPr>
          <w:sz w:val="22"/>
          <w:szCs w:val="22"/>
        </w:rPr>
      </w:pPr>
      <w:r w:rsidRPr="00155F80">
        <w:rPr>
          <w:sz w:val="22"/>
          <w:szCs w:val="22"/>
        </w:rPr>
        <w:t>Kao i pre</w:t>
      </w:r>
      <w:r w:rsidR="00CB5BF5">
        <w:rPr>
          <w:sz w:val="22"/>
          <w:szCs w:val="22"/>
        </w:rPr>
        <w:t>t</w:t>
      </w:r>
      <w:r w:rsidRPr="00155F80">
        <w:rPr>
          <w:sz w:val="22"/>
          <w:szCs w:val="22"/>
        </w:rPr>
        <w:t xml:space="preserve">hodnih godina, najveći broj privatnih zdravstvenih ustanova/privatnih praksi se odnosi na ambulante/ordinacije u kojima su pružane usluge medicinske i stomatološke zaštite, zatim na </w:t>
      </w:r>
      <w:r w:rsidR="00CB5BF5">
        <w:rPr>
          <w:sz w:val="22"/>
          <w:szCs w:val="22"/>
        </w:rPr>
        <w:t>ljekarničku</w:t>
      </w:r>
      <w:r w:rsidRPr="00155F80">
        <w:rPr>
          <w:sz w:val="22"/>
          <w:szCs w:val="22"/>
        </w:rPr>
        <w:t xml:space="preserve"> djelatnost, poliklinike i laboratorije.</w:t>
      </w:r>
    </w:p>
    <w:p w:rsidR="00A131AD" w:rsidRPr="00155F80" w:rsidRDefault="00526FD0" w:rsidP="000C0138">
      <w:pPr>
        <w:pStyle w:val="Tekst0"/>
        <w:spacing w:line="276" w:lineRule="auto"/>
        <w:rPr>
          <w:sz w:val="22"/>
          <w:szCs w:val="22"/>
        </w:rPr>
      </w:pPr>
      <w:r>
        <w:rPr>
          <w:sz w:val="22"/>
          <w:szCs w:val="22"/>
        </w:rPr>
        <w:t>U skladu sa</w:t>
      </w:r>
      <w:r w:rsidR="00A131AD" w:rsidRPr="00155F80">
        <w:rPr>
          <w:sz w:val="22"/>
          <w:szCs w:val="22"/>
        </w:rPr>
        <w:t xml:space="preserve"> Zakon</w:t>
      </w:r>
      <w:r w:rsidR="0027028E">
        <w:rPr>
          <w:sz w:val="22"/>
          <w:szCs w:val="22"/>
        </w:rPr>
        <w:t>om</w:t>
      </w:r>
      <w:r w:rsidR="00A131AD" w:rsidRPr="00155F80">
        <w:rPr>
          <w:sz w:val="22"/>
          <w:szCs w:val="22"/>
        </w:rPr>
        <w:t xml:space="preserve"> o zdravstvenoj zaštiti i Zakon</w:t>
      </w:r>
      <w:r w:rsidR="0027028E">
        <w:rPr>
          <w:sz w:val="22"/>
          <w:szCs w:val="22"/>
        </w:rPr>
        <w:t>om</w:t>
      </w:r>
      <w:r w:rsidR="00A131AD" w:rsidRPr="00155F80">
        <w:rPr>
          <w:sz w:val="22"/>
          <w:szCs w:val="22"/>
        </w:rPr>
        <w:t xml:space="preserve"> o ob</w:t>
      </w:r>
      <w:r w:rsidR="0027028E">
        <w:rPr>
          <w:sz w:val="22"/>
          <w:szCs w:val="22"/>
        </w:rPr>
        <w:t>a</w:t>
      </w:r>
      <w:r w:rsidR="00A131AD" w:rsidRPr="00155F80">
        <w:rPr>
          <w:sz w:val="22"/>
          <w:szCs w:val="22"/>
        </w:rPr>
        <w:t xml:space="preserve">veznim evidencijama u </w:t>
      </w:r>
      <w:r w:rsidR="00CB5BF5">
        <w:rPr>
          <w:sz w:val="22"/>
          <w:szCs w:val="22"/>
        </w:rPr>
        <w:t>području</w:t>
      </w:r>
      <w:r w:rsidR="00A131AD" w:rsidRPr="00155F80">
        <w:rPr>
          <w:sz w:val="22"/>
          <w:szCs w:val="22"/>
        </w:rPr>
        <w:t xml:space="preserve"> zdravstva, privatne zdravstvene ustanove/privatne prakse imaju ob</w:t>
      </w:r>
      <w:r w:rsidR="0027028E">
        <w:rPr>
          <w:sz w:val="22"/>
          <w:szCs w:val="22"/>
        </w:rPr>
        <w:t>a</w:t>
      </w:r>
      <w:r w:rsidR="00A131AD" w:rsidRPr="00155F80">
        <w:rPr>
          <w:sz w:val="22"/>
          <w:szCs w:val="22"/>
        </w:rPr>
        <w:t xml:space="preserve">vezu </w:t>
      </w:r>
      <w:r w:rsidR="002B489B">
        <w:rPr>
          <w:sz w:val="22"/>
          <w:szCs w:val="22"/>
        </w:rPr>
        <w:t>redovno</w:t>
      </w:r>
      <w:r w:rsidR="00A131AD" w:rsidRPr="00155F80">
        <w:rPr>
          <w:sz w:val="22"/>
          <w:szCs w:val="22"/>
        </w:rPr>
        <w:t xml:space="preserve">g </w:t>
      </w:r>
      <w:r w:rsidR="000E56ED">
        <w:rPr>
          <w:sz w:val="22"/>
          <w:szCs w:val="22"/>
        </w:rPr>
        <w:t>izvještavanja</w:t>
      </w:r>
      <w:r w:rsidR="00A131AD" w:rsidRPr="00155F80">
        <w:rPr>
          <w:sz w:val="22"/>
          <w:szCs w:val="22"/>
        </w:rPr>
        <w:t xml:space="preserve"> o svom radu. Međutim, privatne zdravstvene ustanove većinom ne dostavljaju podatke o svom radu, ili dostavljaju samo djel</w:t>
      </w:r>
      <w:r w:rsidR="00CB5BF5">
        <w:rPr>
          <w:sz w:val="22"/>
          <w:szCs w:val="22"/>
        </w:rPr>
        <w:t>o</w:t>
      </w:r>
      <w:r w:rsidR="00A131AD" w:rsidRPr="00155F80">
        <w:rPr>
          <w:sz w:val="22"/>
          <w:szCs w:val="22"/>
        </w:rPr>
        <w:t>mične podatke, što otežava potpuni uvid u zdravstveno stanje stanovništva i organizaciju zdravstvene zaštite. Ovo dobiva na značaju kada se ima u vidu znača</w:t>
      </w:r>
      <w:r w:rsidR="00CB5BF5">
        <w:rPr>
          <w:sz w:val="22"/>
          <w:szCs w:val="22"/>
        </w:rPr>
        <w:t>ja</w:t>
      </w:r>
      <w:r w:rsidR="00A131AD" w:rsidRPr="00155F80">
        <w:rPr>
          <w:sz w:val="22"/>
          <w:szCs w:val="22"/>
        </w:rPr>
        <w:t xml:space="preserve">n broj </w:t>
      </w:r>
      <w:r w:rsidR="00A80006">
        <w:rPr>
          <w:sz w:val="22"/>
          <w:szCs w:val="22"/>
        </w:rPr>
        <w:t>registrovanih</w:t>
      </w:r>
      <w:r w:rsidR="00A131AD" w:rsidRPr="00155F80">
        <w:rPr>
          <w:sz w:val="22"/>
          <w:szCs w:val="22"/>
        </w:rPr>
        <w:t xml:space="preserve"> privatnih zdravstvenih ustanova/privatnih praksi u kojima se pružaju usluge primarne i specijalističko-konzultativne zaštite, a jedina bolnička ustanova u privatnom vlasništvu je „Centar za srce BH Tuzla“.</w:t>
      </w:r>
    </w:p>
    <w:p w:rsidR="00A131AD" w:rsidRDefault="00A131AD" w:rsidP="002C323A">
      <w:pPr>
        <w:pStyle w:val="Tekst0"/>
        <w:spacing w:line="276" w:lineRule="auto"/>
        <w:rPr>
          <w:sz w:val="22"/>
          <w:szCs w:val="22"/>
        </w:rPr>
      </w:pPr>
      <w:r w:rsidRPr="00155F80">
        <w:rPr>
          <w:sz w:val="22"/>
          <w:szCs w:val="22"/>
        </w:rPr>
        <w:t xml:space="preserve">S ciljem prevazilaženja navedenih problema, nadležni organi u </w:t>
      </w:r>
      <w:r w:rsidR="00CB080B">
        <w:rPr>
          <w:sz w:val="22"/>
          <w:szCs w:val="22"/>
        </w:rPr>
        <w:t>opšti</w:t>
      </w:r>
      <w:r w:rsidRPr="00155F80">
        <w:rPr>
          <w:sz w:val="22"/>
          <w:szCs w:val="22"/>
        </w:rPr>
        <w:t xml:space="preserve">nama i kantonima trebaju poduzeti adekvatne mjere kako bi privatne zdravstvene ustanove izvršavale zakonsku </w:t>
      </w:r>
      <w:r w:rsidR="000E56ED">
        <w:rPr>
          <w:sz w:val="22"/>
          <w:szCs w:val="22"/>
        </w:rPr>
        <w:t>obavezu</w:t>
      </w:r>
      <w:r w:rsidRPr="00155F80">
        <w:rPr>
          <w:sz w:val="22"/>
          <w:szCs w:val="22"/>
        </w:rPr>
        <w:t xml:space="preserve"> </w:t>
      </w:r>
      <w:r w:rsidR="002B489B">
        <w:rPr>
          <w:sz w:val="22"/>
          <w:szCs w:val="22"/>
        </w:rPr>
        <w:t>redovno</w:t>
      </w:r>
      <w:r w:rsidRPr="00155F80">
        <w:rPr>
          <w:sz w:val="22"/>
          <w:szCs w:val="22"/>
        </w:rPr>
        <w:t xml:space="preserve">g </w:t>
      </w:r>
      <w:r w:rsidR="000E56ED">
        <w:rPr>
          <w:sz w:val="22"/>
          <w:szCs w:val="22"/>
        </w:rPr>
        <w:t>izvještavanja</w:t>
      </w:r>
      <w:r w:rsidRPr="00155F80">
        <w:rPr>
          <w:sz w:val="22"/>
          <w:szCs w:val="22"/>
        </w:rPr>
        <w:t>.</w:t>
      </w:r>
      <w:r w:rsidR="002C323A">
        <w:rPr>
          <w:sz w:val="22"/>
          <w:szCs w:val="22"/>
        </w:rPr>
        <w:t xml:space="preserve"> </w:t>
      </w:r>
    </w:p>
    <w:p w:rsidR="002C323A" w:rsidRDefault="002C323A" w:rsidP="002C323A">
      <w:pPr>
        <w:pStyle w:val="Tekst0"/>
        <w:spacing w:line="276" w:lineRule="auto"/>
        <w:rPr>
          <w:sz w:val="22"/>
          <w:szCs w:val="22"/>
        </w:rPr>
      </w:pPr>
    </w:p>
    <w:p w:rsidR="002C323A" w:rsidRDefault="002C323A" w:rsidP="002C323A">
      <w:pPr>
        <w:pStyle w:val="Tekst0"/>
        <w:spacing w:line="276" w:lineRule="auto"/>
        <w:rPr>
          <w:sz w:val="22"/>
          <w:szCs w:val="22"/>
        </w:rPr>
      </w:pPr>
    </w:p>
    <w:p w:rsidR="002C323A" w:rsidRDefault="002C323A" w:rsidP="002C323A">
      <w:pPr>
        <w:pStyle w:val="Tekst0"/>
        <w:spacing w:line="276" w:lineRule="auto"/>
        <w:rPr>
          <w:sz w:val="22"/>
          <w:szCs w:val="22"/>
        </w:rPr>
      </w:pPr>
    </w:p>
    <w:p w:rsidR="00175786" w:rsidRDefault="00175786">
      <w:pPr>
        <w:spacing w:after="160" w:line="259" w:lineRule="auto"/>
        <w:jc w:val="left"/>
        <w:rPr>
          <w:rFonts w:ascii="Times New Roman" w:hAnsi="Times New Roman"/>
          <w:noProof/>
          <w:lang w:val="sl-SI"/>
        </w:rPr>
      </w:pPr>
    </w:p>
    <w:p w:rsidR="002C323A" w:rsidRDefault="002C323A" w:rsidP="00175786">
      <w:pPr>
        <w:pStyle w:val="Tekst0"/>
        <w:spacing w:line="276" w:lineRule="auto"/>
        <w:jc w:val="center"/>
        <w:rPr>
          <w:sz w:val="22"/>
          <w:szCs w:val="22"/>
        </w:rPr>
      </w:pPr>
    </w:p>
    <w:p w:rsidR="002C323A" w:rsidRDefault="002C323A"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CF03C8" w:rsidRPr="00A2552D" w:rsidRDefault="00A131AD" w:rsidP="00CF03C8">
      <w:pPr>
        <w:pStyle w:val="Poglavlje1"/>
        <w:rPr>
          <w:szCs w:val="22"/>
        </w:rPr>
      </w:pPr>
      <w:bookmarkStart w:id="349" w:name="_Toc240704435"/>
      <w:bookmarkStart w:id="350" w:name="_Toc460929223"/>
      <w:r w:rsidRPr="00155F80">
        <w:t xml:space="preserve">PREGLED ODABRANIH </w:t>
      </w:r>
      <w:r w:rsidR="00CB080B">
        <w:t>POKAZATELJA</w:t>
      </w:r>
      <w:r w:rsidRPr="00155F80">
        <w:t xml:space="preserve"> PO KANTONIMA</w:t>
      </w:r>
      <w:bookmarkEnd w:id="349"/>
      <w:bookmarkEnd w:id="350"/>
    </w:p>
    <w:p w:rsidR="00F83CAD" w:rsidRDefault="00F83CAD">
      <w:pPr>
        <w:spacing w:after="160" w:line="259" w:lineRule="auto"/>
        <w:jc w:val="left"/>
        <w:rPr>
          <w:rFonts w:ascii="Times New Roman" w:hAnsi="Times New Roman"/>
          <w:b/>
          <w:lang w:val="bs-Latn-BA"/>
        </w:rPr>
      </w:pPr>
      <w:r>
        <w:br w:type="page"/>
      </w:r>
    </w:p>
    <w:p w:rsidR="00A131AD" w:rsidRPr="00EA6011" w:rsidRDefault="00A131AD" w:rsidP="00EA6011">
      <w:pPr>
        <w:jc w:val="center"/>
        <w:rPr>
          <w:rFonts w:ascii="Times New Roman" w:hAnsi="Times New Roman"/>
          <w:b/>
        </w:rPr>
      </w:pPr>
      <w:bookmarkStart w:id="351" w:name="_Toc454797152"/>
      <w:bookmarkStart w:id="352" w:name="_Toc454797871"/>
      <w:bookmarkStart w:id="353" w:name="_Toc454799768"/>
      <w:bookmarkStart w:id="354" w:name="_Toc454803669"/>
      <w:r w:rsidRPr="00EA6011">
        <w:rPr>
          <w:rFonts w:ascii="Times New Roman" w:hAnsi="Times New Roman"/>
          <w:b/>
        </w:rPr>
        <w:t>Unsko-sanski kanton</w:t>
      </w:r>
      <w:bookmarkEnd w:id="351"/>
      <w:bookmarkEnd w:id="352"/>
      <w:bookmarkEnd w:id="353"/>
      <w:bookmarkEnd w:id="354"/>
    </w:p>
    <w:p w:rsidR="00A131AD" w:rsidRPr="00081B73" w:rsidRDefault="00A80006" w:rsidP="000C0138">
      <w:pPr>
        <w:spacing w:line="276" w:lineRule="auto"/>
        <w:ind w:left="3600"/>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tbl>
      <w:tblPr>
        <w:tblpPr w:leftFromText="180" w:rightFromText="180" w:vertAnchor="text" w:horzAnchor="margin" w:tblpXSpec="right" w:tblpY="30"/>
        <w:tblW w:w="5004" w:type="dxa"/>
        <w:tblCellSpacing w:w="15" w:type="dxa"/>
        <w:tblCellMar>
          <w:top w:w="15" w:type="dxa"/>
          <w:left w:w="15" w:type="dxa"/>
          <w:bottom w:w="15" w:type="dxa"/>
          <w:right w:w="15" w:type="dxa"/>
        </w:tblCellMar>
        <w:tblLook w:val="0000" w:firstRow="0" w:lastRow="0" w:firstColumn="0" w:lastColumn="0" w:noHBand="0" w:noVBand="0"/>
      </w:tblPr>
      <w:tblGrid>
        <w:gridCol w:w="2491"/>
        <w:gridCol w:w="1122"/>
        <w:gridCol w:w="1391"/>
      </w:tblGrid>
      <w:tr w:rsidR="00CF03C8" w:rsidRPr="00081B73" w:rsidTr="00CF03C8">
        <w:trPr>
          <w:trHeight w:val="510"/>
          <w:tblCellSpacing w:w="15" w:type="dxa"/>
        </w:trPr>
        <w:tc>
          <w:tcPr>
            <w:tcW w:w="2446" w:type="dxa"/>
            <w:tcBorders>
              <w:right w:val="single" w:sz="4" w:space="0" w:color="000000"/>
            </w:tcBorders>
            <w:shd w:val="clear" w:color="auto" w:fill="C0C0C0"/>
            <w:vAlign w:val="center"/>
          </w:tcPr>
          <w:p w:rsidR="00CF03C8" w:rsidRPr="00081B73" w:rsidRDefault="00CB080B" w:rsidP="00CF03C8">
            <w:pPr>
              <w:spacing w:line="276" w:lineRule="auto"/>
              <w:rPr>
                <w:rFonts w:ascii="Times New Roman" w:hAnsi="Times New Roman"/>
                <w:b/>
                <w:sz w:val="20"/>
                <w:szCs w:val="20"/>
                <w:lang w:val="bs-Latn-BA"/>
              </w:rPr>
            </w:pPr>
            <w:r>
              <w:rPr>
                <w:rFonts w:ascii="Times New Roman" w:hAnsi="Times New Roman"/>
                <w:b/>
                <w:color w:val="800000"/>
                <w:sz w:val="20"/>
                <w:szCs w:val="20"/>
                <w:lang w:val="bs-Latn-BA"/>
              </w:rPr>
              <w:t>Opšti</w:t>
            </w:r>
            <w:r w:rsidR="00CF03C8" w:rsidRPr="00081B73">
              <w:rPr>
                <w:rFonts w:ascii="Times New Roman" w:hAnsi="Times New Roman"/>
                <w:b/>
                <w:color w:val="800000"/>
                <w:sz w:val="20"/>
                <w:szCs w:val="20"/>
                <w:lang w:val="bs-Latn-BA"/>
              </w:rPr>
              <w:t>na</w:t>
            </w:r>
          </w:p>
        </w:tc>
        <w:tc>
          <w:tcPr>
            <w:tcW w:w="1092" w:type="dxa"/>
            <w:tcBorders>
              <w:left w:val="nil"/>
            </w:tcBorders>
            <w:shd w:val="clear" w:color="auto" w:fill="C0C0C0"/>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346" w:type="dxa"/>
            <w:tcBorders>
              <w:left w:val="nil"/>
            </w:tcBorders>
            <w:shd w:val="clear" w:color="auto" w:fill="C0C0C0"/>
            <w:vAlign w:val="center"/>
          </w:tcPr>
          <w:p w:rsidR="00CF03C8" w:rsidRPr="00081B73" w:rsidRDefault="00CF03C8" w:rsidP="00CF03C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CF03C8" w:rsidRPr="00081B73" w:rsidTr="00CF03C8">
        <w:trPr>
          <w:trHeight w:val="222"/>
          <w:tblCellSpacing w:w="15" w:type="dxa"/>
        </w:trPr>
        <w:tc>
          <w:tcPr>
            <w:tcW w:w="2446" w:type="dxa"/>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Bihać</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900,0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61.724</w:t>
            </w:r>
          </w:p>
        </w:tc>
      </w:tr>
      <w:tr w:rsidR="00CF03C8" w:rsidRPr="00081B73" w:rsidTr="00CF03C8">
        <w:trPr>
          <w:trHeight w:val="222"/>
          <w:tblCellSpacing w:w="15" w:type="dxa"/>
        </w:trPr>
        <w:tc>
          <w:tcPr>
            <w:tcW w:w="2446" w:type="dxa"/>
            <w:tcBorders>
              <w:right w:val="single" w:sz="4" w:space="0" w:color="auto"/>
            </w:tcBorders>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Bosanska Krupa</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561,0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27.972</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Bosanski Petrovac</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709,0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6.731</w:t>
            </w:r>
          </w:p>
        </w:tc>
      </w:tr>
      <w:tr w:rsidR="00CF03C8" w:rsidRPr="00081B73" w:rsidTr="00CF03C8">
        <w:trPr>
          <w:trHeight w:val="222"/>
          <w:tblCellSpacing w:w="15" w:type="dxa"/>
        </w:trPr>
        <w:tc>
          <w:tcPr>
            <w:tcW w:w="2446" w:type="dxa"/>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Bužim</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129,0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18.081</w:t>
            </w:r>
          </w:p>
        </w:tc>
      </w:tr>
      <w:tr w:rsidR="00CF03C8" w:rsidRPr="00081B73" w:rsidTr="00CF03C8">
        <w:trPr>
          <w:trHeight w:val="222"/>
          <w:tblCellSpacing w:w="15" w:type="dxa"/>
        </w:trPr>
        <w:tc>
          <w:tcPr>
            <w:tcW w:w="2446" w:type="dxa"/>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Cazin</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356,0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63.028</w:t>
            </w:r>
          </w:p>
        </w:tc>
      </w:tr>
      <w:tr w:rsidR="00CF03C8" w:rsidRPr="00081B73" w:rsidTr="00CF03C8">
        <w:trPr>
          <w:trHeight w:val="222"/>
          <w:tblCellSpacing w:w="15" w:type="dxa"/>
        </w:trPr>
        <w:tc>
          <w:tcPr>
            <w:tcW w:w="2446" w:type="dxa"/>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Ključ</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358,0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18.870</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Sanski Most</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781,0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43.270</w:t>
            </w:r>
          </w:p>
        </w:tc>
      </w:tr>
      <w:tr w:rsidR="00CF03C8" w:rsidRPr="00081B73" w:rsidTr="00CF03C8">
        <w:trPr>
          <w:trHeight w:val="222"/>
          <w:tblCellSpacing w:w="15" w:type="dxa"/>
        </w:trPr>
        <w:tc>
          <w:tcPr>
            <w:tcW w:w="2446" w:type="dxa"/>
            <w:tcBorders>
              <w:right w:val="single" w:sz="4" w:space="0" w:color="auto"/>
            </w:tcBorders>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Velika Kladuša</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47.354</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4.125</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287.030</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69,7</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0560" behindDoc="0" locked="0" layoutInCell="1" allowOverlap="1" wp14:anchorId="287BC43E" wp14:editId="2F244D20">
            <wp:simplePos x="0" y="0"/>
            <wp:positionH relativeFrom="column">
              <wp:posOffset>-457200</wp:posOffset>
            </wp:positionH>
            <wp:positionV relativeFrom="paragraph">
              <wp:posOffset>124460</wp:posOffset>
            </wp:positionV>
            <wp:extent cx="2265045" cy="2209165"/>
            <wp:effectExtent l="0" t="0" r="1905" b="635"/>
            <wp:wrapSquare wrapText="bothSides"/>
            <wp:docPr id="127" name="Picture 127" descr="Cant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ton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265045"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80006" w:rsidP="00CF03C8">
      <w:pPr>
        <w:pStyle w:val="refererere"/>
        <w:rPr>
          <w:lang w:val="bs-Latn-BA"/>
        </w:rPr>
      </w:pPr>
      <w:r>
        <w:rPr>
          <w:lang w:val="bs-Latn-BA"/>
        </w:rPr>
        <w:t>Tabela</w:t>
      </w:r>
      <w:r w:rsidR="00A131AD" w:rsidRPr="00081B73">
        <w:rPr>
          <w:lang w:val="bs-Latn-BA"/>
        </w:rPr>
        <w:t xml:space="preserve"> 2:  </w:t>
      </w:r>
      <w:r w:rsidR="00587CDA">
        <w:rPr>
          <w:lang w:val="bs-Latn-BA"/>
        </w:rPr>
        <w:t>Pokazatelji</w:t>
      </w:r>
      <w:r w:rsidR="00A131AD" w:rsidRPr="00081B73">
        <w:rPr>
          <w:lang w:val="bs-Latn-BA"/>
        </w:rPr>
        <w:t xml:space="preserve"> vitalne statistike za 2010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2805"/>
        <w:gridCol w:w="2635"/>
      </w:tblGrid>
      <w:tr w:rsidR="00A131AD" w:rsidRPr="00081B73" w:rsidTr="001911A6">
        <w:trPr>
          <w:trHeight w:val="618"/>
        </w:trPr>
        <w:tc>
          <w:tcPr>
            <w:tcW w:w="3848" w:type="dxa"/>
            <w:shd w:val="clear" w:color="auto" w:fill="FFFF00"/>
          </w:tcPr>
          <w:p w:rsidR="00A131AD" w:rsidRPr="00081B73" w:rsidRDefault="00A131AD" w:rsidP="000C0138">
            <w:pPr>
              <w:spacing w:line="276" w:lineRule="auto"/>
              <w:jc w:val="center"/>
              <w:rPr>
                <w:rFonts w:ascii="Times New Roman" w:hAnsi="Times New Roman"/>
                <w:color w:val="FF0000"/>
                <w:sz w:val="20"/>
                <w:szCs w:val="20"/>
                <w:lang w:val="bs-Latn-BA"/>
              </w:rPr>
            </w:pPr>
          </w:p>
        </w:tc>
        <w:tc>
          <w:tcPr>
            <w:tcW w:w="280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63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9,2</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7,4</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7,4</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7,7</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11,0</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6,2</w:t>
            </w:r>
          </w:p>
        </w:tc>
      </w:tr>
      <w:tr w:rsidR="00A131AD" w:rsidRPr="00081B73" w:rsidTr="001911A6">
        <w:tc>
          <w:tcPr>
            <w:tcW w:w="3848" w:type="dxa"/>
          </w:tcPr>
          <w:p w:rsidR="00A131AD" w:rsidRPr="00081B73" w:rsidRDefault="00A131AD" w:rsidP="00CB5BF5">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1,8</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-0,4</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3: Vodeći uzroci smrti za 2010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500"/>
        <w:gridCol w:w="720"/>
        <w:gridCol w:w="900"/>
        <w:gridCol w:w="488"/>
        <w:gridCol w:w="2385"/>
        <w:gridCol w:w="766"/>
        <w:gridCol w:w="1041"/>
      </w:tblGrid>
      <w:tr w:rsidR="00A131AD" w:rsidRPr="00081B73" w:rsidTr="001911A6">
        <w:trPr>
          <w:trHeight w:val="405"/>
        </w:trPr>
        <w:tc>
          <w:tcPr>
            <w:tcW w:w="4608"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80"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2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88"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8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4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Moždani udar </w:t>
            </w:r>
            <w:r w:rsidRPr="00081B73">
              <w:rPr>
                <w:rFonts w:ascii="Times New Roman" w:hAnsi="Times New Roman"/>
                <w:sz w:val="20"/>
                <w:szCs w:val="20"/>
              </w:rPr>
              <w:t>(I63)</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385</w:t>
            </w:r>
          </w:p>
        </w:tc>
        <w:tc>
          <w:tcPr>
            <w:tcW w:w="900" w:type="dxa"/>
          </w:tcPr>
          <w:p w:rsidR="00A131AD" w:rsidRPr="00081B73" w:rsidRDefault="00A131AD" w:rsidP="000C0138">
            <w:pPr>
              <w:tabs>
                <w:tab w:val="left" w:pos="3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18,1</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427</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19,4</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13,4</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346</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15,7</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Srčana slabost </w:t>
            </w:r>
            <w:r w:rsidRPr="00081B73">
              <w:rPr>
                <w:rFonts w:ascii="Times New Roman" w:hAnsi="Times New Roman"/>
                <w:sz w:val="20"/>
                <w:szCs w:val="20"/>
              </w:rPr>
              <w:t>(I50)</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8,9</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Inzulino-neovisni diabetes mellitus (E11)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193</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8,8</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181</w:t>
            </w:r>
          </w:p>
        </w:tc>
        <w:tc>
          <w:tcPr>
            <w:tcW w:w="900"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8,5</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Esencijalna/primarna/hipertenzija (I10)</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139</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6,3</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00" w:type="dxa"/>
          </w:tcPr>
          <w:p w:rsidR="00A131AD" w:rsidRPr="00081B73" w:rsidRDefault="00512E30"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Hronična</w:t>
            </w:r>
            <w:r w:rsidR="00A131AD" w:rsidRPr="00081B73">
              <w:rPr>
                <w:rFonts w:ascii="Times New Roman" w:hAnsi="Times New Roman"/>
                <w:sz w:val="20"/>
                <w:szCs w:val="20"/>
                <w:lang w:val="bs-Latn-BA"/>
              </w:rPr>
              <w:t xml:space="preserve"> ishemična oboljenja srca </w:t>
            </w:r>
            <w:r w:rsidR="00A131AD" w:rsidRPr="00081B73">
              <w:rPr>
                <w:rFonts w:ascii="Times New Roman" w:hAnsi="Times New Roman"/>
                <w:sz w:val="20"/>
                <w:szCs w:val="20"/>
              </w:rPr>
              <w:t>(I25)</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85"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Ostali uzroci smrti</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990</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46,5</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Ostali uzroci smrti</w:t>
            </w:r>
          </w:p>
        </w:tc>
        <w:tc>
          <w:tcPr>
            <w:tcW w:w="766"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1003</w:t>
            </w:r>
          </w:p>
        </w:tc>
        <w:tc>
          <w:tcPr>
            <w:tcW w:w="1041"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45,7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Ukupno umrlih</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6"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2197</w:t>
            </w:r>
          </w:p>
        </w:tc>
        <w:tc>
          <w:tcPr>
            <w:tcW w:w="1041"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god.</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80006" w:rsidP="00CF03C8">
      <w:pPr>
        <w:pStyle w:val="refererere"/>
        <w:rPr>
          <w:lang w:val="bs-Latn-BA"/>
        </w:rPr>
      </w:pPr>
      <w:r>
        <w:rPr>
          <w:lang w:val="bs-Latn-BA"/>
        </w:rPr>
        <w:t>Tabela</w:t>
      </w:r>
      <w:r w:rsidR="00A131AD" w:rsidRPr="00081B73">
        <w:rPr>
          <w:lang w:val="bs-Latn-BA"/>
        </w:rPr>
        <w:t xml:space="preserve"> 4: Vodeće zarazne bolesti za 2010 i  2015. godinu</w:t>
      </w:r>
    </w:p>
    <w:p w:rsidR="00CD511A" w:rsidRPr="00081B73" w:rsidRDefault="00CD511A" w:rsidP="00CF03C8">
      <w:pPr>
        <w:pStyle w:val="refererere"/>
        <w:rPr>
          <w:lang w:val="bs-Latn-BA"/>
        </w:rPr>
      </w:pP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079"/>
        <w:gridCol w:w="981"/>
        <w:gridCol w:w="1015"/>
        <w:gridCol w:w="540"/>
        <w:gridCol w:w="2037"/>
        <w:gridCol w:w="1023"/>
        <w:gridCol w:w="1129"/>
      </w:tblGrid>
      <w:tr w:rsidR="00A131AD" w:rsidRPr="00081B73" w:rsidTr="001911A6">
        <w:trPr>
          <w:trHeight w:val="380"/>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CF03C8">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9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797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276,86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3322</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1157,37</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409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142,08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926</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322,61</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51,11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Enterocolitis acuta</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477</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166,18</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23,62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130</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45,29</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23,27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125</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43,55</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517,94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4980</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1735,0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1781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618,68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5294</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1873,67</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5: Prevalenc</w:t>
      </w:r>
      <w:r w:rsidR="00CB5BF5">
        <w:rPr>
          <w:lang w:val="bs-Latn-BA"/>
        </w:rPr>
        <w:t>ij</w:t>
      </w:r>
      <w:r w:rsidR="00A131AD" w:rsidRPr="00081B73">
        <w:rPr>
          <w:lang w:val="bs-Latn-BA"/>
        </w:rPr>
        <w:t>a nezaraznih bolesti za 2010 i  2015. godinu</w:t>
      </w:r>
      <w:r w:rsidR="00A131AD" w:rsidRPr="00081B73">
        <w:rPr>
          <w:lang w:val="bs-Latn-BA"/>
        </w:rPr>
        <w:tab/>
      </w:r>
    </w:p>
    <w:tbl>
      <w:tblPr>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9"/>
        <w:gridCol w:w="198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98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98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w w:val="92"/>
                <w:sz w:val="20"/>
                <w:szCs w:val="20"/>
              </w:rPr>
              <w:t>1.134,7</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1.303,5</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13,4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17,1</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152,4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172,8</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117,3</w:t>
            </w:r>
          </w:p>
        </w:tc>
        <w:tc>
          <w:tcPr>
            <w:tcW w:w="198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176,0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245,2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379,8</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434,1</w:t>
            </w:r>
          </w:p>
        </w:tc>
      </w:tr>
    </w:tbl>
    <w:p w:rsidR="00A2552D" w:rsidRPr="00081B73" w:rsidRDefault="00A2552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Unsko-sanski kanton</w:t>
            </w:r>
          </w:p>
        </w:tc>
        <w:tc>
          <w:tcPr>
            <w:tcW w:w="1969" w:type="dxa"/>
            <w:shd w:val="clear" w:color="auto" w:fill="FFFF00"/>
            <w:vAlign w:val="center"/>
          </w:tcPr>
          <w:p w:rsidR="00A131AD" w:rsidRPr="00081B73" w:rsidRDefault="00A131AD" w:rsidP="00CB5BF5">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CB5BF5">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CB5BF5">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CB5BF5">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D257E8" w:rsidP="000C0138">
            <w:pPr>
              <w:spacing w:line="276" w:lineRule="auto"/>
              <w:jc w:val="center"/>
              <w:rPr>
                <w:rFonts w:ascii="Times New Roman" w:hAnsi="Times New Roman"/>
                <w:color w:val="FFFFFF"/>
                <w:sz w:val="20"/>
                <w:szCs w:val="20"/>
                <w:lang w:val="bs-Latn-BA"/>
              </w:rPr>
            </w:pPr>
            <w:r w:rsidRPr="00081B73">
              <w:rPr>
                <w:rFonts w:ascii="Times New Roman" w:hAnsi="Times New Roman"/>
                <w:sz w:val="20"/>
                <w:szCs w:val="20"/>
                <w:lang w:val="bs-Latn-BA"/>
              </w:rPr>
              <w:t>71,5%</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7: Zdravstvena zaštita za 2010</w:t>
      </w:r>
      <w:r w:rsidR="00CB5BF5">
        <w:rPr>
          <w:lang w:val="bs-Latn-BA"/>
        </w:rPr>
        <w:t>.</w:t>
      </w:r>
      <w:r w:rsidR="00A131AD"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151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w:t>
            </w:r>
          </w:p>
        </w:tc>
      </w:tr>
      <w:tr w:rsidR="00A131AD" w:rsidRPr="00081B73" w:rsidTr="001911A6">
        <w:trPr>
          <w:cantSplit/>
        </w:trPr>
        <w:tc>
          <w:tcPr>
            <w:tcW w:w="909" w:type="dxa"/>
            <w:gridSpan w:val="2"/>
            <w:vMerge/>
          </w:tcPr>
          <w:p w:rsidR="00A131AD" w:rsidRPr="00081B73" w:rsidRDefault="00A131AD" w:rsidP="000C0138">
            <w:pPr>
              <w:spacing w:line="276" w:lineRule="auto"/>
              <w:rPr>
                <w:rFonts w:ascii="Times New Roman" w:hAnsi="Times New Roman"/>
                <w:sz w:val="20"/>
                <w:szCs w:val="20"/>
                <w:lang w:val="bs-Latn-BA"/>
              </w:rPr>
            </w:pPr>
          </w:p>
        </w:tc>
        <w:tc>
          <w:tcPr>
            <w:tcW w:w="380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r>
      <w:tr w:rsidR="00A131AD" w:rsidRPr="00081B73" w:rsidTr="001911A6">
        <w:trPr>
          <w:cantSplit/>
        </w:trPr>
        <w:tc>
          <w:tcPr>
            <w:tcW w:w="909" w:type="dxa"/>
            <w:gridSpan w:val="2"/>
            <w:vMerge/>
          </w:tcPr>
          <w:p w:rsidR="00A131AD" w:rsidRPr="00081B73" w:rsidRDefault="00A131AD" w:rsidP="000C0138">
            <w:pPr>
              <w:spacing w:line="276" w:lineRule="auto"/>
              <w:rPr>
                <w:rFonts w:ascii="Times New Roman" w:hAnsi="Times New Roman"/>
                <w:sz w:val="20"/>
                <w:szCs w:val="20"/>
                <w:lang w:val="bs-Latn-BA"/>
              </w:rPr>
            </w:pPr>
          </w:p>
        </w:tc>
        <w:tc>
          <w:tcPr>
            <w:tcW w:w="3807" w:type="dxa"/>
          </w:tcPr>
          <w:p w:rsidR="00A131AD" w:rsidRPr="00081B73" w:rsidRDefault="00CB5BF5"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w:t>
            </w:r>
          </w:p>
        </w:tc>
      </w:tr>
      <w:tr w:rsidR="00A131AD" w:rsidRPr="00081B73" w:rsidTr="001911A6">
        <w:trPr>
          <w:cantSplit/>
        </w:trPr>
        <w:tc>
          <w:tcPr>
            <w:tcW w:w="901" w:type="dxa"/>
            <w:vMerge w:val="restart"/>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color w:val="FFFFFF"/>
                <w:sz w:val="20"/>
                <w:szCs w:val="20"/>
                <w:lang w:val="bs-Latn-BA"/>
              </w:rPr>
            </w:pPr>
            <w:r w:rsidRPr="00081B73">
              <w:rPr>
                <w:rFonts w:ascii="Times New Roman" w:hAnsi="Times New Roman"/>
                <w:color w:val="000000"/>
                <w:sz w:val="20"/>
                <w:szCs w:val="20"/>
                <w:lang w:val="bs-Latn-BA"/>
              </w:rPr>
              <w:t xml:space="preserve"> 99</w:t>
            </w:r>
            <w:r w:rsidRPr="00081B73">
              <w:rPr>
                <w:rFonts w:ascii="Times New Roman" w:hAnsi="Times New Roman"/>
                <w:color w:val="FFFFFF"/>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125</w:t>
            </w:r>
          </w:p>
        </w:tc>
      </w:tr>
      <w:tr w:rsidR="00A131AD" w:rsidRPr="00081B73" w:rsidTr="001911A6">
        <w:trPr>
          <w:cantSplit/>
        </w:trPr>
        <w:tc>
          <w:tcPr>
            <w:tcW w:w="901" w:type="dxa"/>
            <w:vMerge/>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271</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676</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*Izvor: </w:t>
      </w:r>
      <w:r w:rsidR="000E56ED">
        <w:rPr>
          <w:rFonts w:ascii="Times New Roman" w:hAnsi="Times New Roman"/>
          <w:sz w:val="20"/>
          <w:szCs w:val="20"/>
          <w:lang w:val="bs-Latn-BA"/>
        </w:rPr>
        <w:t>Izvještaj</w:t>
      </w:r>
      <w:r w:rsidRPr="00081B73">
        <w:rPr>
          <w:rFonts w:ascii="Times New Roman" w:hAnsi="Times New Roman"/>
          <w:sz w:val="20"/>
          <w:szCs w:val="20"/>
          <w:lang w:val="bs-Latn-BA"/>
        </w:rPr>
        <w:t xml:space="preserve"> o radu </w:t>
      </w:r>
      <w:r w:rsidR="00CB5BF5">
        <w:rPr>
          <w:rFonts w:ascii="Times New Roman" w:hAnsi="Times New Roman"/>
          <w:sz w:val="20"/>
          <w:szCs w:val="20"/>
          <w:lang w:val="bs-Latn-BA"/>
        </w:rPr>
        <w:t>ljekarni</w:t>
      </w:r>
      <w:r w:rsidRPr="00081B73">
        <w:rPr>
          <w:rFonts w:ascii="Times New Roman" w:hAnsi="Times New Roman"/>
          <w:sz w:val="20"/>
          <w:szCs w:val="20"/>
          <w:lang w:val="bs-Latn-BA"/>
        </w:rPr>
        <w:t xml:space="preserve"> za 2015. godinu</w:t>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br w:type="page"/>
        <w:t>Posavski kanton</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9776" behindDoc="0" locked="0" layoutInCell="1" allowOverlap="1" wp14:anchorId="7C644042" wp14:editId="2D021A4A">
            <wp:simplePos x="0" y="0"/>
            <wp:positionH relativeFrom="column">
              <wp:posOffset>-114300</wp:posOffset>
            </wp:positionH>
            <wp:positionV relativeFrom="paragraph">
              <wp:posOffset>92075</wp:posOffset>
            </wp:positionV>
            <wp:extent cx="2146300" cy="2076450"/>
            <wp:effectExtent l="0" t="0" r="6350" b="0"/>
            <wp:wrapSquare wrapText="bothSides"/>
            <wp:docPr id="126" name="Picture 126" descr="can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nton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14630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B73">
        <w:rPr>
          <w:rFonts w:ascii="Times New Roman" w:hAnsi="Times New Roman"/>
          <w:sz w:val="20"/>
          <w:szCs w:val="20"/>
          <w:lang w:val="bs-Latn-BA"/>
        </w:rPr>
        <w:t xml:space="preserve">         </w:t>
      </w:r>
      <w:r w:rsidR="00A80006">
        <w:rPr>
          <w:rFonts w:ascii="Times New Roman" w:hAnsi="Times New Roman"/>
          <w:sz w:val="20"/>
          <w:szCs w:val="20"/>
          <w:lang w:val="bs-Latn-BA"/>
        </w:rPr>
        <w:t>Tabela</w:t>
      </w:r>
      <w:r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Pr="00081B73">
        <w:rPr>
          <w:rFonts w:ascii="Times New Roman" w:hAnsi="Times New Roman"/>
          <w:sz w:val="20"/>
          <w:szCs w:val="20"/>
          <w:lang w:val="bs-Latn-BA"/>
        </w:rPr>
        <w:t>nama*</w:t>
      </w:r>
    </w:p>
    <w:tbl>
      <w:tblPr>
        <w:tblpPr w:leftFromText="180" w:rightFromText="180" w:vertAnchor="text" w:horzAnchor="margin" w:tblpXSpec="right" w:tblpY="564"/>
        <w:tblW w:w="4735" w:type="dxa"/>
        <w:tblCellSpacing w:w="15" w:type="dxa"/>
        <w:tblCellMar>
          <w:top w:w="15" w:type="dxa"/>
          <w:left w:w="15" w:type="dxa"/>
          <w:bottom w:w="15" w:type="dxa"/>
          <w:right w:w="15" w:type="dxa"/>
        </w:tblCellMar>
        <w:tblLook w:val="0000" w:firstRow="0" w:lastRow="0" w:firstColumn="0" w:lastColumn="0" w:noHBand="0" w:noVBand="0"/>
      </w:tblPr>
      <w:tblGrid>
        <w:gridCol w:w="2491"/>
        <w:gridCol w:w="1122"/>
        <w:gridCol w:w="1122"/>
      </w:tblGrid>
      <w:tr w:rsidR="00A131AD" w:rsidRPr="00081B73" w:rsidTr="001911A6">
        <w:trPr>
          <w:trHeight w:val="510"/>
          <w:tblCellSpacing w:w="15" w:type="dxa"/>
        </w:trPr>
        <w:tc>
          <w:tcPr>
            <w:tcW w:w="2446"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color w:val="800000"/>
                <w:sz w:val="20"/>
                <w:szCs w:val="20"/>
                <w:lang w:val="bs-Latn-BA"/>
              </w:rPr>
              <w:t>Opšti</w:t>
            </w:r>
            <w:r w:rsidR="00A131AD" w:rsidRPr="00081B73">
              <w:rPr>
                <w:rFonts w:ascii="Times New Roman" w:hAnsi="Times New Roman"/>
                <w:color w:val="800000"/>
                <w:sz w:val="20"/>
                <w:szCs w:val="20"/>
                <w:lang w:val="bs-Latn-BA"/>
              </w:rPr>
              <w:t>na</w:t>
            </w:r>
          </w:p>
        </w:tc>
        <w:tc>
          <w:tcPr>
            <w:tcW w:w="1092"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077"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Domaljevac-Šamac</w:t>
            </w:r>
          </w:p>
        </w:tc>
        <w:tc>
          <w:tcPr>
            <w:tcW w:w="109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44,4</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4.415</w:t>
            </w:r>
          </w:p>
        </w:tc>
      </w:tr>
      <w:tr w:rsidR="00A131AD" w:rsidRPr="00081B73" w:rsidTr="001911A6">
        <w:trPr>
          <w:trHeight w:val="222"/>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Odžak</w:t>
            </w:r>
          </w:p>
        </w:tc>
        <w:tc>
          <w:tcPr>
            <w:tcW w:w="109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158,4</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14.972</w:t>
            </w:r>
          </w:p>
        </w:tc>
      </w:tr>
      <w:tr w:rsidR="00A131AD" w:rsidRPr="00081B73" w:rsidTr="001911A6">
        <w:trPr>
          <w:trHeight w:val="222"/>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Orašje</w:t>
            </w:r>
          </w:p>
        </w:tc>
        <w:tc>
          <w:tcPr>
            <w:tcW w:w="109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121,8</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18.988</w:t>
            </w:r>
          </w:p>
        </w:tc>
      </w:tr>
      <w:tr w:rsidR="00A131AD" w:rsidRPr="00081B73" w:rsidTr="001911A6">
        <w:trPr>
          <w:trHeight w:val="176"/>
          <w:tblCellSpacing w:w="15" w:type="dxa"/>
        </w:trPr>
        <w:tc>
          <w:tcPr>
            <w:tcW w:w="244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092"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324,6</w:t>
            </w:r>
          </w:p>
        </w:tc>
        <w:tc>
          <w:tcPr>
            <w:tcW w:w="107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38.375</w:t>
            </w:r>
          </w:p>
        </w:tc>
      </w:tr>
      <w:tr w:rsidR="00A131AD" w:rsidRPr="00081B73" w:rsidTr="001911A6">
        <w:trPr>
          <w:trHeight w:val="176"/>
          <w:tblCellSpacing w:w="15" w:type="dxa"/>
        </w:trPr>
        <w:tc>
          <w:tcPr>
            <w:tcW w:w="244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092"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119,1</w:t>
            </w:r>
          </w:p>
        </w:tc>
        <w:tc>
          <w:tcPr>
            <w:tcW w:w="107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A80006" w:rsidP="00CF03C8">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w:t>
      </w:r>
      <w:r w:rsidR="00A131AD" w:rsidRPr="00081B73">
        <w:t>vitalne</w:t>
      </w:r>
      <w:r w:rsidR="00A131AD" w:rsidRPr="00081B73">
        <w:rPr>
          <w:lang w:val="bs-Latn-BA"/>
        </w:rPr>
        <w:t xml:space="preserv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1"/>
        <w:gridCol w:w="2689"/>
        <w:gridCol w:w="2496"/>
      </w:tblGrid>
      <w:tr w:rsidR="00A131AD" w:rsidRPr="00081B73" w:rsidTr="001911A6">
        <w:tc>
          <w:tcPr>
            <w:tcW w:w="3671"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5,9</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5,1</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12,2</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12,1</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10,3</w:t>
            </w:r>
          </w:p>
        </w:tc>
      </w:tr>
      <w:tr w:rsidR="00A131AD" w:rsidRPr="00081B73" w:rsidTr="001911A6">
        <w:tc>
          <w:tcPr>
            <w:tcW w:w="3671"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-6,3</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3: Vodeći uzroci smrti za 2010</w:t>
      </w:r>
      <w:r w:rsidR="00624C80">
        <w:rPr>
          <w:lang w:val="bs-Latn-BA"/>
        </w:rPr>
        <w:t>.</w:t>
      </w:r>
      <w:r w:rsidR="00A131AD"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739"/>
        <w:gridCol w:w="567"/>
        <w:gridCol w:w="850"/>
        <w:gridCol w:w="426"/>
        <w:gridCol w:w="2693"/>
        <w:gridCol w:w="573"/>
        <w:gridCol w:w="935"/>
      </w:tblGrid>
      <w:tr w:rsidR="00A131AD" w:rsidRPr="00081B73" w:rsidTr="001911A6">
        <w:trPr>
          <w:trHeight w:val="405"/>
        </w:trPr>
        <w:tc>
          <w:tcPr>
            <w:tcW w:w="4644"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2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73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6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5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26"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9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7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w:t>
            </w:r>
          </w:p>
        </w:tc>
        <w:tc>
          <w:tcPr>
            <w:tcW w:w="850"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14,3</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77</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16,6</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739"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850" w:type="dxa"/>
          </w:tcPr>
          <w:p w:rsidR="00A131AD" w:rsidRPr="00081B73" w:rsidRDefault="00A131AD" w:rsidP="000C0138">
            <w:pPr>
              <w:tabs>
                <w:tab w:val="left" w:pos="4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11,8</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93" w:type="dxa"/>
          </w:tcPr>
          <w:p w:rsidR="00A131AD" w:rsidRPr="00081B73" w:rsidRDefault="00512E30"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Hronična</w:t>
            </w:r>
            <w:r w:rsidR="00A131AD" w:rsidRPr="00081B73">
              <w:rPr>
                <w:rFonts w:ascii="Times New Roman" w:hAnsi="Times New Roman"/>
                <w:sz w:val="20"/>
                <w:szCs w:val="20"/>
                <w:lang w:val="bs-Latn-BA"/>
              </w:rPr>
              <w:t xml:space="preserve"> ishemična oboljenja srca (I25)</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34</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7,3</w:t>
            </w:r>
          </w:p>
        </w:tc>
      </w:tr>
      <w:tr w:rsidR="00A131AD" w:rsidRPr="00081B73" w:rsidTr="001911A6">
        <w:trPr>
          <w:trHeight w:val="554"/>
        </w:trPr>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Sekvele cerebrovaskularnih oboljenja </w:t>
            </w:r>
            <w:r w:rsidRPr="00081B73">
              <w:rPr>
                <w:rFonts w:ascii="Times New Roman" w:hAnsi="Times New Roman"/>
                <w:sz w:val="20"/>
                <w:szCs w:val="20"/>
              </w:rPr>
              <w:t>(I69)</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93"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en-US"/>
              </w:rPr>
              <w:t>Moždani udar (I63)</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28</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93"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Maligna neoplazma bronha i pluća (C34)</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17</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60,6</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278</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465</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god.</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CF03C8" w:rsidRDefault="00CF03C8" w:rsidP="00081B73">
      <w:pPr>
        <w:spacing w:after="160" w:line="259" w:lineRule="auto"/>
        <w:jc w:val="left"/>
        <w:rPr>
          <w:rFonts w:ascii="Times New Roman" w:hAnsi="Times New Roman"/>
          <w:sz w:val="20"/>
          <w:szCs w:val="20"/>
          <w:lang w:val="bs-Latn-BA"/>
        </w:rPr>
      </w:pPr>
    </w:p>
    <w:p w:rsidR="00081B73" w:rsidRDefault="00081B73" w:rsidP="00081B73">
      <w:pPr>
        <w:spacing w:after="160" w:line="259" w:lineRule="auto"/>
        <w:jc w:val="left"/>
        <w:rPr>
          <w:rFonts w:ascii="Times New Roman" w:hAnsi="Times New Roman"/>
          <w:sz w:val="20"/>
          <w:szCs w:val="20"/>
          <w:lang w:val="bs-Latn-BA"/>
        </w:rPr>
      </w:pPr>
    </w:p>
    <w:p w:rsidR="00081B73" w:rsidRPr="00081B73" w:rsidRDefault="00081B73" w:rsidP="00081B73">
      <w:pPr>
        <w:spacing w:after="160" w:line="259" w:lineRule="auto"/>
        <w:jc w:val="left"/>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sz w:val="20"/>
          <w:szCs w:val="20"/>
          <w:lang w:val="bs-Latn-BA"/>
        </w:rPr>
      </w:pPr>
    </w:p>
    <w:p w:rsidR="00CF03C8" w:rsidRPr="00081B73" w:rsidRDefault="00CF03C8" w:rsidP="00CF03C8">
      <w:pPr>
        <w:pStyle w:val="refererere"/>
        <w:rPr>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4: Vodeće zarazne bolesti za 2010</w:t>
      </w:r>
      <w:r w:rsidR="00624C80">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221"/>
        <w:gridCol w:w="839"/>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CF03C8">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22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3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146,76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Varicella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166,76</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83,50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143,32</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48,08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104,23</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839"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37,96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15,64</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Toxiinfectio alim.</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7,59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TBC activa resp</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10,42</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221"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323,88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44,3</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221"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351,72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495,11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BB3160">
        <w:rPr>
          <w:lang w:val="bs-Latn-BA"/>
        </w:rPr>
        <w:t xml:space="preserve"> 5: Prevalenc</w:t>
      </w:r>
      <w:r w:rsidR="00624C80">
        <w:rPr>
          <w:lang w:val="bs-Latn-BA"/>
        </w:rPr>
        <w:t>ij</w:t>
      </w:r>
      <w:r w:rsidR="00A131AD" w:rsidRPr="00BB3160">
        <w:rPr>
          <w:lang w:val="bs-Latn-BA"/>
        </w:rPr>
        <w:t>a nezaraznih bolesti za 2010 i  2015. godinu</w:t>
      </w: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8"/>
        <w:gridCol w:w="180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80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8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858,3</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1155,7</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24,0</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53,9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140,4</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336,7</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229,8</w:t>
            </w:r>
          </w:p>
        </w:tc>
        <w:tc>
          <w:tcPr>
            <w:tcW w:w="1800" w:type="dxa"/>
          </w:tcPr>
          <w:p w:rsidR="00A131AD" w:rsidRPr="00BB3160" w:rsidRDefault="00AC4206" w:rsidP="000C0138">
            <w:pPr>
              <w:tabs>
                <w:tab w:val="left" w:pos="390"/>
              </w:tabs>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120,4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162,7</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455,0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354,8</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1053,6</w:t>
            </w:r>
          </w:p>
        </w:tc>
      </w:tr>
    </w:tbl>
    <w:p w:rsidR="00CF03C8" w:rsidRPr="00081B73" w:rsidRDefault="00CF03C8" w:rsidP="00CF03C8">
      <w:pPr>
        <w:pStyle w:val="refererere"/>
        <w:rPr>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Posavski kanton</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27%</w:t>
            </w:r>
          </w:p>
        </w:tc>
        <w:tc>
          <w:tcPr>
            <w:tcW w:w="1622"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17%</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CF03C8" w:rsidRPr="00081B73" w:rsidRDefault="00CF03C8" w:rsidP="000C0138">
      <w:pPr>
        <w:spacing w:line="276" w:lineRule="auto"/>
        <w:rPr>
          <w:rFonts w:ascii="Times New Roman" w:hAnsi="Times New Roman"/>
          <w:sz w:val="20"/>
          <w:szCs w:val="20"/>
          <w:lang w:val="bs-Latn-BA"/>
        </w:rPr>
      </w:pPr>
    </w:p>
    <w:p w:rsidR="00A131AD" w:rsidRPr="00081B73" w:rsidRDefault="00A80006" w:rsidP="000C0138">
      <w:pP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111</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*Izvor: </w:t>
      </w:r>
      <w:r w:rsidR="000E56ED">
        <w:rPr>
          <w:rFonts w:ascii="Times New Roman" w:hAnsi="Times New Roman"/>
          <w:sz w:val="20"/>
          <w:szCs w:val="20"/>
          <w:lang w:val="bs-Latn-BA"/>
        </w:rPr>
        <w:t>Izvještaj</w:t>
      </w:r>
      <w:r w:rsidRPr="00081B73">
        <w:rPr>
          <w:rFonts w:ascii="Times New Roman" w:hAnsi="Times New Roman"/>
          <w:sz w:val="20"/>
          <w:szCs w:val="20"/>
          <w:lang w:val="bs-Latn-BA"/>
        </w:rPr>
        <w:t xml:space="preserve"> o radu </w:t>
      </w:r>
      <w:r w:rsidR="00624C80">
        <w:rPr>
          <w:rFonts w:ascii="Times New Roman" w:hAnsi="Times New Roman"/>
          <w:sz w:val="20"/>
          <w:szCs w:val="20"/>
          <w:lang w:val="bs-Latn-BA"/>
        </w:rPr>
        <w:t>ljekarni</w:t>
      </w:r>
      <w:r w:rsidRPr="00081B73">
        <w:rPr>
          <w:rFonts w:ascii="Times New Roman" w:hAnsi="Times New Roman"/>
          <w:sz w:val="20"/>
          <w:szCs w:val="20"/>
          <w:lang w:val="bs-Latn-BA"/>
        </w:rPr>
        <w:t xml:space="preserve"> za 2015 godinu</w:t>
      </w:r>
    </w:p>
    <w:p w:rsidR="00081B73" w:rsidRDefault="00081B73">
      <w:pPr>
        <w:spacing w:after="160" w:line="259" w:lineRule="auto"/>
        <w:jc w:val="left"/>
        <w:rPr>
          <w:rFonts w:ascii="Times New Roman" w:hAnsi="Times New Roman"/>
          <w:b/>
          <w:sz w:val="20"/>
          <w:szCs w:val="20"/>
          <w:lang w:val="bs-Latn-BA"/>
        </w:rPr>
      </w:pPr>
      <w:r>
        <w:rPr>
          <w:rFonts w:ascii="Times New Roman" w:hAnsi="Times New Roman"/>
          <w:b/>
          <w:sz w:val="20"/>
          <w:szCs w:val="20"/>
          <w:lang w:val="bs-Latn-BA"/>
        </w:rPr>
        <w:br w:type="page"/>
      </w:r>
    </w:p>
    <w:p w:rsidR="00A131AD" w:rsidRPr="00081B73" w:rsidRDefault="00CF03C8" w:rsidP="000C0138">
      <w:pPr>
        <w:spacing w:line="276" w:lineRule="auto"/>
        <w:jc w:val="center"/>
        <w:rPr>
          <w:rFonts w:ascii="Times New Roman" w:hAnsi="Times New Roman"/>
          <w:b/>
          <w:sz w:val="20"/>
          <w:szCs w:val="20"/>
          <w:lang w:val="bs-Latn-BA"/>
        </w:rPr>
      </w:pPr>
      <w:r w:rsidRPr="00081B73">
        <w:rPr>
          <w:rFonts w:ascii="Times New Roman" w:hAnsi="Times New Roman"/>
          <w:b/>
          <w:sz w:val="20"/>
          <w:szCs w:val="20"/>
          <w:lang w:val="bs-Latn-BA"/>
        </w:rPr>
        <w:t>T</w:t>
      </w:r>
      <w:r w:rsidR="00A131AD" w:rsidRPr="00081B73">
        <w:rPr>
          <w:rFonts w:ascii="Times New Roman" w:hAnsi="Times New Roman"/>
          <w:b/>
          <w:sz w:val="20"/>
          <w:szCs w:val="20"/>
          <w:lang w:val="bs-Latn-BA"/>
        </w:rPr>
        <w:t>uzlanski kanton</w:t>
      </w:r>
    </w:p>
    <w:p w:rsidR="00A131AD" w:rsidRPr="00081B73" w:rsidRDefault="00A131AD" w:rsidP="000C0138">
      <w:pPr>
        <w:spacing w:line="276" w:lineRule="auto"/>
        <w:jc w:val="center"/>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A80006">
        <w:rPr>
          <w:rFonts w:ascii="Times New Roman" w:hAnsi="Times New Roman"/>
          <w:sz w:val="20"/>
          <w:szCs w:val="20"/>
          <w:lang w:val="bs-Latn-BA"/>
        </w:rPr>
        <w:t>Tabela</w:t>
      </w:r>
      <w:r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1584" behindDoc="0" locked="0" layoutInCell="1" allowOverlap="1" wp14:anchorId="1E7AACF5" wp14:editId="6349F012">
            <wp:simplePos x="0" y="0"/>
            <wp:positionH relativeFrom="column">
              <wp:posOffset>-571500</wp:posOffset>
            </wp:positionH>
            <wp:positionV relativeFrom="paragraph">
              <wp:posOffset>206375</wp:posOffset>
            </wp:positionV>
            <wp:extent cx="2380615" cy="2263775"/>
            <wp:effectExtent l="0" t="0" r="635" b="3175"/>
            <wp:wrapSquare wrapText="bothSides"/>
            <wp:docPr id="125" name="Picture 125" descr="cant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ton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80615" cy="2263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61" w:type="dxa"/>
        <w:tblCellSpacing w:w="15" w:type="dxa"/>
        <w:tblCellMar>
          <w:top w:w="15" w:type="dxa"/>
          <w:left w:w="15" w:type="dxa"/>
          <w:bottom w:w="15" w:type="dxa"/>
          <w:right w:w="15" w:type="dxa"/>
        </w:tblCellMar>
        <w:tblLook w:val="0000" w:firstRow="0" w:lastRow="0" w:firstColumn="0" w:lastColumn="0" w:noHBand="0" w:noVBand="0"/>
      </w:tblPr>
      <w:tblGrid>
        <w:gridCol w:w="2421"/>
        <w:gridCol w:w="1237"/>
        <w:gridCol w:w="1103"/>
      </w:tblGrid>
      <w:tr w:rsidR="00A131AD" w:rsidRPr="00081B73" w:rsidTr="001911A6">
        <w:trPr>
          <w:trHeight w:val="930"/>
          <w:tblCellSpacing w:w="15" w:type="dxa"/>
        </w:trPr>
        <w:tc>
          <w:tcPr>
            <w:tcW w:w="2376"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b/>
                <w:bCs/>
                <w:color w:val="800000"/>
                <w:sz w:val="20"/>
                <w:szCs w:val="20"/>
                <w:lang w:val="bs-Latn-BA"/>
              </w:rPr>
              <w:t>Opšti</w:t>
            </w:r>
            <w:r w:rsidR="00A131AD" w:rsidRPr="00081B73">
              <w:rPr>
                <w:rFonts w:ascii="Times New Roman" w:hAnsi="Times New Roman"/>
                <w:b/>
                <w:bCs/>
                <w:color w:val="800000"/>
                <w:sz w:val="20"/>
                <w:szCs w:val="20"/>
                <w:lang w:val="bs-Latn-BA"/>
              </w:rPr>
              <w:t>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8"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31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Banovići</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185,0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25.922</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Čelić</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140,0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13.575</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Doboj-Istok</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10.167</w:t>
            </w:r>
          </w:p>
        </w:tc>
      </w:tr>
      <w:tr w:rsidR="00A131AD" w:rsidRPr="00081B73" w:rsidTr="001911A6">
        <w:trPr>
          <w:cantSplit/>
          <w:trHeight w:val="31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Gračanica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216,0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52.701</w:t>
            </w:r>
          </w:p>
        </w:tc>
      </w:tr>
      <w:tr w:rsidR="00A131AD" w:rsidRPr="00081B73" w:rsidTr="001911A6">
        <w:trPr>
          <w:cantSplit/>
          <w:trHeight w:val="31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Gradačac</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218,0</w:t>
            </w:r>
          </w:p>
        </w:tc>
        <w:tc>
          <w:tcPr>
            <w:tcW w:w="1058"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45.875</w:t>
            </w:r>
          </w:p>
        </w:tc>
      </w:tr>
      <w:tr w:rsidR="00A131AD" w:rsidRPr="00081B73" w:rsidTr="001911A6">
        <w:trPr>
          <w:cantSplit/>
          <w:trHeight w:val="31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Kalesija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201,0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35.990</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Kladanj</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14.470</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Lukavac</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50.316</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Sapna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118,0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12.629</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Srebrenik</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248,0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41.906</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Teočak</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7.299</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Tuzla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294,0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131.684</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Živinice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56.232</w:t>
            </w:r>
          </w:p>
        </w:tc>
      </w:tr>
      <w:tr w:rsidR="00A131AD" w:rsidRPr="00081B73" w:rsidTr="001911A6">
        <w:trPr>
          <w:trHeight w:val="315"/>
          <w:tblCellSpacing w:w="15" w:type="dxa"/>
        </w:trPr>
        <w:tc>
          <w:tcPr>
            <w:tcW w:w="237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2.649,0</w:t>
            </w:r>
          </w:p>
        </w:tc>
        <w:tc>
          <w:tcPr>
            <w:tcW w:w="1058" w:type="dxa"/>
            <w:shd w:val="clear" w:color="auto" w:fill="FFFFFF"/>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498.766</w:t>
            </w:r>
          </w:p>
        </w:tc>
      </w:tr>
      <w:tr w:rsidR="00A131AD" w:rsidRPr="00081B73" w:rsidTr="001911A6">
        <w:trPr>
          <w:trHeight w:val="315"/>
          <w:tblCellSpacing w:w="15" w:type="dxa"/>
        </w:trPr>
        <w:tc>
          <w:tcPr>
            <w:tcW w:w="2376" w:type="dxa"/>
            <w:shd w:val="clear" w:color="auto" w:fill="FFFFFF"/>
            <w:vAlign w:val="center"/>
          </w:tcPr>
          <w:p w:rsidR="00A131AD" w:rsidRPr="00081B73" w:rsidRDefault="00A131AD" w:rsidP="000C0138">
            <w:pPr>
              <w:spacing w:line="276" w:lineRule="auto"/>
              <w:rPr>
                <w:rFonts w:ascii="Times New Roman" w:hAnsi="Times New Roman"/>
                <w:color w:val="000080"/>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color w:val="800000"/>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color w:val="000080"/>
                <w:sz w:val="20"/>
                <w:szCs w:val="20"/>
                <w:lang w:val="bs-Latn-BA"/>
              </w:rPr>
            </w:pPr>
            <w:r w:rsidRPr="00081B73">
              <w:rPr>
                <w:rFonts w:ascii="Times New Roman" w:hAnsi="Times New Roman"/>
                <w:color w:val="000080"/>
                <w:sz w:val="20"/>
                <w:szCs w:val="20"/>
                <w:lang w:val="bs-Latn-BA"/>
              </w:rPr>
              <w:t>188,4</w:t>
            </w:r>
          </w:p>
        </w:tc>
        <w:tc>
          <w:tcPr>
            <w:tcW w:w="1058"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t xml:space="preserve">  * procjena broja stanovnika na dan 30.06.2015. godine</w:t>
      </w:r>
    </w:p>
    <w:p w:rsidR="00A131AD" w:rsidRPr="00081B73" w:rsidRDefault="00A80006" w:rsidP="00CF03C8">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693"/>
        <w:gridCol w:w="2494"/>
      </w:tblGrid>
      <w:tr w:rsidR="00A131AD" w:rsidRPr="00081B73" w:rsidTr="001911A6">
        <w:tc>
          <w:tcPr>
            <w:tcW w:w="3669"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3" w:type="dxa"/>
          </w:tcPr>
          <w:p w:rsidR="00A131AD" w:rsidRPr="00081B73" w:rsidRDefault="00A131AD" w:rsidP="000C0138">
            <w:pPr>
              <w:tabs>
                <w:tab w:val="left" w:pos="465"/>
              </w:tabs>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9,7</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7,8</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7,9</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8,2</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7,5</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7,4</w:t>
            </w:r>
          </w:p>
        </w:tc>
      </w:tr>
      <w:tr w:rsidR="00A131AD" w:rsidRPr="00081B73" w:rsidTr="001911A6">
        <w:tc>
          <w:tcPr>
            <w:tcW w:w="3669"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1,8</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-0,4</w:t>
            </w:r>
          </w:p>
        </w:tc>
      </w:tr>
    </w:tbl>
    <w:p w:rsidR="00F83CAD" w:rsidRPr="00081B73" w:rsidRDefault="00F83CAD" w:rsidP="00CF03C8">
      <w:pPr>
        <w:pStyle w:val="refererere"/>
        <w:rPr>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3: Vodeći uzroci smrti za 2010</w:t>
      </w:r>
      <w:r w:rsidR="00624C80">
        <w:rPr>
          <w:lang w:val="bs-Latn-BA"/>
        </w:rPr>
        <w:t>.</w:t>
      </w:r>
      <w:r w:rsidR="00A131AD"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2286"/>
        <w:gridCol w:w="750"/>
        <w:gridCol w:w="964"/>
        <w:gridCol w:w="639"/>
        <w:gridCol w:w="2209"/>
        <w:gridCol w:w="763"/>
        <w:gridCol w:w="1021"/>
      </w:tblGrid>
      <w:tr w:rsidR="00A131AD" w:rsidRPr="00081B73" w:rsidTr="001911A6">
        <w:trPr>
          <w:trHeight w:val="405"/>
        </w:trPr>
        <w:tc>
          <w:tcPr>
            <w:tcW w:w="4614"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5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512"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8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4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12"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3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396</w:t>
            </w:r>
          </w:p>
        </w:tc>
        <w:tc>
          <w:tcPr>
            <w:tcW w:w="969" w:type="dxa"/>
          </w:tcPr>
          <w:p w:rsidR="00A131AD" w:rsidRPr="00081B73" w:rsidRDefault="00A131AD" w:rsidP="000C0138">
            <w:pPr>
              <w:tabs>
                <w:tab w:val="left" w:pos="26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Esencijalna hipertenzija (I10)</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12,7</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85"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361</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9,2</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436</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10,7</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85"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Moždani udar ( I63)</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470</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Akutni infrakt miokarda (I21)</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291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7,1</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241</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6,1</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Inzulino-neovisni diabetes mellitus (E11)</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5,4</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Esencijalna hipertenzija (I10)</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237</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7"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bs-Latn-BA"/>
              </w:rPr>
              <w:t>Maligne neoplazme bronha i pluća (C34)</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198</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4,8</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F83C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w:t>
            </w:r>
            <w:r w:rsidR="00A131AD" w:rsidRPr="00081B73">
              <w:rPr>
                <w:rFonts w:ascii="Times New Roman" w:hAnsi="Times New Roman"/>
                <w:sz w:val="20"/>
                <w:szCs w:val="20"/>
                <w:lang w:val="bs-Latn-BA"/>
              </w:rPr>
              <w:t xml:space="preserve"> uzroci smrti</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2225</w:t>
            </w:r>
          </w:p>
        </w:tc>
        <w:tc>
          <w:tcPr>
            <w:tcW w:w="969" w:type="dxa"/>
          </w:tcPr>
          <w:p w:rsidR="00A131AD" w:rsidRPr="00081B73" w:rsidRDefault="00A131AD" w:rsidP="000C0138">
            <w:pPr>
              <w:tabs>
                <w:tab w:val="left" w:pos="4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56,6</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2426</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59,3</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3930</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4093</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4: Vodeće zarazne bolesti za 2010</w:t>
      </w:r>
      <w:r w:rsidR="00624C80">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179"/>
        <w:gridCol w:w="881"/>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1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183,95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5066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1015,71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649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130,05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1131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226,76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104,0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1035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207,51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305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61,12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990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198,49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54,30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TBC activa resp</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44,11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2662</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533,41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8442</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1692,6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3309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663,06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9298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1864,20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5: Prevalenc</w:t>
      </w:r>
      <w:r w:rsidR="00624C80">
        <w:rPr>
          <w:lang w:val="bs-Latn-BA"/>
        </w:rPr>
        <w:t>ij</w:t>
      </w:r>
      <w:r w:rsidR="00A131AD" w:rsidRPr="00081B73">
        <w:rPr>
          <w:lang w:val="bs-Latn-BA"/>
        </w:rPr>
        <w:t>a nezaraznih bolesti za 2010</w:t>
      </w:r>
      <w:r w:rsidR="00624C80">
        <w:rPr>
          <w:lang w:val="bs-Latn-BA"/>
        </w:rPr>
        <w:t>.</w:t>
      </w:r>
      <w:r w:rsidR="00A131AD" w:rsidRPr="00081B73">
        <w:rPr>
          <w:lang w:val="bs-Latn-BA"/>
        </w:rPr>
        <w:t xml:space="preserve"> i 2015. godinu</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9"/>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1.242,6</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1647,4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246,0</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355,3</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173,1</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161,6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398,7</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638,2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560,8</w:t>
            </w:r>
          </w:p>
        </w:tc>
      </w:tr>
    </w:tbl>
    <w:p w:rsidR="00CF03C8" w:rsidRPr="00081B73" w:rsidRDefault="00CF03C8" w:rsidP="000C0138">
      <w:pPr>
        <w:spacing w:after="160" w:line="276" w:lineRule="auto"/>
        <w:jc w:val="left"/>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Tuzlanski kanton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 xml:space="preserve">središnji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314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65</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1621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1608</w:t>
            </w:r>
          </w:p>
        </w:tc>
      </w:tr>
    </w:tbl>
    <w:p w:rsidR="00A131AD" w:rsidRPr="00081B73" w:rsidRDefault="00A131AD" w:rsidP="000C0138">
      <w:pPr>
        <w:spacing w:line="276" w:lineRule="auto"/>
        <w:jc w:val="center"/>
        <w:rPr>
          <w:rFonts w:ascii="Times New Roman" w:hAnsi="Times New Roman"/>
          <w:b/>
          <w:bCs/>
          <w:sz w:val="20"/>
          <w:szCs w:val="20"/>
          <w:lang w:val="bs-Latn-BA"/>
        </w:rPr>
      </w:pPr>
    </w:p>
    <w:p w:rsidR="00A57E2D" w:rsidRPr="00081B73" w:rsidRDefault="00A57E2D" w:rsidP="00A57E2D">
      <w:pPr>
        <w:spacing w:line="276" w:lineRule="auto"/>
        <w:rPr>
          <w:rFonts w:ascii="Times New Roman" w:hAnsi="Times New Roman"/>
          <w:b/>
          <w:bCs/>
          <w:sz w:val="20"/>
          <w:szCs w:val="20"/>
          <w:lang w:val="bs-Latn-BA"/>
        </w:rPr>
      </w:pPr>
    </w:p>
    <w:p w:rsidR="00175786" w:rsidRPr="00081B73" w:rsidRDefault="00175786" w:rsidP="00A57E2D">
      <w:pPr>
        <w:spacing w:line="276" w:lineRule="auto"/>
        <w:rPr>
          <w:rFonts w:ascii="Times New Roman" w:hAnsi="Times New Roman"/>
          <w:b/>
          <w:bCs/>
          <w:sz w:val="20"/>
          <w:szCs w:val="20"/>
          <w:lang w:val="bs-Latn-BA"/>
        </w:rPr>
      </w:pPr>
    </w:p>
    <w:p w:rsidR="00A131AD" w:rsidRPr="00081B73" w:rsidRDefault="00A131AD" w:rsidP="00A57E2D">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Zeničko-dobojski kanton</w:t>
      </w:r>
    </w:p>
    <w:p w:rsidR="00A131AD" w:rsidRPr="00081B73" w:rsidRDefault="00624C80"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 xml:space="preserve">      </w:t>
      </w:r>
      <w:r w:rsidR="00A80006">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2608" behindDoc="0" locked="0" layoutInCell="1" allowOverlap="1" wp14:anchorId="268BBDCE" wp14:editId="59FD4474">
            <wp:simplePos x="0" y="0"/>
            <wp:positionH relativeFrom="column">
              <wp:posOffset>19685</wp:posOffset>
            </wp:positionH>
            <wp:positionV relativeFrom="paragraph">
              <wp:posOffset>138430</wp:posOffset>
            </wp:positionV>
            <wp:extent cx="2152015" cy="2082165"/>
            <wp:effectExtent l="0" t="0" r="635" b="0"/>
            <wp:wrapSquare wrapText="bothSides"/>
            <wp:docPr id="124" name="Picture 124" descr="canto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ton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52015" cy="20821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58" w:type="dxa"/>
        <w:tblCellSpacing w:w="15" w:type="dxa"/>
        <w:tblCellMar>
          <w:top w:w="15" w:type="dxa"/>
          <w:left w:w="15" w:type="dxa"/>
          <w:bottom w:w="15" w:type="dxa"/>
          <w:right w:w="15" w:type="dxa"/>
        </w:tblCellMar>
        <w:tblLook w:val="0000" w:firstRow="0" w:lastRow="0" w:firstColumn="0" w:lastColumn="0" w:noHBand="0" w:noVBand="0"/>
      </w:tblPr>
      <w:tblGrid>
        <w:gridCol w:w="2426"/>
        <w:gridCol w:w="1237"/>
        <w:gridCol w:w="1095"/>
      </w:tblGrid>
      <w:tr w:rsidR="00A131AD" w:rsidRPr="00081B73" w:rsidTr="001911A6">
        <w:trPr>
          <w:trHeight w:val="510"/>
          <w:tblCellSpacing w:w="15" w:type="dxa"/>
        </w:trPr>
        <w:tc>
          <w:tcPr>
            <w:tcW w:w="2381"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b/>
                <w:bCs/>
                <w:color w:val="800000"/>
                <w:sz w:val="20"/>
                <w:szCs w:val="20"/>
                <w:lang w:val="bs-Latn-BA"/>
              </w:rPr>
              <w:t>Opšti</w:t>
            </w:r>
            <w:r w:rsidR="00A131AD" w:rsidRPr="00081B73">
              <w:rPr>
                <w:rFonts w:ascii="Times New Roman" w:hAnsi="Times New Roman"/>
                <w:b/>
                <w:bCs/>
                <w:color w:val="800000"/>
                <w:sz w:val="20"/>
                <w:szCs w:val="20"/>
                <w:lang w:val="bs-Latn-BA"/>
              </w:rPr>
              <w:t>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0"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Breza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72,9</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13.634</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Doboj-Jug</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10,2</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4.932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Kakanj</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377,0</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42.950</w:t>
            </w:r>
          </w:p>
        </w:tc>
      </w:tr>
      <w:tr w:rsidR="00A131AD" w:rsidRPr="00081B73" w:rsidTr="001911A6">
        <w:trPr>
          <w:cantSplit/>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Maglaj</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290,0</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23.202</w:t>
            </w:r>
          </w:p>
        </w:tc>
      </w:tr>
      <w:tr w:rsidR="00A131AD" w:rsidRPr="00081B73" w:rsidTr="001911A6">
        <w:trPr>
          <w:cantSplit/>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Olovo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407,8</w:t>
            </w:r>
          </w:p>
        </w:tc>
        <w:tc>
          <w:tcPr>
            <w:tcW w:w="1050" w:type="dxa"/>
            <w:shd w:val="clear" w:color="auto" w:fill="FFFFCC"/>
            <w:vAlign w:val="center"/>
          </w:tcPr>
          <w:p w:rsidR="00A131AD" w:rsidRPr="00081B73" w:rsidRDefault="00A131AD" w:rsidP="00A57E2D">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 xml:space="preserve">        11.365</w:t>
            </w:r>
          </w:p>
        </w:tc>
      </w:tr>
      <w:tr w:rsidR="00A131AD" w:rsidRPr="00081B73" w:rsidTr="001911A6">
        <w:trPr>
          <w:cantSplit/>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Tešanj</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155,9</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48.772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Usora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49,8</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6.838</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Vareš</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390,1</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9.676</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Visoko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230,8</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39.982</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Zavidovići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590,3</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37.495</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Zenica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558,5</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126.871</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Žepče</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210,0</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31.015</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3.343,3</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396.732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119,0</w:t>
            </w:r>
          </w:p>
        </w:tc>
        <w:tc>
          <w:tcPr>
            <w:tcW w:w="1050"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r w:rsidRPr="00081B73">
        <w:rPr>
          <w:rFonts w:ascii="Times New Roman" w:hAnsi="Times New Roman"/>
          <w:sz w:val="20"/>
          <w:szCs w:val="20"/>
          <w:lang w:val="bs-Latn-BA"/>
        </w:rPr>
        <w:t>* procjena broja stanovnika na dan 30.06.2015. godine</w:t>
      </w:r>
    </w:p>
    <w:p w:rsidR="00A131AD" w:rsidRPr="00081B73" w:rsidRDefault="00A80006" w:rsidP="00CF03C8">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w:t>
      </w:r>
      <w:r w:rsidR="00624C80">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2689"/>
        <w:gridCol w:w="2495"/>
      </w:tblGrid>
      <w:tr w:rsidR="00A131AD" w:rsidRPr="00081B73" w:rsidTr="001911A6">
        <w:tc>
          <w:tcPr>
            <w:tcW w:w="367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9,9</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8,7</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8,3</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8,9</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6,3</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7,8</w:t>
            </w:r>
          </w:p>
        </w:tc>
      </w:tr>
      <w:tr w:rsidR="00A131AD" w:rsidRPr="00081B73" w:rsidTr="001911A6">
        <w:tc>
          <w:tcPr>
            <w:tcW w:w="3672"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1,6</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-0,2</w:t>
            </w:r>
          </w:p>
        </w:tc>
      </w:tr>
    </w:tbl>
    <w:p w:rsidR="00A57E2D" w:rsidRPr="00081B73" w:rsidRDefault="00A57E2D" w:rsidP="00CF03C8">
      <w:pPr>
        <w:pStyle w:val="refererere"/>
        <w:rPr>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3: Vodeći uzroci smrti za 2010</w:t>
      </w:r>
      <w:r w:rsidR="00624C80">
        <w:rPr>
          <w:lang w:val="bs-Latn-BA"/>
        </w:rPr>
        <w:t>.</w:t>
      </w:r>
      <w:r w:rsidR="00A131AD" w:rsidRPr="00081B73">
        <w:rPr>
          <w:lang w:val="bs-Latn-BA"/>
        </w:rPr>
        <w:t xml:space="preserve"> i  2015. godinu **</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2131"/>
        <w:gridCol w:w="794"/>
        <w:gridCol w:w="993"/>
        <w:gridCol w:w="673"/>
        <w:gridCol w:w="2105"/>
        <w:gridCol w:w="794"/>
        <w:gridCol w:w="1015"/>
      </w:tblGrid>
      <w:tr w:rsidR="00A131AD" w:rsidRPr="00081B73" w:rsidTr="00A57E2D">
        <w:trPr>
          <w:trHeight w:val="373"/>
        </w:trPr>
        <w:tc>
          <w:tcPr>
            <w:tcW w:w="459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58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57E2D">
        <w:trPr>
          <w:trHeight w:val="318"/>
        </w:trPr>
        <w:tc>
          <w:tcPr>
            <w:tcW w:w="67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13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9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9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73"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10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9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1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A57E2D">
        <w:trPr>
          <w:trHeight w:val="262"/>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520</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16,6</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595</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16,9</w:t>
            </w:r>
          </w:p>
        </w:tc>
      </w:tr>
      <w:tr w:rsidR="00A131AD" w:rsidRPr="00081B73" w:rsidTr="00A57E2D">
        <w:trPr>
          <w:trHeight w:val="39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131"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94" w:type="dxa"/>
            <w:vAlign w:val="bottom"/>
          </w:tcPr>
          <w:p w:rsidR="00A131AD" w:rsidRPr="00081B73" w:rsidRDefault="00A131AD" w:rsidP="00BB5E07">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433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12,3</w:t>
            </w:r>
          </w:p>
        </w:tc>
      </w:tr>
      <w:tr w:rsidR="00A131AD" w:rsidRPr="00081B73" w:rsidTr="00A57E2D">
        <w:trPr>
          <w:trHeight w:val="262"/>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131"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366</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10,4</w:t>
            </w:r>
          </w:p>
        </w:tc>
      </w:tr>
      <w:tr w:rsidR="00A131AD" w:rsidRPr="00081B73" w:rsidTr="00A57E2D">
        <w:trPr>
          <w:trHeight w:val="54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w:t>
            </w:r>
            <w:r w:rsidR="00BB5E07" w:rsidRPr="00081B73">
              <w:rPr>
                <w:rFonts w:ascii="Times New Roman" w:hAnsi="Times New Roman"/>
                <w:sz w:val="20"/>
                <w:szCs w:val="20"/>
                <w:lang w:val="bs-Latn-BA"/>
              </w:rPr>
              <w:t xml:space="preserve">i </w:t>
            </w:r>
            <w:r w:rsidRPr="00081B73">
              <w:rPr>
                <w:rFonts w:ascii="Times New Roman" w:hAnsi="Times New Roman"/>
                <w:sz w:val="20"/>
                <w:szCs w:val="20"/>
                <w:lang w:val="bs-Latn-BA"/>
              </w:rPr>
              <w:t>infarkt miokarda</w:t>
            </w:r>
            <w:r w:rsidR="00BB5E07" w:rsidRPr="00081B73">
              <w:rPr>
                <w:rFonts w:ascii="Times New Roman" w:hAnsi="Times New Roman"/>
                <w:sz w:val="20"/>
                <w:szCs w:val="20"/>
                <w:lang w:val="bs-Latn-BA"/>
              </w:rPr>
              <w:t xml:space="preserve"> </w:t>
            </w:r>
            <w:r w:rsidR="00BB5E07" w:rsidRPr="00081B73">
              <w:rPr>
                <w:rFonts w:ascii="Times New Roman" w:hAnsi="Times New Roman"/>
                <w:sz w:val="20"/>
                <w:szCs w:val="20"/>
              </w:rPr>
              <w:t>(</w:t>
            </w:r>
            <w:r w:rsidRPr="00081B73">
              <w:rPr>
                <w:rFonts w:ascii="Times New Roman" w:hAnsi="Times New Roman"/>
                <w:sz w:val="20"/>
                <w:szCs w:val="20"/>
              </w:rPr>
              <w:t>I21)</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266</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8,0</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w:t>
            </w:r>
          </w:p>
        </w:tc>
      </w:tr>
      <w:tr w:rsidR="00A131AD" w:rsidRPr="00081B73" w:rsidTr="00A57E2D">
        <w:trPr>
          <w:trHeight w:val="790"/>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131" w:type="dxa"/>
          </w:tcPr>
          <w:p w:rsidR="00A131AD" w:rsidRPr="00081B73" w:rsidRDefault="00BB5E07"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Inzulin-ovisni dijab.</w:t>
            </w:r>
            <w:r w:rsidR="00A131AD" w:rsidRPr="00081B73">
              <w:rPr>
                <w:rFonts w:ascii="Times New Roman" w:hAnsi="Times New Roman"/>
                <w:sz w:val="20"/>
                <w:szCs w:val="20"/>
                <w:lang w:val="bs-Latn-BA"/>
              </w:rPr>
              <w:t xml:space="preserve"> mellitus (E11)</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223</w:t>
            </w:r>
          </w:p>
        </w:tc>
        <w:tc>
          <w:tcPr>
            <w:tcW w:w="992"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94" w:type="dxa"/>
            <w:vAlign w:val="bottom"/>
          </w:tcPr>
          <w:p w:rsidR="00A131AD" w:rsidRPr="00081B73" w:rsidRDefault="00A57E2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145</w:t>
            </w:r>
          </w:p>
        </w:tc>
        <w:tc>
          <w:tcPr>
            <w:tcW w:w="1013" w:type="dxa"/>
            <w:vAlign w:val="bottom"/>
          </w:tcPr>
          <w:p w:rsidR="00A131AD" w:rsidRPr="00081B73" w:rsidRDefault="00A57E2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A57E2D">
        <w:trPr>
          <w:trHeight w:val="54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1651</w:t>
            </w:r>
          </w:p>
        </w:tc>
        <w:tc>
          <w:tcPr>
            <w:tcW w:w="992" w:type="dxa"/>
          </w:tcPr>
          <w:p w:rsidR="00A131AD" w:rsidRPr="00081B73" w:rsidRDefault="00A131AD" w:rsidP="000C0138">
            <w:pPr>
              <w:tabs>
                <w:tab w:val="left" w:pos="34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49,5</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1673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47,5</w:t>
            </w:r>
          </w:p>
        </w:tc>
      </w:tr>
      <w:tr w:rsidR="00A131AD" w:rsidRPr="00081B73" w:rsidTr="00A57E2D">
        <w:trPr>
          <w:trHeight w:val="67"/>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3334</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3525</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w:t>
      </w:r>
    </w:p>
    <w:p w:rsidR="00A131AD" w:rsidRPr="00081B73" w:rsidRDefault="00A131AD" w:rsidP="000C0138">
      <w:pPr>
        <w:spacing w:after="160" w:line="276" w:lineRule="auto"/>
        <w:jc w:val="left"/>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4: Vodeća zarazna oboljenja u  2010</w:t>
      </w:r>
      <w:r w:rsidR="00624C80">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1059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264,67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8497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2141,75</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894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223,43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905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228,11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651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162,70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603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151,99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Toxiinfectio alim.</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121,46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56,46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68,23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Scarlatina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51,42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3813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952,94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10433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2629,7</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4423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1105,40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11265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2839,45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color w:val="FF0000"/>
          <w:lang w:val="bs-Latn-BA"/>
        </w:rPr>
      </w:pPr>
      <w:r>
        <w:rPr>
          <w:lang w:val="bs-Latn-BA"/>
        </w:rPr>
        <w:t>Tabela</w:t>
      </w:r>
      <w:r w:rsidR="00A131AD" w:rsidRPr="00081B73">
        <w:rPr>
          <w:lang w:val="bs-Latn-BA"/>
        </w:rPr>
        <w:t xml:space="preserve"> 5: Prevalenc</w:t>
      </w:r>
      <w:r w:rsidR="00624C80">
        <w:rPr>
          <w:lang w:val="bs-Latn-BA"/>
        </w:rPr>
        <w:t>ij</w:t>
      </w:r>
      <w:r w:rsidR="00A131AD" w:rsidRPr="00081B73">
        <w:rPr>
          <w:lang w:val="bs-Latn-BA"/>
        </w:rPr>
        <w:t>a nezaraznih bolesti za 2010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749"/>
        <w:gridCol w:w="2160"/>
      </w:tblGrid>
      <w:tr w:rsidR="00A131AD" w:rsidRPr="00081B73" w:rsidTr="001911A6">
        <w:trPr>
          <w:cantSplit/>
          <w:trHeight w:val="405"/>
        </w:trPr>
        <w:tc>
          <w:tcPr>
            <w:tcW w:w="442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74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42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74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1.109,2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1479,3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45,6</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60,5</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247,2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313,8</w:t>
            </w:r>
          </w:p>
        </w:tc>
      </w:tr>
      <w:tr w:rsidR="00A131AD" w:rsidRPr="00081B73" w:rsidTr="001911A6">
        <w:tc>
          <w:tcPr>
            <w:tcW w:w="442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169,5</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200,3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261,7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333,3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632,7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862,0</w:t>
            </w:r>
          </w:p>
        </w:tc>
      </w:tr>
    </w:tbl>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
                <w:bCs/>
                <w:sz w:val="20"/>
                <w:szCs w:val="20"/>
                <w:lang w:val="bs-Latn-BA"/>
              </w:rPr>
              <w:t>Zeničko-dobojski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245</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253</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1095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1153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Bosansko-podrinjski kanton</w:t>
      </w:r>
    </w:p>
    <w:p w:rsidR="00A131AD" w:rsidRPr="00081B73" w:rsidRDefault="00A131AD" w:rsidP="000C0138">
      <w:pPr>
        <w:spacing w:line="276" w:lineRule="auto"/>
        <w:jc w:val="center"/>
        <w:rPr>
          <w:rFonts w:ascii="Times New Roman" w:hAnsi="Times New Roman"/>
          <w:b/>
          <w:bCs/>
          <w:sz w:val="20"/>
          <w:szCs w:val="20"/>
          <w:lang w:val="bs-Latn-BA"/>
        </w:rPr>
      </w:pPr>
    </w:p>
    <w:p w:rsidR="00A131AD" w:rsidRPr="00081B73" w:rsidRDefault="00A80006"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3632" behindDoc="0" locked="0" layoutInCell="1" allowOverlap="1" wp14:anchorId="6437EDF4" wp14:editId="50B0A559">
            <wp:simplePos x="0" y="0"/>
            <wp:positionH relativeFrom="column">
              <wp:posOffset>228600</wp:posOffset>
            </wp:positionH>
            <wp:positionV relativeFrom="paragraph">
              <wp:posOffset>67945</wp:posOffset>
            </wp:positionV>
            <wp:extent cx="1927225" cy="1817370"/>
            <wp:effectExtent l="0" t="0" r="0" b="0"/>
            <wp:wrapSquare wrapText="bothSides"/>
            <wp:docPr id="123" name="Picture 123" descr="cant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ton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927225" cy="18173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37" w:type="dxa"/>
        <w:tblCellSpacing w:w="15" w:type="dxa"/>
        <w:tblCellMar>
          <w:top w:w="15" w:type="dxa"/>
          <w:left w:w="15" w:type="dxa"/>
          <w:bottom w:w="15" w:type="dxa"/>
          <w:right w:w="15" w:type="dxa"/>
        </w:tblCellMar>
        <w:tblLook w:val="0000" w:firstRow="0" w:lastRow="0" w:firstColumn="0" w:lastColumn="0" w:noHBand="0" w:noVBand="0"/>
      </w:tblPr>
      <w:tblGrid>
        <w:gridCol w:w="2409"/>
        <w:gridCol w:w="1237"/>
        <w:gridCol w:w="1091"/>
      </w:tblGrid>
      <w:tr w:rsidR="00A131AD" w:rsidRPr="00081B73" w:rsidTr="001911A6">
        <w:trPr>
          <w:trHeight w:val="510"/>
          <w:tblCellSpacing w:w="15" w:type="dxa"/>
        </w:trPr>
        <w:tc>
          <w:tcPr>
            <w:tcW w:w="2364"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b/>
                <w:bCs/>
                <w:color w:val="800000"/>
                <w:sz w:val="20"/>
                <w:szCs w:val="20"/>
                <w:lang w:val="bs-Latn-BA"/>
              </w:rPr>
              <w:t>Opšti</w:t>
            </w:r>
            <w:r w:rsidR="00A131AD" w:rsidRPr="00081B73">
              <w:rPr>
                <w:rFonts w:ascii="Times New Roman" w:hAnsi="Times New Roman"/>
                <w:b/>
                <w:bCs/>
                <w:color w:val="800000"/>
                <w:sz w:val="20"/>
                <w:szCs w:val="20"/>
                <w:lang w:val="bs-Latn-BA"/>
              </w:rPr>
              <w:t>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46"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222"/>
          <w:tblCellSpacing w:w="15" w:type="dxa"/>
        </w:trPr>
        <w:tc>
          <w:tcPr>
            <w:tcW w:w="2364" w:type="dxa"/>
            <w:shd w:val="clear" w:color="auto" w:fill="FFFFCC"/>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Foča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169,4</w:t>
            </w:r>
          </w:p>
        </w:tc>
        <w:tc>
          <w:tcPr>
            <w:tcW w:w="1046"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1.671</w:t>
            </w:r>
          </w:p>
        </w:tc>
      </w:tr>
      <w:tr w:rsidR="00A131AD" w:rsidRPr="00081B73" w:rsidTr="001911A6">
        <w:trPr>
          <w:trHeight w:val="222"/>
          <w:tblCellSpacing w:w="15" w:type="dxa"/>
        </w:trPr>
        <w:tc>
          <w:tcPr>
            <w:tcW w:w="2364"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Goražde</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248,8</w:t>
            </w:r>
          </w:p>
        </w:tc>
        <w:tc>
          <w:tcPr>
            <w:tcW w:w="1046"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29.613</w:t>
            </w:r>
          </w:p>
        </w:tc>
      </w:tr>
      <w:tr w:rsidR="00A131AD" w:rsidRPr="00081B73" w:rsidTr="001911A6">
        <w:trPr>
          <w:trHeight w:val="222"/>
          <w:tblCellSpacing w:w="15" w:type="dxa"/>
        </w:trPr>
        <w:tc>
          <w:tcPr>
            <w:tcW w:w="2364" w:type="dxa"/>
            <w:shd w:val="clear" w:color="auto" w:fill="FFFFCC"/>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xml:space="preserve">Pale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86,4</w:t>
            </w:r>
          </w:p>
        </w:tc>
        <w:tc>
          <w:tcPr>
            <w:tcW w:w="1046"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1.057</w:t>
            </w:r>
          </w:p>
        </w:tc>
      </w:tr>
      <w:tr w:rsidR="00A131AD" w:rsidRPr="00081B73" w:rsidTr="001911A6">
        <w:trPr>
          <w:trHeight w:val="222"/>
          <w:tblCellSpacing w:w="15" w:type="dxa"/>
        </w:trPr>
        <w:tc>
          <w:tcPr>
            <w:tcW w:w="2364" w:type="dxa"/>
            <w:shd w:val="clear" w:color="auto" w:fill="FFFFFF"/>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504,6</w:t>
            </w:r>
          </w:p>
        </w:tc>
        <w:tc>
          <w:tcPr>
            <w:tcW w:w="1046"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32.341</w:t>
            </w:r>
          </w:p>
        </w:tc>
      </w:tr>
      <w:tr w:rsidR="00A131AD" w:rsidRPr="00081B73" w:rsidTr="001911A6">
        <w:trPr>
          <w:trHeight w:val="222"/>
          <w:tblCellSpacing w:w="15" w:type="dxa"/>
        </w:trPr>
        <w:tc>
          <w:tcPr>
            <w:tcW w:w="2364" w:type="dxa"/>
            <w:shd w:val="clear" w:color="auto" w:fill="FFFFFF"/>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64,2</w:t>
            </w:r>
          </w:p>
        </w:tc>
        <w:tc>
          <w:tcPr>
            <w:tcW w:w="1046"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procjena broja stanovnika na dan 30.06. 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7"/>
        <w:gridCol w:w="2696"/>
        <w:gridCol w:w="2493"/>
      </w:tblGrid>
      <w:tr w:rsidR="00A131AD" w:rsidRPr="00081B73" w:rsidTr="001911A6">
        <w:tc>
          <w:tcPr>
            <w:tcW w:w="3667"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5,5</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6,7</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8,0</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9,7</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5,6</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9,2</w:t>
            </w:r>
          </w:p>
        </w:tc>
      </w:tr>
      <w:tr w:rsidR="00A131AD" w:rsidRPr="00081B73" w:rsidTr="001911A6">
        <w:tc>
          <w:tcPr>
            <w:tcW w:w="3667"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-2,5</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-3,1</w:t>
            </w:r>
          </w:p>
        </w:tc>
      </w:tr>
    </w:tbl>
    <w:p w:rsidR="00A131AD" w:rsidRPr="00081B73" w:rsidRDefault="00A131AD" w:rsidP="00CF03C8">
      <w:pPr>
        <w:pStyle w:val="refererere"/>
        <w:rPr>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3: Vodeći uzroci smrti za 2010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2572"/>
        <w:gridCol w:w="572"/>
        <w:gridCol w:w="969"/>
        <w:gridCol w:w="550"/>
        <w:gridCol w:w="2365"/>
        <w:gridCol w:w="761"/>
        <w:gridCol w:w="969"/>
      </w:tblGrid>
      <w:tr w:rsidR="00A131AD" w:rsidRPr="00081B73" w:rsidTr="001911A6">
        <w:trPr>
          <w:trHeight w:val="405"/>
        </w:trPr>
        <w:tc>
          <w:tcPr>
            <w:tcW w:w="4626"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4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51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7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7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50"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6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w:t>
            </w:r>
          </w:p>
        </w:tc>
        <w:tc>
          <w:tcPr>
            <w:tcW w:w="969" w:type="dxa"/>
          </w:tcPr>
          <w:p w:rsidR="00A131AD" w:rsidRPr="00081B73" w:rsidRDefault="00A131AD" w:rsidP="000C0138">
            <w:pPr>
              <w:tabs>
                <w:tab w:val="left" w:pos="3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20,8</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75</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24,0</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72"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17,4</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33</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10,5</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72"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Akutni infarkt miokarda ( I21)</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9,9</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7,0</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20</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6,4</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108</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59,4</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132</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42,2</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265</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313</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god.</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081B73" w:rsidP="00081B73">
      <w:pPr>
        <w:spacing w:after="160" w:line="259" w:lineRule="auto"/>
        <w:jc w:val="left"/>
        <w:rPr>
          <w:rFonts w:ascii="Times New Roman" w:hAnsi="Times New Roman"/>
          <w:sz w:val="20"/>
          <w:szCs w:val="20"/>
          <w:lang w:val="bs-Latn-BA"/>
        </w:rPr>
      </w:pPr>
      <w:r>
        <w:rPr>
          <w:rFonts w:ascii="Times New Roman" w:hAnsi="Times New Roman"/>
          <w:sz w:val="20"/>
          <w:szCs w:val="20"/>
          <w:lang w:val="bs-Latn-BA"/>
        </w:rPr>
        <w:br w:type="page"/>
      </w:r>
    </w:p>
    <w:p w:rsidR="00A131AD" w:rsidRPr="00081B73" w:rsidRDefault="00A80006" w:rsidP="00CF03C8">
      <w:pPr>
        <w:pStyle w:val="refererere"/>
        <w:rPr>
          <w:lang w:val="bs-Latn-BA"/>
        </w:rPr>
      </w:pPr>
      <w:r>
        <w:rPr>
          <w:lang w:val="bs-Latn-BA"/>
        </w:rPr>
        <w:t>Tabela</w:t>
      </w:r>
      <w:r w:rsidR="00A131AD" w:rsidRPr="00081B73">
        <w:rPr>
          <w:lang w:val="bs-Latn-BA"/>
        </w:rPr>
        <w:t xml:space="preserve"> 4: Vodeća zarazna oboljenja za 2010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452,46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131</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405,06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142,72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93</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287,56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94,14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49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151,51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51,62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Herpes zoster</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35</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108,22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Scabies</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48,59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27,83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789,52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317</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980,2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287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871,52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1048,21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5: Prevalenc</w:t>
      </w:r>
      <w:r w:rsidR="00624C80">
        <w:rPr>
          <w:lang w:val="bs-Latn-BA"/>
        </w:rPr>
        <w:t>ij</w:t>
      </w:r>
      <w:r w:rsidR="00A131AD" w:rsidRPr="00081B73">
        <w:rPr>
          <w:lang w:val="bs-Latn-BA"/>
        </w:rPr>
        <w:t>a nezaraznih bolesti za 2010 i  2015. godinu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824"/>
        <w:gridCol w:w="2420"/>
      </w:tblGrid>
      <w:tr w:rsidR="00A131AD" w:rsidRPr="00081B73" w:rsidTr="00A3192C">
        <w:trPr>
          <w:cantSplit/>
          <w:trHeight w:val="405"/>
        </w:trPr>
        <w:tc>
          <w:tcPr>
            <w:tcW w:w="3823"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82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2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3192C">
        <w:trPr>
          <w:cantSplit/>
          <w:trHeight w:val="345"/>
        </w:trPr>
        <w:tc>
          <w:tcPr>
            <w:tcW w:w="3823"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82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42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1.739,4</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1782,9</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44,8</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321,9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391,5</w:t>
            </w:r>
          </w:p>
        </w:tc>
      </w:tr>
      <w:tr w:rsidR="00A131AD" w:rsidRPr="00081B73" w:rsidTr="00A3192C">
        <w:tc>
          <w:tcPr>
            <w:tcW w:w="3823"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215,6</w:t>
            </w:r>
          </w:p>
        </w:tc>
        <w:tc>
          <w:tcPr>
            <w:tcW w:w="242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192,9</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241,1</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198,8</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699,9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813,5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CF03C8">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Cs/>
                <w:sz w:val="20"/>
                <w:szCs w:val="20"/>
                <w:lang w:val="bs-Latn-BA"/>
              </w:rPr>
              <w:t>Bosansko-podrinjski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80006" w:rsidP="000C0138">
      <w:pPr>
        <w:pStyle w:val="Foote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7: Zdravstvena zaštita za 2010</w:t>
      </w:r>
      <w:r w:rsidR="00624C80">
        <w:rPr>
          <w:rFonts w:ascii="Times New Roman" w:hAnsi="Times New Roman"/>
          <w:sz w:val="20"/>
          <w:szCs w:val="20"/>
          <w:lang w:val="bs-Latn-BA"/>
        </w:rPr>
        <w:t>.</w:t>
      </w:r>
      <w:r w:rsidR="00A131AD" w:rsidRPr="00081B73">
        <w:rPr>
          <w:rFonts w:ascii="Times New Roman" w:hAnsi="Times New Roman"/>
          <w:sz w:val="20"/>
          <w:szCs w:val="20"/>
          <w:lang w:val="bs-Latn-BA"/>
        </w:rPr>
        <w:t xml:space="preserve"> i  2014.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r>
      <w:tr w:rsidR="00A131AD" w:rsidRPr="00081B73" w:rsidTr="00A3192C">
        <w:trPr>
          <w:trHeight w:val="283"/>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82</w:t>
            </w:r>
          </w:p>
        </w:tc>
      </w:tr>
    </w:tbl>
    <w:p w:rsidR="00A131AD" w:rsidRPr="00081B73" w:rsidRDefault="00A131AD" w:rsidP="000C0138">
      <w:pP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b/>
          <w:bCs/>
          <w:sz w:val="20"/>
          <w:szCs w:val="20"/>
          <w:lang w:val="bs-Latn-BA"/>
        </w:rPr>
      </w:pPr>
      <w:r>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Srednjebosanski kanton</w:t>
      </w:r>
    </w:p>
    <w:p w:rsidR="00A131AD" w:rsidRPr="00081B73" w:rsidRDefault="00A80006"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4656" behindDoc="0" locked="0" layoutInCell="1" allowOverlap="1" wp14:anchorId="23C41CE7" wp14:editId="35958E07">
            <wp:simplePos x="0" y="0"/>
            <wp:positionH relativeFrom="column">
              <wp:posOffset>144145</wp:posOffset>
            </wp:positionH>
            <wp:positionV relativeFrom="paragraph">
              <wp:posOffset>24130</wp:posOffset>
            </wp:positionV>
            <wp:extent cx="2256155" cy="2164715"/>
            <wp:effectExtent l="0" t="0" r="0" b="6985"/>
            <wp:wrapSquare wrapText="bothSides"/>
            <wp:docPr id="122" name="Picture 122" descr="canto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nton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256155" cy="21647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42" w:type="dxa"/>
        <w:tblCellSpacing w:w="15" w:type="dxa"/>
        <w:tblCellMar>
          <w:top w:w="15" w:type="dxa"/>
          <w:left w:w="15" w:type="dxa"/>
          <w:bottom w:w="15" w:type="dxa"/>
          <w:right w:w="15" w:type="dxa"/>
        </w:tblCellMar>
        <w:tblLook w:val="0000" w:firstRow="0" w:lastRow="0" w:firstColumn="0" w:lastColumn="0" w:noHBand="0" w:noVBand="0"/>
      </w:tblPr>
      <w:tblGrid>
        <w:gridCol w:w="2431"/>
        <w:gridCol w:w="1204"/>
        <w:gridCol w:w="1107"/>
      </w:tblGrid>
      <w:tr w:rsidR="00A131AD" w:rsidRPr="00081B73" w:rsidTr="001911A6">
        <w:trPr>
          <w:trHeight w:val="510"/>
          <w:tblCellSpacing w:w="15" w:type="dxa"/>
        </w:trPr>
        <w:tc>
          <w:tcPr>
            <w:tcW w:w="2386"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b/>
                <w:sz w:val="20"/>
                <w:szCs w:val="20"/>
                <w:lang w:val="bs-Latn-BA"/>
              </w:rPr>
            </w:pPr>
            <w:r>
              <w:rPr>
                <w:rFonts w:ascii="Times New Roman" w:hAnsi="Times New Roman"/>
                <w:b/>
                <w:sz w:val="20"/>
                <w:szCs w:val="20"/>
                <w:lang w:val="bs-Latn-BA"/>
              </w:rPr>
              <w:t>Opšti</w:t>
            </w:r>
            <w:r w:rsidR="00A131AD" w:rsidRPr="00081B73">
              <w:rPr>
                <w:rFonts w:ascii="Times New Roman" w:hAnsi="Times New Roman"/>
                <w:b/>
                <w:sz w:val="20"/>
                <w:szCs w:val="20"/>
                <w:lang w:val="bs-Latn-BA"/>
              </w:rPr>
              <w:t>na</w:t>
            </w:r>
          </w:p>
        </w:tc>
        <w:tc>
          <w:tcPr>
            <w:tcW w:w="1174" w:type="dxa"/>
            <w:tcBorders>
              <w:left w:val="nil"/>
            </w:tcBorders>
            <w:shd w:val="clear" w:color="auto" w:fill="C0C0C0"/>
            <w:vAlign w:val="center"/>
          </w:tcPr>
          <w:p w:rsidR="00A131AD" w:rsidRPr="00081B73" w:rsidRDefault="00A131AD" w:rsidP="000C0138">
            <w:pPr>
              <w:spacing w:line="276" w:lineRule="auto"/>
              <w:ind w:right="-33"/>
              <w:rPr>
                <w:rFonts w:ascii="Times New Roman" w:hAnsi="Times New Roman"/>
                <w:b/>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62" w:type="dxa"/>
            <w:tcBorders>
              <w:left w:val="nil"/>
            </w:tcBorders>
            <w:shd w:val="clear" w:color="auto" w:fill="C0C0C0"/>
            <w:vAlign w:val="center"/>
          </w:tcPr>
          <w:p w:rsidR="00A131AD" w:rsidRPr="00081B73" w:rsidRDefault="00A131AD" w:rsidP="000C0138">
            <w:pPr>
              <w:pStyle w:val="NormalWeb"/>
              <w:spacing w:line="276" w:lineRule="auto"/>
              <w:jc w:val="center"/>
              <w:rPr>
                <w:b/>
                <w:sz w:val="20"/>
                <w:szCs w:val="20"/>
                <w:lang w:val="bs-Latn-BA"/>
              </w:rPr>
            </w:pPr>
            <w:r w:rsidRPr="00081B73">
              <w:rPr>
                <w:b/>
                <w:color w:val="800000"/>
                <w:sz w:val="20"/>
                <w:szCs w:val="20"/>
                <w:lang w:val="bs-Latn-BA"/>
              </w:rPr>
              <w:t>Procjena broja stanovnika</w:t>
            </w:r>
          </w:p>
        </w:tc>
      </w:tr>
      <w:tr w:rsidR="00A131AD" w:rsidRPr="00081B73" w:rsidTr="001911A6">
        <w:trPr>
          <w:cantSplit/>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Bugojno</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361,0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37.115</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Busovača</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158,0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15.949</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Dobretići</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59,0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w:t>
            </w:r>
          </w:p>
        </w:tc>
      </w:tr>
      <w:tr w:rsidR="00A131AD" w:rsidRPr="00081B73" w:rsidTr="001911A6">
        <w:trPr>
          <w:cantSplit/>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Donji   Vakuf</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320,0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13.728</w:t>
            </w:r>
          </w:p>
        </w:tc>
      </w:tr>
      <w:tr w:rsidR="00A131AD" w:rsidRPr="00081B73" w:rsidTr="001911A6">
        <w:trPr>
          <w:cantSplit/>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Fojnica</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306,0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11.455</w:t>
            </w:r>
          </w:p>
        </w:tc>
      </w:tr>
      <w:tr w:rsidR="00A131AD" w:rsidRPr="00081B73" w:rsidTr="001911A6">
        <w:trPr>
          <w:cantSplit/>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Gornji Vakuf-Uskoplje</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402,0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18.474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Jajce</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339,0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23.945</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Kiseljak</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165,0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20.442</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Kreševo</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149,0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5.403</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Novi Travnik</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242,0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24.952</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Travnik</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529,0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54.332</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Vitez</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159,0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25.294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3.189</w:t>
            </w:r>
          </w:p>
        </w:tc>
        <w:tc>
          <w:tcPr>
            <w:tcW w:w="1062" w:type="dxa"/>
            <w:shd w:val="clear" w:color="auto" w:fill="FFFFCC"/>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251.714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79,2</w:t>
            </w:r>
          </w:p>
        </w:tc>
        <w:tc>
          <w:tcPr>
            <w:tcW w:w="1062" w:type="dxa"/>
            <w:shd w:val="clear" w:color="auto" w:fill="FFFFCC"/>
            <w:vAlign w:val="center"/>
          </w:tcPr>
          <w:p w:rsidR="00A131AD" w:rsidRPr="00081B73" w:rsidRDefault="00A131AD" w:rsidP="000C0138">
            <w:pPr>
              <w:pStyle w:val="NormalWeb"/>
              <w:spacing w:line="276" w:lineRule="auto"/>
              <w:jc w:val="right"/>
              <w:rPr>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p>
    <w:p w:rsidR="00A131AD" w:rsidRPr="00081B73" w:rsidRDefault="00A131AD" w:rsidP="000C0138">
      <w:pPr>
        <w:spacing w:line="276" w:lineRule="auto"/>
        <w:ind w:left="3600"/>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A80006" w:rsidP="00677033">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 i  2015. godinu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2"/>
        <w:gridCol w:w="2728"/>
        <w:gridCol w:w="2839"/>
      </w:tblGrid>
      <w:tr w:rsidR="00A131AD" w:rsidRPr="00081B73" w:rsidTr="00A2552D">
        <w:tc>
          <w:tcPr>
            <w:tcW w:w="364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2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83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8,2</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8,9</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9,1</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9,0</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7,1</w:t>
            </w:r>
          </w:p>
        </w:tc>
      </w:tr>
      <w:tr w:rsidR="00A131AD" w:rsidRPr="00081B73" w:rsidTr="00A2552D">
        <w:tc>
          <w:tcPr>
            <w:tcW w:w="3642"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0,7</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-1,3</w:t>
            </w:r>
          </w:p>
        </w:tc>
      </w:tr>
    </w:tbl>
    <w:p w:rsidR="00A2552D" w:rsidRPr="00081B73" w:rsidRDefault="00A2552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3: Vodeći uzroci smrti za 2010</w:t>
      </w:r>
      <w:r w:rsidR="00624C80">
        <w:rPr>
          <w:lang w:val="bs-Latn-BA"/>
        </w:rPr>
        <w:t>.</w:t>
      </w:r>
      <w:r w:rsidR="00A131AD"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342"/>
        <w:gridCol w:w="831"/>
        <w:gridCol w:w="935"/>
        <w:gridCol w:w="644"/>
        <w:gridCol w:w="2268"/>
        <w:gridCol w:w="828"/>
        <w:gridCol w:w="935"/>
      </w:tblGrid>
      <w:tr w:rsidR="00A131AD" w:rsidRPr="00081B73" w:rsidTr="001911A6">
        <w:trPr>
          <w:trHeight w:val="405"/>
        </w:trPr>
        <w:tc>
          <w:tcPr>
            <w:tcW w:w="4596"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7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3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44"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26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2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567</w:t>
            </w:r>
          </w:p>
        </w:tc>
        <w:tc>
          <w:tcPr>
            <w:tcW w:w="935" w:type="dxa"/>
          </w:tcPr>
          <w:p w:rsidR="00A131AD" w:rsidRPr="00081B73" w:rsidRDefault="00A131AD" w:rsidP="000C0138">
            <w:pPr>
              <w:tabs>
                <w:tab w:val="left" w:pos="26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510</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22,4</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2"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rPr>
              <w:t>Akutni infarkt miokarda ( I21)</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334</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14,7</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262</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11,5</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2"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Moždani udar ( I63)</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244</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10,7</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246</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10,8</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 ovisni diabetes mellitus (E10)</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151</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Sekvele cerebrovaskularnih oboljenja (I69)</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94</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91</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3,8</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886</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1082</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47,5</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2273</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2280</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80006" w:rsidP="00677033">
      <w:pPr>
        <w:pStyle w:val="refererere"/>
        <w:rPr>
          <w:lang w:val="bs-Latn-BA"/>
        </w:rPr>
      </w:pPr>
      <w:r>
        <w:rPr>
          <w:lang w:val="bs-Latn-BA"/>
        </w:rPr>
        <w:t>Tabela</w:t>
      </w:r>
      <w:r w:rsidR="00A131AD" w:rsidRPr="00081B73">
        <w:rPr>
          <w:lang w:val="bs-Latn-BA"/>
        </w:rPr>
        <w:t xml:space="preserve"> 4: Vodeća zarazna oboljenja za 2010</w:t>
      </w:r>
      <w:r w:rsidR="00624C80">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179"/>
        <w:gridCol w:w="881"/>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1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358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140,63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675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268,16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283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11,17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156,13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195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76,60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301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119,58</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189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74,24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38,93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46,35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TBC pulmonum activa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27,01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1143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448,98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1535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609,8</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624,97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1853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736,15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5: Prevalenc</w:t>
      </w:r>
      <w:r w:rsidR="00624C80">
        <w:rPr>
          <w:lang w:val="bs-Latn-BA"/>
        </w:rPr>
        <w:t>ij</w:t>
      </w:r>
      <w:r w:rsidR="00A131AD" w:rsidRPr="00081B73">
        <w:rPr>
          <w:lang w:val="bs-Latn-BA"/>
        </w:rPr>
        <w:t>a nezaraznih bolesti za 2010 i  2015. godinu</w:t>
      </w:r>
      <w:r w:rsidR="00A131AD" w:rsidRPr="00081B73">
        <w:rPr>
          <w:lang w:val="bs-Latn-BA"/>
        </w:rPr>
        <w:tab/>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568"/>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56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56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777,5</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1046,9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50,2</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78,0</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285,0</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73,4</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97,3</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208,9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198,8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295,7</w:t>
            </w:r>
          </w:p>
        </w:tc>
      </w:tr>
    </w:tbl>
    <w:p w:rsidR="00A131AD" w:rsidRPr="00081B73" w:rsidRDefault="00A131AD"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9"/>
        <w:gridCol w:w="1927"/>
        <w:gridCol w:w="1572"/>
        <w:gridCol w:w="1384"/>
        <w:gridCol w:w="1384"/>
        <w:gridCol w:w="1526"/>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Cs/>
                <w:sz w:val="20"/>
                <w:szCs w:val="20"/>
                <w:lang w:val="bs-Latn-BA"/>
              </w:rPr>
              <w:t>Srednjobosanski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677033">
      <w:pPr>
        <w:pStyle w:val="refererere"/>
        <w:rPr>
          <w:lang w:val="bs-Latn-BA"/>
        </w:rPr>
      </w:pPr>
    </w:p>
    <w:p w:rsidR="00A131AD" w:rsidRPr="00081B73" w:rsidRDefault="00A80006" w:rsidP="000C0138">
      <w:pP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7: Zdravstvena zaštita za 2010</w:t>
      </w:r>
      <w:r w:rsidR="00624C80">
        <w:rPr>
          <w:rFonts w:ascii="Times New Roman" w:hAnsi="Times New Roman"/>
          <w:sz w:val="20"/>
          <w:szCs w:val="20"/>
          <w:lang w:val="bs-Latn-BA"/>
        </w:rPr>
        <w:t>.</w:t>
      </w:r>
      <w:r w:rsidR="00A131AD" w:rsidRPr="00081B73">
        <w:rPr>
          <w:rFonts w:ascii="Times New Roman" w:hAnsi="Times New Roman"/>
          <w:sz w:val="20"/>
          <w:szCs w:val="20"/>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163</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146</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1269</w:t>
            </w:r>
          </w:p>
        </w:tc>
      </w:tr>
    </w:tbl>
    <w:p w:rsidR="00A131AD" w:rsidRPr="00081B73" w:rsidRDefault="00A131AD" w:rsidP="000C0138">
      <w:pPr>
        <w:spacing w:line="276" w:lineRule="auto"/>
        <w:rPr>
          <w:rFonts w:ascii="Times New Roman" w:hAnsi="Times New Roman"/>
          <w:b/>
          <w:bCs/>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Hercegovačko-neretvanski kanton</w:t>
      </w:r>
    </w:p>
    <w:p w:rsidR="00A131AD" w:rsidRPr="00081B73" w:rsidRDefault="00A80006"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5680" behindDoc="0" locked="0" layoutInCell="1" allowOverlap="1" wp14:anchorId="457680A7" wp14:editId="6E3265E6">
            <wp:simplePos x="0" y="0"/>
            <wp:positionH relativeFrom="column">
              <wp:posOffset>-88900</wp:posOffset>
            </wp:positionH>
            <wp:positionV relativeFrom="paragraph">
              <wp:posOffset>92075</wp:posOffset>
            </wp:positionV>
            <wp:extent cx="2374900" cy="2273935"/>
            <wp:effectExtent l="0" t="0" r="6350" b="0"/>
            <wp:wrapSquare wrapText="bothSides"/>
            <wp:docPr id="121" name="Picture 121" descr="canto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nton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74900" cy="2273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6667" w:tblpY="-68"/>
        <w:tblW w:w="4659" w:type="dxa"/>
        <w:tblCellSpacing w:w="15" w:type="dxa"/>
        <w:tblCellMar>
          <w:top w:w="15" w:type="dxa"/>
          <w:left w:w="15" w:type="dxa"/>
          <w:bottom w:w="15" w:type="dxa"/>
          <w:right w:w="15" w:type="dxa"/>
        </w:tblCellMar>
        <w:tblLook w:val="0000" w:firstRow="0" w:lastRow="0" w:firstColumn="0" w:lastColumn="0" w:noHBand="0" w:noVBand="0"/>
      </w:tblPr>
      <w:tblGrid>
        <w:gridCol w:w="2319"/>
        <w:gridCol w:w="1080"/>
        <w:gridCol w:w="1260"/>
      </w:tblGrid>
      <w:tr w:rsidR="00677033" w:rsidRPr="00081B73" w:rsidTr="00677033">
        <w:trPr>
          <w:trHeight w:val="510"/>
          <w:tblCellSpacing w:w="15" w:type="dxa"/>
        </w:trPr>
        <w:tc>
          <w:tcPr>
            <w:tcW w:w="2274" w:type="dxa"/>
            <w:tcBorders>
              <w:right w:val="single" w:sz="4" w:space="0" w:color="000000"/>
            </w:tcBorders>
            <w:shd w:val="clear" w:color="auto" w:fill="C0C0C0"/>
            <w:vAlign w:val="center"/>
          </w:tcPr>
          <w:p w:rsidR="00677033" w:rsidRPr="00081B73" w:rsidRDefault="00CB080B" w:rsidP="00677033">
            <w:pPr>
              <w:spacing w:line="276" w:lineRule="auto"/>
              <w:ind w:right="691"/>
              <w:rPr>
                <w:rFonts w:ascii="Times New Roman" w:hAnsi="Times New Roman"/>
                <w:sz w:val="20"/>
                <w:szCs w:val="20"/>
                <w:lang w:val="bs-Latn-BA"/>
              </w:rPr>
            </w:pPr>
            <w:r>
              <w:rPr>
                <w:rFonts w:ascii="Times New Roman" w:hAnsi="Times New Roman"/>
                <w:b/>
                <w:bCs/>
                <w:color w:val="800000"/>
                <w:sz w:val="20"/>
                <w:szCs w:val="20"/>
                <w:lang w:val="bs-Latn-BA"/>
              </w:rPr>
              <w:t>Opšti</w:t>
            </w:r>
            <w:r w:rsidR="00677033" w:rsidRPr="00081B73">
              <w:rPr>
                <w:rFonts w:ascii="Times New Roman" w:hAnsi="Times New Roman"/>
                <w:b/>
                <w:bCs/>
                <w:color w:val="800000"/>
                <w:sz w:val="20"/>
                <w:szCs w:val="20"/>
                <w:lang w:val="bs-Latn-BA"/>
              </w:rPr>
              <w:t>na</w:t>
            </w:r>
          </w:p>
        </w:tc>
        <w:tc>
          <w:tcPr>
            <w:tcW w:w="1050" w:type="dxa"/>
            <w:tcBorders>
              <w:left w:val="nil"/>
            </w:tcBorders>
            <w:shd w:val="clear" w:color="auto" w:fill="C0C0C0"/>
            <w:vAlign w:val="center"/>
          </w:tcPr>
          <w:p w:rsidR="00677033" w:rsidRPr="00081B73" w:rsidRDefault="00677033" w:rsidP="00677033">
            <w:pPr>
              <w:spacing w:line="276" w:lineRule="auto"/>
              <w:ind w:right="45"/>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215" w:type="dxa"/>
            <w:tcBorders>
              <w:left w:val="nil"/>
            </w:tcBorders>
            <w:shd w:val="clear" w:color="auto" w:fill="C0C0C0"/>
            <w:vAlign w:val="center"/>
          </w:tcPr>
          <w:p w:rsidR="00677033" w:rsidRPr="00081B73" w:rsidRDefault="00677033" w:rsidP="00677033">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677033" w:rsidRPr="00081B73" w:rsidTr="00677033">
        <w:trPr>
          <w:cantSplit/>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Čapljina</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256,0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22.483</w:t>
            </w:r>
          </w:p>
        </w:tc>
      </w:tr>
      <w:tr w:rsidR="00677033" w:rsidRPr="00081B73" w:rsidTr="00677033">
        <w:trPr>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Čitluk</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181,0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15.857</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Jablanica</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301,0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11.493</w:t>
            </w:r>
          </w:p>
        </w:tc>
      </w:tr>
      <w:tr w:rsidR="00677033" w:rsidRPr="00081B73" w:rsidTr="00677033">
        <w:trPr>
          <w:cantSplit/>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Konjic</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1.169,0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27.141</w:t>
            </w:r>
          </w:p>
        </w:tc>
      </w:tr>
      <w:tr w:rsidR="00677033" w:rsidRPr="00081B73" w:rsidTr="00677033">
        <w:trPr>
          <w:cantSplit/>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Mostar</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1.175,0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112.347</w:t>
            </w:r>
          </w:p>
        </w:tc>
      </w:tr>
      <w:tr w:rsidR="00677033" w:rsidRPr="00081B73" w:rsidTr="00677033">
        <w:trPr>
          <w:cantSplit/>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Neum</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225,0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4.335</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Prozor</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477,0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15.498</w:t>
            </w:r>
          </w:p>
        </w:tc>
      </w:tr>
      <w:tr w:rsidR="00677033" w:rsidRPr="00081B73" w:rsidTr="00677033">
        <w:trPr>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Stolac</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215" w:type="dxa"/>
            <w:vAlign w:val="center"/>
          </w:tcPr>
          <w:p w:rsidR="00677033" w:rsidRPr="00081B73" w:rsidRDefault="00677033" w:rsidP="00677033">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12.898</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Ravno</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286,0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1.419</w:t>
            </w:r>
          </w:p>
        </w:tc>
      </w:tr>
      <w:tr w:rsidR="00677033" w:rsidRPr="00081B73" w:rsidTr="00677033">
        <w:trPr>
          <w:trHeight w:val="222"/>
          <w:tblCellSpacing w:w="15" w:type="dxa"/>
        </w:trPr>
        <w:tc>
          <w:tcPr>
            <w:tcW w:w="2274" w:type="dxa"/>
            <w:shd w:val="clear" w:color="auto" w:fill="FFFFFF"/>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UKUPNO:</w:t>
            </w:r>
          </w:p>
        </w:tc>
        <w:tc>
          <w:tcPr>
            <w:tcW w:w="1050" w:type="dxa"/>
            <w:shd w:val="clear" w:color="auto" w:fill="FFFFFF"/>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4.401</w:t>
            </w:r>
          </w:p>
        </w:tc>
        <w:tc>
          <w:tcPr>
            <w:tcW w:w="1215" w:type="dxa"/>
            <w:shd w:val="clear" w:color="auto" w:fill="FFFFFF"/>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223.471</w:t>
            </w:r>
          </w:p>
        </w:tc>
      </w:tr>
      <w:tr w:rsidR="00677033" w:rsidRPr="00081B73" w:rsidTr="00677033">
        <w:trPr>
          <w:trHeight w:val="222"/>
          <w:tblCellSpacing w:w="15" w:type="dxa"/>
        </w:trPr>
        <w:tc>
          <w:tcPr>
            <w:tcW w:w="2274" w:type="dxa"/>
            <w:shd w:val="clear" w:color="auto" w:fill="FFFFFF"/>
            <w:vAlign w:val="center"/>
          </w:tcPr>
          <w:p w:rsidR="00677033" w:rsidRPr="00081B73" w:rsidRDefault="00677033" w:rsidP="00677033">
            <w:pPr>
              <w:spacing w:line="276" w:lineRule="auto"/>
              <w:ind w:right="691"/>
              <w:rPr>
                <w:rFonts w:ascii="Times New Roman" w:hAnsi="Times New Roman"/>
                <w:color w:val="006699"/>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050" w:type="dxa"/>
            <w:shd w:val="clear" w:color="auto" w:fill="FFFFFF"/>
            <w:vAlign w:val="center"/>
          </w:tcPr>
          <w:p w:rsidR="00677033" w:rsidRPr="00081B73" w:rsidRDefault="00677033" w:rsidP="00677033">
            <w:pPr>
              <w:spacing w:line="276" w:lineRule="auto"/>
              <w:ind w:right="45"/>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50,9</w:t>
            </w:r>
          </w:p>
        </w:tc>
        <w:tc>
          <w:tcPr>
            <w:tcW w:w="1215" w:type="dxa"/>
            <w:shd w:val="clear" w:color="auto" w:fill="FFFFFF"/>
            <w:vAlign w:val="center"/>
          </w:tcPr>
          <w:p w:rsidR="00677033" w:rsidRPr="00081B73" w:rsidRDefault="00677033" w:rsidP="00677033">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p>
    <w:p w:rsidR="00A131AD" w:rsidRPr="00081B73" w:rsidRDefault="00A131AD" w:rsidP="000C0138">
      <w:pPr>
        <w:spacing w:line="276" w:lineRule="auto"/>
        <w:ind w:left="2880" w:firstLine="720"/>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677033">
      <w:pPr>
        <w:spacing w:line="276" w:lineRule="auto"/>
        <w:rPr>
          <w:rFonts w:ascii="Times New Roman" w:hAnsi="Times New Roman"/>
          <w:sz w:val="20"/>
          <w:szCs w:val="20"/>
          <w:lang w:val="bs-Latn-BA"/>
        </w:rPr>
      </w:pPr>
      <w:r w:rsidRPr="00081B73">
        <w:rPr>
          <w:rFonts w:ascii="Times New Roman" w:hAnsi="Times New Roman"/>
          <w:sz w:val="20"/>
          <w:szCs w:val="20"/>
          <w:lang w:val="bs-Latn-BA"/>
        </w:rPr>
        <w:t>*procjena broja stanovnika na dan 30.06.2015. godine</w:t>
      </w: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A131AD" w:rsidRPr="00081B73" w:rsidRDefault="00A80006" w:rsidP="000C0138">
      <w:pP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2: Preliminarni </w:t>
      </w:r>
      <w:r w:rsidR="00587CDA">
        <w:rPr>
          <w:rFonts w:ascii="Times New Roman" w:hAnsi="Times New Roman"/>
          <w:sz w:val="20"/>
          <w:szCs w:val="20"/>
          <w:lang w:val="bs-Latn-BA"/>
        </w:rPr>
        <w:t>pokazatelji</w:t>
      </w:r>
      <w:r w:rsidR="00A131AD" w:rsidRPr="00081B73">
        <w:rPr>
          <w:rFonts w:ascii="Times New Roman" w:hAnsi="Times New Roman"/>
          <w:sz w:val="20"/>
          <w:szCs w:val="20"/>
          <w:lang w:val="bs-Latn-BA"/>
        </w:rPr>
        <w:t xml:space="preserve">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8"/>
        <w:gridCol w:w="2718"/>
        <w:gridCol w:w="2490"/>
      </w:tblGrid>
      <w:tr w:rsidR="00A131AD" w:rsidRPr="00081B73" w:rsidTr="001911A6">
        <w:tc>
          <w:tcPr>
            <w:tcW w:w="3648"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1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8,4</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9,7</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10,6</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10,0</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14,1</w:t>
            </w:r>
          </w:p>
        </w:tc>
      </w:tr>
      <w:tr w:rsidR="00A131AD" w:rsidRPr="00081B73" w:rsidTr="001911A6">
        <w:tc>
          <w:tcPr>
            <w:tcW w:w="3648"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-2,7</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3: Vodeći uzroci smrti za 2010</w:t>
      </w:r>
      <w:r w:rsidR="00624C80">
        <w:rPr>
          <w:lang w:val="bs-Latn-BA"/>
        </w:rPr>
        <w:t>.</w:t>
      </w:r>
      <w:r w:rsidR="00A131AD" w:rsidRPr="00081B73">
        <w:rPr>
          <w:lang w:val="bs-Latn-BA"/>
        </w:rPr>
        <w:t xml:space="preserve">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626"/>
        <w:gridCol w:w="850"/>
        <w:gridCol w:w="851"/>
        <w:gridCol w:w="709"/>
        <w:gridCol w:w="2239"/>
        <w:gridCol w:w="709"/>
        <w:gridCol w:w="816"/>
      </w:tblGrid>
      <w:tr w:rsidR="00A131AD" w:rsidRPr="00081B73" w:rsidTr="00677033">
        <w:trPr>
          <w:trHeight w:val="405"/>
        </w:trPr>
        <w:tc>
          <w:tcPr>
            <w:tcW w:w="481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47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2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5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5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709"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23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26"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rPr>
              <w:t>Srčani zastoj   (I46)</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17,7</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627</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26,5</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Drugi bol. Određeni i neoz. Uzroci mortaliteta (R99)</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160</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6,8</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Druga plućna ob. srca (I27)</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9,5</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143</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Moždani udar (I63)</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206</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117</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Akutni infarkt miokarda (I21)</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131</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47,8</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1235</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52,2</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2190</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2368</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80006" w:rsidP="00677033">
      <w:pPr>
        <w:pStyle w:val="refererere"/>
        <w:rPr>
          <w:lang w:val="bs-Latn-BA"/>
        </w:rPr>
      </w:pPr>
      <w:r>
        <w:rPr>
          <w:lang w:val="bs-Latn-BA"/>
        </w:rPr>
        <w:t>Tabela</w:t>
      </w:r>
      <w:r w:rsidR="00A131AD" w:rsidRPr="00081B73">
        <w:rPr>
          <w:lang w:val="bs-Latn-BA"/>
        </w:rPr>
        <w:t xml:space="preserve"> 4: Vodeća zarazna oboljenja za 2010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37"/>
        <w:gridCol w:w="1123"/>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9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1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374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166,02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1288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576,36</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308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136,73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639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285,94</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Scabies</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55,05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Scabies</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86,81</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123"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94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41,73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43,85</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w w:val="99"/>
                <w:sz w:val="20"/>
                <w:szCs w:val="20"/>
              </w:rPr>
              <w:t>Herpes zoster</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24,86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w w:val="99"/>
                <w:sz w:val="20"/>
                <w:szCs w:val="20"/>
              </w:rPr>
              <w:t>Herpes zoster</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32,67</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937"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956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424,38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2292</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1025,6</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937"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1252</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555,78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2561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1146,01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5: Prevalenc</w:t>
      </w:r>
      <w:r w:rsidR="00606974">
        <w:rPr>
          <w:lang w:val="bs-Latn-BA"/>
        </w:rPr>
        <w:t>ij</w:t>
      </w:r>
      <w:r w:rsidR="00A131AD" w:rsidRPr="00081B73">
        <w:rPr>
          <w:lang w:val="bs-Latn-BA"/>
        </w:rPr>
        <w:t>a nezaraznih bolesti za 2010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569"/>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56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5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945,9</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2288,9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117,5</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166,5</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227,2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451,2</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170,9</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296,4</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481,1</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502,2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946,6</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1939"/>
        <w:gridCol w:w="1585"/>
        <w:gridCol w:w="1388"/>
        <w:gridCol w:w="1388"/>
        <w:gridCol w:w="1538"/>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 xml:space="preserve">Hercegovačko-neretvanski kanton </w:t>
            </w:r>
          </w:p>
        </w:tc>
        <w:tc>
          <w:tcPr>
            <w:tcW w:w="196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0C0138">
      <w:pPr>
        <w:pStyle w:val="Foote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1911A6">
        <w:trPr>
          <w:trHeight w:val="311"/>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1048</w:t>
            </w:r>
          </w:p>
        </w:tc>
      </w:tr>
    </w:tbl>
    <w:p w:rsidR="00A131AD" w:rsidRPr="00081B73" w:rsidRDefault="00A131AD" w:rsidP="000C0138">
      <w:pPr>
        <w:spacing w:line="276" w:lineRule="auto"/>
        <w:jc w:val="left"/>
        <w:rPr>
          <w:rFonts w:ascii="Times New Roman" w:hAnsi="Times New Roman"/>
          <w:bCs/>
          <w:sz w:val="20"/>
          <w:szCs w:val="20"/>
          <w:lang w:val="bs-Latn-BA"/>
        </w:rPr>
      </w:pPr>
      <w:r w:rsidRPr="00081B73">
        <w:rPr>
          <w:rFonts w:ascii="Times New Roman" w:hAnsi="Times New Roman"/>
          <w:bCs/>
          <w:sz w:val="20"/>
          <w:szCs w:val="20"/>
          <w:lang w:val="bs-Latn-BA"/>
        </w:rPr>
        <w:t xml:space="preserve">*nepotpuni </w:t>
      </w:r>
      <w:r w:rsidR="002B489B">
        <w:rPr>
          <w:rFonts w:ascii="Times New Roman" w:hAnsi="Times New Roman"/>
          <w:bCs/>
          <w:sz w:val="20"/>
          <w:szCs w:val="20"/>
          <w:lang w:val="bs-Latn-BA"/>
        </w:rPr>
        <w:t>podaci</w:t>
      </w:r>
      <w:r w:rsidRPr="00081B73">
        <w:rPr>
          <w:rFonts w:ascii="Times New Roman" w:hAnsi="Times New Roman"/>
          <w:bCs/>
          <w:sz w:val="20"/>
          <w:szCs w:val="20"/>
          <w:lang w:val="bs-Latn-BA"/>
        </w:rPr>
        <w:t xml:space="preserve"> za 2014. godinu</w:t>
      </w:r>
    </w:p>
    <w:p w:rsidR="00081B73" w:rsidRDefault="00081B73">
      <w:pPr>
        <w:spacing w:after="160" w:line="259" w:lineRule="auto"/>
        <w:jc w:val="left"/>
        <w:rPr>
          <w:rFonts w:ascii="Times New Roman" w:hAnsi="Times New Roman"/>
          <w:b/>
          <w:bCs/>
          <w:sz w:val="20"/>
          <w:szCs w:val="20"/>
          <w:lang w:val="bs-Latn-BA"/>
        </w:rPr>
      </w:pPr>
      <w:r>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Zapadnohercegovački kanton</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6704" behindDoc="0" locked="0" layoutInCell="1" allowOverlap="1" wp14:anchorId="1E7C2397" wp14:editId="1B6E1513">
            <wp:simplePos x="0" y="0"/>
            <wp:positionH relativeFrom="column">
              <wp:posOffset>-88900</wp:posOffset>
            </wp:positionH>
            <wp:positionV relativeFrom="paragraph">
              <wp:posOffset>138430</wp:posOffset>
            </wp:positionV>
            <wp:extent cx="2374900" cy="2296160"/>
            <wp:effectExtent l="0" t="0" r="6350" b="8890"/>
            <wp:wrapSquare wrapText="bothSides"/>
            <wp:docPr id="120" name="Picture 120" descr="canto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nton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7490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80006">
        <w:rPr>
          <w:rFonts w:ascii="Times New Roman" w:hAnsi="Times New Roman"/>
          <w:sz w:val="20"/>
          <w:szCs w:val="20"/>
          <w:lang w:val="bs-Latn-BA"/>
        </w:rPr>
        <w:t>Tabela</w:t>
      </w:r>
      <w:r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p>
    <w:tbl>
      <w:tblPr>
        <w:tblW w:w="4759" w:type="dxa"/>
        <w:tblCellSpacing w:w="15" w:type="dxa"/>
        <w:tblCellMar>
          <w:top w:w="15" w:type="dxa"/>
          <w:left w:w="15" w:type="dxa"/>
          <w:bottom w:w="15" w:type="dxa"/>
          <w:right w:w="15" w:type="dxa"/>
        </w:tblCellMar>
        <w:tblLook w:val="0000" w:firstRow="0" w:lastRow="0" w:firstColumn="0" w:lastColumn="0" w:noHBand="0" w:noVBand="0"/>
      </w:tblPr>
      <w:tblGrid>
        <w:gridCol w:w="2420"/>
        <w:gridCol w:w="1237"/>
        <w:gridCol w:w="1102"/>
      </w:tblGrid>
      <w:tr w:rsidR="00A131AD" w:rsidRPr="00081B73" w:rsidTr="001911A6">
        <w:trPr>
          <w:trHeight w:val="510"/>
          <w:tblCellSpacing w:w="15" w:type="dxa"/>
        </w:trPr>
        <w:tc>
          <w:tcPr>
            <w:tcW w:w="2375"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b/>
                <w:bCs/>
                <w:color w:val="800000"/>
                <w:sz w:val="20"/>
                <w:szCs w:val="20"/>
                <w:lang w:val="bs-Latn-BA"/>
              </w:rPr>
              <w:t>Opšti</w:t>
            </w:r>
            <w:r w:rsidR="00A131AD" w:rsidRPr="00081B73">
              <w:rPr>
                <w:rFonts w:ascii="Times New Roman" w:hAnsi="Times New Roman"/>
                <w:b/>
                <w:bCs/>
                <w:color w:val="800000"/>
                <w:sz w:val="20"/>
                <w:szCs w:val="20"/>
                <w:lang w:val="bs-Latn-BA"/>
              </w:rPr>
              <w:t>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7"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Grude</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220,8</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15.456</w:t>
            </w:r>
          </w:p>
        </w:tc>
      </w:tr>
      <w:tr w:rsidR="00A131AD" w:rsidRPr="00081B73" w:rsidTr="001911A6">
        <w:trPr>
          <w:trHeight w:val="222"/>
          <w:tblCellSpacing w:w="15" w:type="dxa"/>
        </w:trPr>
        <w:tc>
          <w:tcPr>
            <w:tcW w:w="2375"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Ljubuški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292,7</w:t>
            </w:r>
          </w:p>
        </w:tc>
        <w:tc>
          <w:tcPr>
            <w:tcW w:w="105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23.320</w:t>
            </w:r>
          </w:p>
        </w:tc>
      </w:tr>
      <w:tr w:rsidR="00A131AD" w:rsidRPr="00081B73" w:rsidTr="001911A6">
        <w:trPr>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Posušje</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461,1</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16.036</w:t>
            </w:r>
          </w:p>
        </w:tc>
      </w:tr>
      <w:tr w:rsidR="00A131AD" w:rsidRPr="00081B73" w:rsidTr="001911A6">
        <w:trPr>
          <w:cantSplit/>
          <w:trHeight w:val="222"/>
          <w:tblCellSpacing w:w="15" w:type="dxa"/>
        </w:trPr>
        <w:tc>
          <w:tcPr>
            <w:tcW w:w="2375"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Široki Brijeg</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387,6</w:t>
            </w:r>
          </w:p>
        </w:tc>
        <w:tc>
          <w:tcPr>
            <w:tcW w:w="105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26.497</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1.362,2</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81.309</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59,8</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procjena broja stanovnika na dan 30.06.2015.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2: </w:t>
      </w:r>
      <w:r w:rsidR="00587CDA">
        <w:rPr>
          <w:lang w:val="bs-Latn-BA"/>
        </w:rPr>
        <w:t>Pokazatelji</w:t>
      </w:r>
      <w:r w:rsidR="00A131AD" w:rsidRPr="00081B73">
        <w:rPr>
          <w:lang w:val="bs-Latn-BA"/>
        </w:rPr>
        <w:t xml:space="preserve"> vitalne statistike za 2010</w:t>
      </w:r>
      <w:r w:rsidR="00606974">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3"/>
        <w:gridCol w:w="2710"/>
        <w:gridCol w:w="2493"/>
      </w:tblGrid>
      <w:tr w:rsidR="00A131AD" w:rsidRPr="00081B73" w:rsidTr="001911A6">
        <w:tc>
          <w:tcPr>
            <w:tcW w:w="3653"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1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8,6</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9,1</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9,4</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11,0</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1,4</w:t>
            </w:r>
          </w:p>
        </w:tc>
      </w:tr>
      <w:tr w:rsidR="00A131AD" w:rsidRPr="00081B73" w:rsidTr="001911A6">
        <w:tc>
          <w:tcPr>
            <w:tcW w:w="3653"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-0,8</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-2,0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3: Vodeći uzroci smrti  za 2010</w:t>
      </w:r>
      <w:r w:rsidR="00606974">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
        <w:gridCol w:w="2313"/>
        <w:gridCol w:w="726"/>
        <w:gridCol w:w="833"/>
        <w:gridCol w:w="607"/>
        <w:gridCol w:w="2370"/>
        <w:gridCol w:w="708"/>
        <w:gridCol w:w="810"/>
      </w:tblGrid>
      <w:tr w:rsidR="00A131AD" w:rsidRPr="00081B73" w:rsidTr="001911A6">
        <w:trPr>
          <w:trHeight w:val="405"/>
        </w:trPr>
        <w:tc>
          <w:tcPr>
            <w:tcW w:w="436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49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9"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1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2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3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07"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7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187</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24,3</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256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28,6</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833" w:type="dxa"/>
          </w:tcPr>
          <w:p w:rsidR="00A131AD" w:rsidRPr="00081B73" w:rsidRDefault="00A131AD" w:rsidP="000C0138">
            <w:pPr>
              <w:tabs>
                <w:tab w:val="left" w:pos="31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10,8</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77</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7,1</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Maligne neoplazme bronha i pluća (C34)</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5,1</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13"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Srčana slabost (I50)</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37</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13"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Druga plućna oboljenja srca (I27)</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70"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en-US"/>
              </w:rPr>
              <w:t>Esencijalna hipertenzija (I10)</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364</w:t>
            </w:r>
          </w:p>
        </w:tc>
        <w:tc>
          <w:tcPr>
            <w:tcW w:w="833" w:type="dxa"/>
          </w:tcPr>
          <w:p w:rsidR="00A131AD" w:rsidRPr="00081B73" w:rsidRDefault="00A131AD" w:rsidP="000C0138">
            <w:pPr>
              <w:tabs>
                <w:tab w:val="left" w:pos="2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47,3</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443</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49,5</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770</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895</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god.</w:t>
      </w: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sz w:val="20"/>
          <w:szCs w:val="20"/>
          <w:lang w:val="bs-Latn-BA"/>
        </w:rPr>
      </w:pPr>
      <w:r>
        <w:rPr>
          <w:lang w:val="bs-Latn-BA"/>
        </w:rPr>
        <w:br w:type="page"/>
      </w:r>
    </w:p>
    <w:p w:rsidR="00677033" w:rsidRPr="00081B73" w:rsidRDefault="00A80006" w:rsidP="00677033">
      <w:pPr>
        <w:pStyle w:val="refererere"/>
        <w:rPr>
          <w:lang w:val="bs-Latn-BA"/>
        </w:rPr>
      </w:pPr>
      <w:r>
        <w:rPr>
          <w:lang w:val="bs-Latn-BA"/>
        </w:rPr>
        <w:t>Tabela</w:t>
      </w:r>
      <w:r w:rsidR="00A131AD" w:rsidRPr="00081B73">
        <w:rPr>
          <w:lang w:val="bs-Latn-BA"/>
        </w:rPr>
        <w:t xml:space="preserve"> 4: Vodeća zarazna oboljenja za 2010</w:t>
      </w:r>
      <w:r w:rsidR="00606974">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1800"/>
        <w:gridCol w:w="1260"/>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111,75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3730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4587,44</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23,33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94,70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23,37</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12,28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20,91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Mononucleoz. inf.</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12,28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Scarlatina</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18,45</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175,60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3858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4744,9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183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224,82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3911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4810,05</w:t>
            </w:r>
          </w:p>
        </w:tc>
      </w:tr>
    </w:tbl>
    <w:p w:rsidR="00677033" w:rsidRPr="00081B73" w:rsidRDefault="00677033"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5: Prevalenc</w:t>
      </w:r>
      <w:r w:rsidR="00606974">
        <w:rPr>
          <w:lang w:val="bs-Latn-BA"/>
        </w:rPr>
        <w:t>ij</w:t>
      </w:r>
      <w:r w:rsidR="00A131AD" w:rsidRPr="00081B73">
        <w:rPr>
          <w:lang w:val="bs-Latn-BA"/>
        </w:rPr>
        <w:t>a nezaraznih bolesti za 2010 i  2015. godinu</w:t>
      </w:r>
      <w:r w:rsidR="00A131AD" w:rsidRPr="00081B73">
        <w:rPr>
          <w:lang w:val="bs-Latn-BA"/>
        </w:rPr>
        <w:tab/>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749"/>
        <w:gridCol w:w="198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74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98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74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98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1.170,2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857,0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65,4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130,0</w:t>
            </w:r>
          </w:p>
        </w:tc>
      </w:tr>
      <w:tr w:rsidR="00A131AD" w:rsidRPr="00081B73" w:rsidTr="001911A6">
        <w:tc>
          <w:tcPr>
            <w:tcW w:w="460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79,6</w:t>
            </w:r>
          </w:p>
        </w:tc>
        <w:tc>
          <w:tcPr>
            <w:tcW w:w="198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286,8</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253,2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202,3</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437,3</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537,2</w:t>
            </w:r>
          </w:p>
        </w:tc>
      </w:tr>
    </w:tbl>
    <w:p w:rsidR="00677033" w:rsidRPr="00081B73" w:rsidRDefault="00677033" w:rsidP="00677033">
      <w:pPr>
        <w:pStyle w:val="refererere"/>
        <w:rPr>
          <w:lang w:val="bs-Latn-BA"/>
        </w:rPr>
      </w:pPr>
    </w:p>
    <w:p w:rsidR="00A131AD" w:rsidRPr="00081B73" w:rsidRDefault="00A80006" w:rsidP="000C0138">
      <w:pP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6: Okolinski zdravstveni indikatori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66"/>
        <w:gridCol w:w="1389"/>
        <w:gridCol w:w="1401"/>
        <w:gridCol w:w="1401"/>
        <w:gridCol w:w="1503"/>
      </w:tblGrid>
      <w:tr w:rsidR="00A131AD" w:rsidRPr="00081B73" w:rsidTr="001911A6">
        <w:trPr>
          <w:cantSplit/>
        </w:trPr>
        <w:tc>
          <w:tcPr>
            <w:tcW w:w="1728" w:type="dxa"/>
            <w:vMerge w:val="restart"/>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b/>
                <w:bCs/>
                <w:sz w:val="20"/>
                <w:szCs w:val="20"/>
                <w:lang w:val="bs-Latn-BA"/>
              </w:rPr>
              <w:t>Zapadnohercegovački kanton</w:t>
            </w:r>
            <w:r w:rsidRPr="00081B73">
              <w:rPr>
                <w:rFonts w:ascii="Times New Roman" w:hAnsi="Times New Roman"/>
                <w:sz w:val="20"/>
                <w:szCs w:val="20"/>
                <w:lang w:val="bs-Latn-BA"/>
              </w:rPr>
              <w:t xml:space="preserve"> </w:t>
            </w:r>
          </w:p>
        </w:tc>
        <w:tc>
          <w:tcPr>
            <w:tcW w:w="1866"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38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03"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72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866"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38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03"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7: Zdravstvena zaštita za 2010</w:t>
      </w:r>
      <w:r w:rsidR="00606974">
        <w:rPr>
          <w:lang w:val="bs-Latn-BA"/>
        </w:rPr>
        <w:t>.</w:t>
      </w:r>
      <w:r w:rsidR="00A131AD"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797"/>
        <w:gridCol w:w="2294"/>
        <w:gridCol w:w="2288"/>
      </w:tblGrid>
      <w:tr w:rsidR="00A131AD" w:rsidRPr="00081B73" w:rsidTr="001911A6">
        <w:trPr>
          <w:trHeight w:val="509"/>
        </w:trPr>
        <w:tc>
          <w:tcPr>
            <w:tcW w:w="470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9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8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79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94"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44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79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79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0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Sarajevski kanton</w:t>
      </w:r>
    </w:p>
    <w:p w:rsidR="00A131AD" w:rsidRPr="00081B73" w:rsidRDefault="00A80006" w:rsidP="00A2552D">
      <w:pPr>
        <w:spacing w:line="276" w:lineRule="auto"/>
        <w:jc w:val="center"/>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7728" behindDoc="0" locked="0" layoutInCell="1" allowOverlap="1" wp14:anchorId="692B3CBC" wp14:editId="3AC5F966">
            <wp:simplePos x="0" y="0"/>
            <wp:positionH relativeFrom="column">
              <wp:posOffset>-88900</wp:posOffset>
            </wp:positionH>
            <wp:positionV relativeFrom="paragraph">
              <wp:posOffset>92075</wp:posOffset>
            </wp:positionV>
            <wp:extent cx="2374900" cy="2306955"/>
            <wp:effectExtent l="0" t="0" r="6350" b="0"/>
            <wp:wrapSquare wrapText="bothSides"/>
            <wp:docPr id="119" name="Picture 119" descr="canto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nton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74900" cy="23069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56" w:type="dxa"/>
        <w:tblCellSpacing w:w="15" w:type="dxa"/>
        <w:tblCellMar>
          <w:top w:w="15" w:type="dxa"/>
          <w:left w:w="15" w:type="dxa"/>
          <w:bottom w:w="15" w:type="dxa"/>
          <w:right w:w="15" w:type="dxa"/>
        </w:tblCellMar>
        <w:tblLook w:val="0000" w:firstRow="0" w:lastRow="0" w:firstColumn="0" w:lastColumn="0" w:noHBand="0" w:noVBand="0"/>
      </w:tblPr>
      <w:tblGrid>
        <w:gridCol w:w="2419"/>
        <w:gridCol w:w="1237"/>
        <w:gridCol w:w="1100"/>
      </w:tblGrid>
      <w:tr w:rsidR="00A131AD" w:rsidRPr="00081B73" w:rsidTr="001911A6">
        <w:trPr>
          <w:trHeight w:val="510"/>
          <w:tblCellSpacing w:w="15" w:type="dxa"/>
        </w:trPr>
        <w:tc>
          <w:tcPr>
            <w:tcW w:w="2374" w:type="dxa"/>
            <w:tcBorders>
              <w:right w:val="single" w:sz="4" w:space="0" w:color="000000"/>
            </w:tcBorders>
            <w:shd w:val="clear" w:color="auto" w:fill="C0C0C0"/>
            <w:vAlign w:val="center"/>
          </w:tcPr>
          <w:p w:rsidR="00A131AD" w:rsidRPr="00081B73" w:rsidRDefault="00CB080B" w:rsidP="000C0138">
            <w:pPr>
              <w:spacing w:line="276" w:lineRule="auto"/>
              <w:rPr>
                <w:rFonts w:ascii="Times New Roman" w:hAnsi="Times New Roman"/>
                <w:sz w:val="20"/>
                <w:szCs w:val="20"/>
                <w:lang w:val="bs-Latn-BA"/>
              </w:rPr>
            </w:pPr>
            <w:r>
              <w:rPr>
                <w:rFonts w:ascii="Times New Roman" w:hAnsi="Times New Roman"/>
                <w:color w:val="800000"/>
                <w:sz w:val="20"/>
                <w:szCs w:val="20"/>
                <w:lang w:val="bs-Latn-BA"/>
              </w:rPr>
              <w:t>Opšti</w:t>
            </w:r>
            <w:r w:rsidR="00A131AD" w:rsidRPr="00081B73">
              <w:rPr>
                <w:rFonts w:ascii="Times New Roman" w:hAnsi="Times New Roman"/>
                <w:color w:val="800000"/>
                <w:sz w:val="20"/>
                <w:szCs w:val="20"/>
                <w:lang w:val="bs-Latn-BA"/>
              </w:rPr>
              <w:t>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055"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 Centar</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33,0</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68.487</w:t>
            </w:r>
          </w:p>
        </w:tc>
      </w:tr>
      <w:tr w:rsidR="00A131AD" w:rsidRPr="00081B73" w:rsidTr="001911A6">
        <w:trPr>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Hadžići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273,3</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23.129</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Ilidža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143,4</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63.599</w:t>
            </w:r>
          </w:p>
        </w:tc>
      </w:tr>
      <w:tr w:rsidR="00A131AD" w:rsidRPr="00081B73" w:rsidTr="001911A6">
        <w:trPr>
          <w:cantSplit/>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Ilijaš</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308,6</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20.097</w:t>
            </w:r>
          </w:p>
        </w:tc>
      </w:tr>
      <w:tr w:rsidR="00A131AD" w:rsidRPr="00081B73" w:rsidTr="001911A6">
        <w:trPr>
          <w:cantSplit/>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Novi Grad</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47,2</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126.708</w:t>
            </w:r>
          </w:p>
        </w:tc>
      </w:tr>
      <w:tr w:rsidR="00A131AD" w:rsidRPr="00081B73" w:rsidTr="001911A6">
        <w:trPr>
          <w:cantSplit/>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Novo Sarajevo</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9,9</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73.862</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Stari Grad</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51,4</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41.595</w:t>
            </w:r>
          </w:p>
        </w:tc>
      </w:tr>
      <w:tr w:rsidR="00A131AD" w:rsidRPr="00081B73" w:rsidTr="001911A6">
        <w:trPr>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Trnovo</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338,4</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2.529</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Vogošća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71,7</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26.847</w:t>
            </w:r>
          </w:p>
        </w:tc>
      </w:tr>
      <w:tr w:rsidR="00A131AD" w:rsidRPr="00081B73" w:rsidTr="001911A6">
        <w:trPr>
          <w:trHeight w:val="222"/>
          <w:tblCellSpacing w:w="15" w:type="dxa"/>
        </w:trPr>
        <w:tc>
          <w:tcPr>
            <w:tcW w:w="2374"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UKUPNO:</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1.276,9</w:t>
            </w:r>
          </w:p>
        </w:tc>
        <w:tc>
          <w:tcPr>
            <w:tcW w:w="1055"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446.853</w:t>
            </w:r>
          </w:p>
        </w:tc>
      </w:tr>
      <w:tr w:rsidR="00A131AD" w:rsidRPr="00081B73" w:rsidTr="001911A6">
        <w:trPr>
          <w:trHeight w:val="222"/>
          <w:tblCellSpacing w:w="15" w:type="dxa"/>
        </w:trPr>
        <w:tc>
          <w:tcPr>
            <w:tcW w:w="2374" w:type="dxa"/>
            <w:shd w:val="clear" w:color="auto" w:fill="FFFFFF"/>
            <w:vAlign w:val="center"/>
          </w:tcPr>
          <w:p w:rsidR="00A131AD" w:rsidRPr="00081B73" w:rsidRDefault="00A131AD" w:rsidP="000C0138">
            <w:pPr>
              <w:spacing w:line="276" w:lineRule="auto"/>
              <w:rPr>
                <w:rFonts w:ascii="Times New Roman" w:hAnsi="Times New Roman"/>
                <w:color w:val="006699"/>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348,4</w:t>
            </w:r>
          </w:p>
        </w:tc>
        <w:tc>
          <w:tcPr>
            <w:tcW w:w="1055" w:type="dxa"/>
            <w:shd w:val="clear" w:color="auto" w:fill="FFFFFF"/>
            <w:vAlign w:val="center"/>
          </w:tcPr>
          <w:p w:rsidR="00A131AD" w:rsidRPr="00081B73" w:rsidRDefault="00A131AD" w:rsidP="000C0138">
            <w:pPr>
              <w:spacing w:line="276" w:lineRule="auto"/>
              <w:jc w:val="center"/>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t xml:space="preserve">        * procjena broja stanovnika na dan 30.06. 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w:t>
      </w:r>
      <w:r w:rsidR="00606974">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2697"/>
        <w:gridCol w:w="2496"/>
      </w:tblGrid>
      <w:tr w:rsidR="00A131AD" w:rsidRPr="00081B73" w:rsidTr="001911A6">
        <w:tc>
          <w:tcPr>
            <w:tcW w:w="3663"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7"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10,6</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10,4</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9,5</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10,0</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6,7</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6,9</w:t>
            </w:r>
          </w:p>
        </w:tc>
      </w:tr>
      <w:tr w:rsidR="00A131AD" w:rsidRPr="00081B73" w:rsidTr="001911A6">
        <w:tc>
          <w:tcPr>
            <w:tcW w:w="3663"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1,1</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3: Vodeći uzroci smrti za 2010</w:t>
      </w:r>
      <w:r w:rsidR="00606974">
        <w:rPr>
          <w:lang w:val="bs-Latn-BA"/>
        </w:rPr>
        <w:t>.</w:t>
      </w:r>
      <w:r w:rsidR="00A131AD" w:rsidRPr="00081B73">
        <w:rPr>
          <w:lang w:val="bs-Latn-BA"/>
        </w:rPr>
        <w:t xml:space="preserve">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500"/>
        <w:gridCol w:w="718"/>
        <w:gridCol w:w="861"/>
        <w:gridCol w:w="581"/>
        <w:gridCol w:w="2340"/>
        <w:gridCol w:w="766"/>
        <w:gridCol w:w="1034"/>
      </w:tblGrid>
      <w:tr w:rsidR="00A131AD" w:rsidRPr="00081B73" w:rsidTr="001911A6">
        <w:trPr>
          <w:trHeight w:val="405"/>
        </w:trPr>
        <w:tc>
          <w:tcPr>
            <w:tcW w:w="456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1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6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81"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3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359</w:t>
            </w:r>
          </w:p>
        </w:tc>
        <w:tc>
          <w:tcPr>
            <w:tcW w:w="861" w:type="dxa"/>
          </w:tcPr>
          <w:p w:rsidR="00A131AD" w:rsidRPr="00081B73" w:rsidRDefault="00A131AD" w:rsidP="000C0138">
            <w:pPr>
              <w:tabs>
                <w:tab w:val="left" w:pos="360"/>
                <w:tab w:val="left" w:pos="405"/>
                <w:tab w:val="left" w:pos="46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404</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9,0</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Hronična ishemična oboljenja srca </w:t>
            </w:r>
            <w:r w:rsidRPr="00081B73">
              <w:rPr>
                <w:rFonts w:ascii="Times New Roman" w:hAnsi="Times New Roman"/>
                <w:sz w:val="20"/>
                <w:szCs w:val="20"/>
              </w:rPr>
              <w:t>( I25)</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276</w:t>
            </w:r>
          </w:p>
        </w:tc>
        <w:tc>
          <w:tcPr>
            <w:tcW w:w="861" w:type="dxa"/>
          </w:tcPr>
          <w:p w:rsidR="00A131AD" w:rsidRPr="00081B73" w:rsidRDefault="00A131AD" w:rsidP="000C0138">
            <w:pPr>
              <w:tabs>
                <w:tab w:val="left" w:pos="46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277</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6,2</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Hronična ishemična oboljenja srca (I25)</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258</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217</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174</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4,2</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Inzulino-neovisni diabetes mellitus (E11)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213</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2802</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3100</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69,4</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4137</w:t>
            </w:r>
          </w:p>
        </w:tc>
        <w:tc>
          <w:tcPr>
            <w:tcW w:w="861" w:type="dxa"/>
          </w:tcPr>
          <w:p w:rsidR="00A131AD" w:rsidRPr="00081B73" w:rsidRDefault="00A131AD" w:rsidP="000C0138">
            <w:pPr>
              <w:tabs>
                <w:tab w:val="left" w:pos="4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4469</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80006" w:rsidP="00677033">
      <w:pPr>
        <w:pStyle w:val="refererere"/>
        <w:rPr>
          <w:lang w:val="bs-Latn-BA"/>
        </w:rPr>
      </w:pPr>
      <w:r>
        <w:rPr>
          <w:lang w:val="bs-Latn-BA"/>
        </w:rPr>
        <w:t>Tabela</w:t>
      </w:r>
      <w:r w:rsidR="00A131AD" w:rsidRPr="00081B73">
        <w:rPr>
          <w:lang w:val="bs-Latn-BA"/>
        </w:rPr>
        <w:t xml:space="preserve"> 4: Vodeća zarazna oboljenja za 2010</w:t>
      </w:r>
      <w:r w:rsidR="00606974">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cantSplit/>
          <w:trHeight w:val="77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vAlign w:val="center"/>
          </w:tcPr>
          <w:p w:rsidR="00A131AD" w:rsidRPr="00081B73" w:rsidRDefault="00A131AD" w:rsidP="000C0138">
            <w:pPr>
              <w:autoSpaceDE w:val="0"/>
              <w:autoSpaceDN w:val="0"/>
              <w:adjustRightInd w:val="0"/>
              <w:spacing w:line="276" w:lineRule="auto"/>
              <w:ind w:left="113" w:right="113"/>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622,58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12424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2780,33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960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219,85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1753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392,30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210,27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1657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370,82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500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114,53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Herpes zoster</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546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122,19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431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98,72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420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93,99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5527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1265,99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16800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3759,6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6817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1561,48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18575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4156,85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5: Prevalenc</w:t>
      </w:r>
      <w:r w:rsidR="00606974">
        <w:rPr>
          <w:lang w:val="bs-Latn-BA"/>
        </w:rPr>
        <w:t>ij</w:t>
      </w:r>
      <w:r w:rsidR="00A131AD" w:rsidRPr="00081B73">
        <w:rPr>
          <w:lang w:val="bs-Latn-BA"/>
        </w:rPr>
        <w:t>a nezaraznih bolesti za 2010</w:t>
      </w:r>
      <w:r w:rsidR="00606974">
        <w:rPr>
          <w:lang w:val="bs-Latn-BA"/>
        </w:rPr>
        <w:t>.</w:t>
      </w:r>
      <w:r w:rsidR="00A131AD" w:rsidRPr="00081B73">
        <w:rPr>
          <w:lang w:val="bs-Latn-BA"/>
        </w:rPr>
        <w:t xml:space="preserve"> i 2015. godinu</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693"/>
        <w:gridCol w:w="2602"/>
      </w:tblGrid>
      <w:tr w:rsidR="00A131AD" w:rsidRPr="00081B73" w:rsidTr="00A2552D">
        <w:trPr>
          <w:cantSplit/>
          <w:trHeight w:val="449"/>
        </w:trPr>
        <w:tc>
          <w:tcPr>
            <w:tcW w:w="3681"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6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602"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cantSplit/>
          <w:trHeight w:val="345"/>
        </w:trPr>
        <w:tc>
          <w:tcPr>
            <w:tcW w:w="3681"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693" w:type="dxa"/>
            <w:shd w:val="clear" w:color="auto" w:fill="FFFF00"/>
            <w:vAlign w:val="center"/>
          </w:tcPr>
          <w:p w:rsidR="00A131AD" w:rsidRPr="00081B73" w:rsidRDefault="00A131AD" w:rsidP="00A2552D">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Morbiditet/10.000</w:t>
            </w:r>
          </w:p>
        </w:tc>
        <w:tc>
          <w:tcPr>
            <w:tcW w:w="2602" w:type="dxa"/>
            <w:shd w:val="clear" w:color="auto" w:fill="FFFF00"/>
            <w:vAlign w:val="center"/>
          </w:tcPr>
          <w:p w:rsidR="00A131AD" w:rsidRPr="00081B73" w:rsidRDefault="00A131AD" w:rsidP="00A2552D">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Morbiditet/10.000</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2.011,4</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1957,7</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89,8</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71,8</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322,0</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341,0</w:t>
            </w:r>
          </w:p>
        </w:tc>
      </w:tr>
      <w:tr w:rsidR="00A131AD" w:rsidRPr="00081B73" w:rsidTr="00A2552D">
        <w:tc>
          <w:tcPr>
            <w:tcW w:w="3681"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207,0</w:t>
            </w:r>
          </w:p>
        </w:tc>
        <w:tc>
          <w:tcPr>
            <w:tcW w:w="2602"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162,0</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351,1</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315,2</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739,5</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1981"/>
        <w:gridCol w:w="1845"/>
        <w:gridCol w:w="1401"/>
        <w:gridCol w:w="1401"/>
        <w:gridCol w:w="1571"/>
      </w:tblGrid>
      <w:tr w:rsidR="00A131AD" w:rsidRPr="00081B73" w:rsidTr="00A2552D">
        <w:trPr>
          <w:cantSplit/>
        </w:trPr>
        <w:tc>
          <w:tcPr>
            <w:tcW w:w="1133"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Sarajevski kanton </w:t>
            </w:r>
          </w:p>
        </w:tc>
        <w:tc>
          <w:tcPr>
            <w:tcW w:w="1981"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845"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A2552D">
        <w:trPr>
          <w:cantSplit/>
          <w:trHeight w:val="431"/>
        </w:trPr>
        <w:tc>
          <w:tcPr>
            <w:tcW w:w="1133"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81"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96,4%</w:t>
            </w:r>
          </w:p>
        </w:tc>
        <w:tc>
          <w:tcPr>
            <w:tcW w:w="1845"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7: Zdravstvena zaštita za 2010</w:t>
      </w:r>
      <w:r w:rsidR="00606974">
        <w:rPr>
          <w:lang w:val="bs-Latn-BA"/>
        </w:rPr>
        <w:t>.</w:t>
      </w:r>
      <w:r w:rsidR="00A131AD"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254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250</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115</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2345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2215</w:t>
            </w:r>
          </w:p>
        </w:tc>
      </w:tr>
    </w:tbl>
    <w:p w:rsidR="00677033" w:rsidRPr="00081B73" w:rsidRDefault="00677033" w:rsidP="000C0138">
      <w:pPr>
        <w:spacing w:line="276" w:lineRule="auto"/>
        <w:jc w:val="center"/>
        <w:rPr>
          <w:rFonts w:ascii="Times New Roman" w:hAnsi="Times New Roman"/>
          <w:b/>
          <w:sz w:val="20"/>
          <w:szCs w:val="20"/>
          <w:lang w:val="bs-Latn-BA"/>
        </w:rPr>
      </w:pPr>
    </w:p>
    <w:p w:rsidR="00081B73" w:rsidRDefault="00081B73">
      <w:pPr>
        <w:spacing w:after="160" w:line="259" w:lineRule="auto"/>
        <w:jc w:val="left"/>
        <w:rPr>
          <w:rFonts w:ascii="Times New Roman" w:hAnsi="Times New Roman"/>
          <w:b/>
          <w:sz w:val="20"/>
          <w:szCs w:val="20"/>
          <w:lang w:val="bs-Latn-BA"/>
        </w:rPr>
      </w:pPr>
      <w:r>
        <w:rPr>
          <w:rFonts w:ascii="Times New Roman" w:hAnsi="Times New Roman"/>
          <w:b/>
          <w:sz w:val="20"/>
          <w:szCs w:val="20"/>
          <w:lang w:val="bs-Latn-BA"/>
        </w:rPr>
        <w:br w:type="page"/>
      </w:r>
    </w:p>
    <w:p w:rsidR="00A131AD" w:rsidRPr="00081B73" w:rsidRDefault="00A131AD" w:rsidP="000C0138">
      <w:pPr>
        <w:spacing w:line="276" w:lineRule="auto"/>
        <w:jc w:val="center"/>
        <w:rPr>
          <w:rFonts w:ascii="Times New Roman" w:hAnsi="Times New Roman"/>
          <w:b/>
          <w:sz w:val="20"/>
          <w:szCs w:val="20"/>
          <w:lang w:val="bs-Latn-BA"/>
        </w:rPr>
      </w:pPr>
      <w:r w:rsidRPr="00081B73">
        <w:rPr>
          <w:rFonts w:ascii="Times New Roman" w:hAnsi="Times New Roman"/>
          <w:b/>
          <w:sz w:val="20"/>
          <w:szCs w:val="20"/>
          <w:lang w:val="bs-Latn-BA"/>
        </w:rPr>
        <w:t>Kanton 10</w:t>
      </w:r>
    </w:p>
    <w:p w:rsidR="00A131AD" w:rsidRPr="00081B73" w:rsidRDefault="00A131AD" w:rsidP="000C0138">
      <w:pPr>
        <w:spacing w:line="276" w:lineRule="auto"/>
        <w:jc w:val="center"/>
        <w:rPr>
          <w:rFonts w:ascii="Times New Roman" w:hAnsi="Times New Roman"/>
          <w:b/>
          <w:sz w:val="20"/>
          <w:szCs w:val="20"/>
          <w:lang w:val="bs-Latn-BA"/>
        </w:rPr>
      </w:pPr>
    </w:p>
    <w:p w:rsidR="00A131AD" w:rsidRPr="00081B73" w:rsidRDefault="00A80006" w:rsidP="000C0138">
      <w:pPr>
        <w:spacing w:line="276" w:lineRule="auto"/>
        <w:jc w:val="center"/>
        <w:rPr>
          <w:rFonts w:ascii="Times New Roman" w:hAnsi="Times New Roman"/>
          <w:b/>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1: Stanovništvo po </w:t>
      </w:r>
      <w:r w:rsidR="00CB080B">
        <w:rPr>
          <w:rFonts w:ascii="Times New Roman" w:hAnsi="Times New Roman"/>
          <w:sz w:val="20"/>
          <w:szCs w:val="20"/>
          <w:lang w:val="bs-Latn-BA"/>
        </w:rPr>
        <w:t>opšti</w:t>
      </w:r>
      <w:r w:rsidR="00A131AD" w:rsidRPr="00081B73">
        <w:rPr>
          <w:rFonts w:ascii="Times New Roman" w:hAnsi="Times New Roman"/>
          <w:sz w:val="20"/>
          <w:szCs w:val="20"/>
          <w:lang w:val="bs-Latn-BA"/>
        </w:rPr>
        <w:t>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eastAsia="en-GB"/>
        </w:rPr>
        <w:drawing>
          <wp:anchor distT="0" distB="0" distL="114300" distR="114300" simplePos="0" relativeHeight="251658752" behindDoc="0" locked="0" layoutInCell="1" allowOverlap="1" wp14:anchorId="57FD969E" wp14:editId="36882010">
            <wp:simplePos x="0" y="0"/>
            <wp:positionH relativeFrom="column">
              <wp:posOffset>-88900</wp:posOffset>
            </wp:positionH>
            <wp:positionV relativeFrom="paragraph">
              <wp:posOffset>138430</wp:posOffset>
            </wp:positionV>
            <wp:extent cx="2374900" cy="2311400"/>
            <wp:effectExtent l="0" t="0" r="6350" b="0"/>
            <wp:wrapSquare wrapText="bothSides"/>
            <wp:docPr id="118" name="Picture 118" descr="cant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ton1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7490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22"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2491"/>
        <w:gridCol w:w="1309"/>
        <w:gridCol w:w="1122"/>
      </w:tblGrid>
      <w:tr w:rsidR="00A131AD" w:rsidRPr="00081B73" w:rsidTr="001911A6">
        <w:trPr>
          <w:trHeight w:val="900"/>
          <w:tblCellSpacing w:w="15" w:type="dxa"/>
        </w:trPr>
        <w:tc>
          <w:tcPr>
            <w:tcW w:w="2446" w:type="dxa"/>
            <w:shd w:val="clear" w:color="auto" w:fill="C0C0C0"/>
            <w:vAlign w:val="center"/>
          </w:tcPr>
          <w:p w:rsidR="00A131AD" w:rsidRPr="00081B73" w:rsidRDefault="00CB080B" w:rsidP="000C0138">
            <w:pPr>
              <w:pStyle w:val="NormalWeb"/>
              <w:spacing w:line="276" w:lineRule="auto"/>
              <w:rPr>
                <w:color w:val="993366"/>
                <w:sz w:val="20"/>
                <w:szCs w:val="20"/>
                <w:lang w:val="bs-Latn-BA"/>
              </w:rPr>
            </w:pPr>
            <w:r>
              <w:rPr>
                <w:color w:val="993366"/>
                <w:sz w:val="20"/>
                <w:szCs w:val="20"/>
                <w:lang w:val="bs-Latn-BA"/>
              </w:rPr>
              <w:t>Opšti</w:t>
            </w:r>
            <w:r w:rsidR="00A131AD" w:rsidRPr="00081B73">
              <w:rPr>
                <w:color w:val="993366"/>
                <w:sz w:val="20"/>
                <w:szCs w:val="20"/>
                <w:lang w:val="bs-Latn-BA"/>
              </w:rPr>
              <w:t>na</w:t>
            </w:r>
          </w:p>
        </w:tc>
        <w:tc>
          <w:tcPr>
            <w:tcW w:w="1279" w:type="dxa"/>
            <w:shd w:val="clear" w:color="auto" w:fill="C0C0C0"/>
            <w:vAlign w:val="center"/>
          </w:tcPr>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 xml:space="preserve">Površina, </w:t>
            </w:r>
          </w:p>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km</w:t>
            </w:r>
            <w:r w:rsidRPr="00081B73">
              <w:rPr>
                <w:rFonts w:ascii="Times New Roman" w:hAnsi="Times New Roman"/>
                <w:b/>
                <w:bCs/>
                <w:color w:val="993366"/>
                <w:sz w:val="20"/>
                <w:szCs w:val="20"/>
                <w:vertAlign w:val="superscript"/>
                <w:lang w:val="bs-Latn-BA"/>
              </w:rPr>
              <w:t>2</w:t>
            </w:r>
          </w:p>
        </w:tc>
        <w:tc>
          <w:tcPr>
            <w:tcW w:w="1077" w:type="dxa"/>
            <w:shd w:val="clear" w:color="auto" w:fill="C0C0C0"/>
            <w:vAlign w:val="center"/>
          </w:tcPr>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Procjena broja stanovnika</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Bosansko Grahovo</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780,0</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1.950</w:t>
            </w:r>
          </w:p>
        </w:tc>
      </w:tr>
      <w:tr w:rsidR="00A131AD" w:rsidRPr="00081B73" w:rsidTr="001911A6">
        <w:trPr>
          <w:trHeight w:val="210"/>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Drvar</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589,3</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10.409</w:t>
            </w:r>
          </w:p>
        </w:tc>
      </w:tr>
      <w:tr w:rsidR="00A131AD" w:rsidRPr="00081B73" w:rsidTr="001911A6">
        <w:trPr>
          <w:trHeight w:val="330"/>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Glamoč</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1033,6</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4.355</w:t>
            </w:r>
          </w:p>
        </w:tc>
      </w:tr>
      <w:tr w:rsidR="00A131AD" w:rsidRPr="00081B73" w:rsidTr="001911A6">
        <w:trPr>
          <w:trHeight w:val="225"/>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Kupres</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569,8</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3.243</w:t>
            </w:r>
          </w:p>
        </w:tc>
      </w:tr>
      <w:tr w:rsidR="00A131AD" w:rsidRPr="00081B73" w:rsidTr="001911A6">
        <w:trPr>
          <w:trHeight w:val="300"/>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Livno</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994,0</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31.422</w:t>
            </w:r>
          </w:p>
        </w:tc>
      </w:tr>
      <w:tr w:rsidR="00A131AD" w:rsidRPr="00081B73" w:rsidTr="001911A6">
        <w:trPr>
          <w:trHeight w:val="315"/>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Tomislavgrad</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967,4</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26.378</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4934,1</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77.757</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15,9</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*procjena broja stanovnika na dan 30.06.2015.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2: Preliminarni </w:t>
      </w:r>
      <w:r w:rsidR="00587CDA">
        <w:rPr>
          <w:lang w:val="bs-Latn-BA"/>
        </w:rPr>
        <w:t>pokazatelji</w:t>
      </w:r>
      <w:r w:rsidR="00A131AD" w:rsidRPr="00081B73">
        <w:rPr>
          <w:lang w:val="bs-Latn-BA"/>
        </w:rPr>
        <w:t xml:space="preserve"> vitalne statistike za 2010</w:t>
      </w:r>
      <w:r w:rsidR="00606974">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2684"/>
        <w:gridCol w:w="2500"/>
      </w:tblGrid>
      <w:tr w:rsidR="00A131AD" w:rsidRPr="00081B73" w:rsidTr="001911A6">
        <w:tc>
          <w:tcPr>
            <w:tcW w:w="367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4" w:type="dxa"/>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2010.</w:t>
            </w:r>
          </w:p>
        </w:tc>
        <w:tc>
          <w:tcPr>
            <w:tcW w:w="2500" w:type="dxa"/>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2015.</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6,2</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5,2</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9,3</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11,2</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4,0</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9,8</w:t>
            </w:r>
          </w:p>
        </w:tc>
      </w:tr>
      <w:tr w:rsidR="00A131AD" w:rsidRPr="00081B73" w:rsidTr="001911A6">
        <w:tc>
          <w:tcPr>
            <w:tcW w:w="3672"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Prirodni </w:t>
            </w:r>
            <w:r w:rsidR="00512E30">
              <w:rPr>
                <w:rFonts w:ascii="Times New Roman" w:hAnsi="Times New Roman"/>
                <w:sz w:val="20"/>
                <w:szCs w:val="20"/>
                <w:lang w:val="bs-Latn-BA"/>
              </w:rPr>
              <w:t>priraštaj</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-3,1</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-5,9</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3: Vodeći uzroci smrti za 2010</w:t>
      </w:r>
      <w:r w:rsidR="00606974">
        <w:rPr>
          <w:lang w:val="bs-Latn-BA"/>
        </w:rPr>
        <w:t>.</w:t>
      </w:r>
      <w:r w:rsidR="00A131AD"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602"/>
        <w:gridCol w:w="709"/>
        <w:gridCol w:w="814"/>
        <w:gridCol w:w="462"/>
        <w:gridCol w:w="2693"/>
        <w:gridCol w:w="567"/>
        <w:gridCol w:w="941"/>
      </w:tblGrid>
      <w:tr w:rsidR="00A131AD" w:rsidRPr="00081B73" w:rsidTr="001911A6">
        <w:trPr>
          <w:trHeight w:val="405"/>
        </w:trPr>
        <w:tc>
          <w:tcPr>
            <w:tcW w:w="4608" w:type="dxa"/>
            <w:gridSpan w:val="4"/>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2010.</w:t>
            </w:r>
          </w:p>
        </w:tc>
        <w:tc>
          <w:tcPr>
            <w:tcW w:w="4663" w:type="dxa"/>
            <w:gridSpan w:val="4"/>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2015.</w:t>
            </w:r>
          </w:p>
        </w:tc>
      </w:tr>
      <w:tr w:rsidR="00A131AD" w:rsidRPr="00081B73" w:rsidTr="001911A6">
        <w:trPr>
          <w:trHeight w:val="345"/>
        </w:trPr>
        <w:tc>
          <w:tcPr>
            <w:tcW w:w="48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0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62"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9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6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4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188</w:t>
            </w:r>
          </w:p>
        </w:tc>
        <w:tc>
          <w:tcPr>
            <w:tcW w:w="814" w:type="dxa"/>
          </w:tcPr>
          <w:p w:rsidR="00A131AD" w:rsidRPr="00081B73" w:rsidRDefault="00A131AD" w:rsidP="000C0138">
            <w:pPr>
              <w:tabs>
                <w:tab w:val="left" w:pos="34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16,9</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Udar koji nije spec. Kao krvarenje ili infarkt </w:t>
            </w:r>
            <w:r w:rsidRPr="00081B73">
              <w:rPr>
                <w:rFonts w:ascii="Times New Roman" w:hAnsi="Times New Roman"/>
                <w:sz w:val="20"/>
                <w:szCs w:val="20"/>
              </w:rPr>
              <w:t>( I64)</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109</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14,6</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90</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10,4</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11,1</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w:t>
            </w:r>
            <w:r w:rsidRPr="00081B73">
              <w:rPr>
                <w:rFonts w:ascii="Times New Roman" w:hAnsi="Times New Roman"/>
                <w:w w:val="98"/>
                <w:sz w:val="20"/>
                <w:szCs w:val="20"/>
              </w:rPr>
              <w:t>I46)</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6,6</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w:t>
            </w:r>
            <w:r w:rsidRPr="00081B73">
              <w:rPr>
                <w:rFonts w:ascii="Times New Roman" w:hAnsi="Times New Roman"/>
                <w:w w:val="98"/>
                <w:sz w:val="20"/>
                <w:szCs w:val="20"/>
              </w:rPr>
              <w:t>I46)</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56</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6,4</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Sekvele cerebrovaskularnih oboljenja (I69)</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02"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Ostale bolesti kao uzrci smrti</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304</w:t>
            </w:r>
          </w:p>
        </w:tc>
        <w:tc>
          <w:tcPr>
            <w:tcW w:w="814" w:type="dxa"/>
          </w:tcPr>
          <w:p w:rsidR="00A131AD" w:rsidRPr="00081B73" w:rsidRDefault="00A131AD" w:rsidP="000C0138">
            <w:pPr>
              <w:tabs>
                <w:tab w:val="left" w:pos="2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40,8</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53,7</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02"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746</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869</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002B489B">
        <w:rPr>
          <w:rFonts w:ascii="Times New Roman" w:hAnsi="Times New Roman"/>
          <w:sz w:val="20"/>
          <w:szCs w:val="20"/>
          <w:lang w:val="bs-Latn-BA"/>
        </w:rPr>
        <w:t>Podaci</w:t>
      </w:r>
      <w:r w:rsidRPr="00081B73">
        <w:rPr>
          <w:rFonts w:ascii="Times New Roman" w:hAnsi="Times New Roman"/>
          <w:sz w:val="20"/>
          <w:szCs w:val="20"/>
          <w:lang w:val="bs-Latn-BA"/>
        </w:rPr>
        <w:t xml:space="preserve"> Federalnog zavoda za statistiku-obrada uzroka smrti FBiH 2015. god</w:t>
      </w:r>
    </w:p>
    <w:p w:rsidR="00A131AD" w:rsidRPr="00081B73" w:rsidRDefault="00A131AD" w:rsidP="000C0138">
      <w:pPr>
        <w:spacing w:after="160" w:line="276" w:lineRule="auto"/>
        <w:jc w:val="left"/>
        <w:rPr>
          <w:rFonts w:ascii="Times New Roman" w:hAnsi="Times New Roman"/>
          <w:sz w:val="20"/>
          <w:szCs w:val="20"/>
          <w:lang w:val="bs-Latn-BA"/>
        </w:rPr>
      </w:pPr>
      <w:r w:rsidRPr="00081B73">
        <w:rPr>
          <w:rFonts w:ascii="Times New Roman" w:hAnsi="Times New Roman"/>
          <w:sz w:val="20"/>
          <w:szCs w:val="20"/>
          <w:lang w:val="bs-Latn-BA"/>
        </w:rPr>
        <w:br w:type="page"/>
      </w:r>
    </w:p>
    <w:p w:rsidR="00A131AD" w:rsidRPr="00081B73" w:rsidRDefault="00A80006" w:rsidP="00677033">
      <w:pPr>
        <w:pStyle w:val="refererere"/>
        <w:rPr>
          <w:lang w:val="bs-Latn-BA"/>
        </w:rPr>
      </w:pPr>
      <w:r>
        <w:rPr>
          <w:lang w:val="bs-Latn-BA"/>
        </w:rPr>
        <w:t>Tabela</w:t>
      </w:r>
      <w:r w:rsidR="00A131AD" w:rsidRPr="00081B73">
        <w:rPr>
          <w:lang w:val="bs-Latn-BA"/>
        </w:rPr>
        <w:t xml:space="preserve"> 4: Vodeća zarazna oboljenja za 2010</w:t>
      </w:r>
      <w:r w:rsidR="00606974">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079"/>
        <w:gridCol w:w="981"/>
        <w:gridCol w:w="1015"/>
        <w:gridCol w:w="540"/>
        <w:gridCol w:w="1858"/>
        <w:gridCol w:w="1202"/>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9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vAlign w:val="center"/>
          </w:tcPr>
          <w:p w:rsidR="00A131AD" w:rsidRPr="00081B73" w:rsidRDefault="00A131AD" w:rsidP="000C0138">
            <w:pPr>
              <w:autoSpaceDE w:val="0"/>
              <w:autoSpaceDN w:val="0"/>
              <w:adjustRightInd w:val="0"/>
              <w:spacing w:line="276" w:lineRule="auto"/>
              <w:ind w:left="113" w:right="113"/>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58"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02"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 xml:space="preserve">Broj </w:t>
            </w:r>
            <w:r w:rsidR="00A80006">
              <w:rPr>
                <w:rFonts w:ascii="Times New Roman" w:hAnsi="Times New Roman"/>
                <w:sz w:val="20"/>
                <w:szCs w:val="20"/>
                <w:lang w:val="bs-Latn-BA"/>
              </w:rPr>
              <w:t>registrovanih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93,37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425,69</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78,43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255,93</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Salmonellosis</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16,18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136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174,90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Salmonellosis</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10,29</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8,71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Herpes zoster</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7,72</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206,66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680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874,5</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236,55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694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892,52</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5: Prevalenc</w:t>
      </w:r>
      <w:r w:rsidR="00606974">
        <w:rPr>
          <w:lang w:val="bs-Latn-BA"/>
        </w:rPr>
        <w:t>ij</w:t>
      </w:r>
      <w:r w:rsidR="00A131AD" w:rsidRPr="00081B73">
        <w:rPr>
          <w:lang w:val="bs-Latn-BA"/>
        </w:rPr>
        <w:t>a nezaraznih bolesti za 2010</w:t>
      </w:r>
      <w:r w:rsidR="00606974">
        <w:rPr>
          <w:lang w:val="bs-Latn-BA"/>
        </w:rPr>
        <w:t>.</w:t>
      </w:r>
      <w:r w:rsidR="00A131AD" w:rsidRPr="00081B73">
        <w:rPr>
          <w:lang w:val="bs-Latn-BA"/>
        </w:rPr>
        <w:t xml:space="preserve">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2389"/>
        <w:gridCol w:w="2160"/>
      </w:tblGrid>
      <w:tr w:rsidR="00A131AD" w:rsidRPr="00081B73" w:rsidTr="001911A6">
        <w:trPr>
          <w:cantSplit/>
          <w:trHeight w:val="405"/>
        </w:trPr>
        <w:tc>
          <w:tcPr>
            <w:tcW w:w="478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78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332,2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534,0</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17,6</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84,4</w:t>
            </w:r>
          </w:p>
        </w:tc>
      </w:tr>
      <w:tr w:rsidR="00A131AD" w:rsidRPr="00081B73" w:rsidTr="001911A6">
        <w:tc>
          <w:tcPr>
            <w:tcW w:w="4788" w:type="dxa"/>
          </w:tcPr>
          <w:p w:rsidR="00A131AD" w:rsidRPr="00081B73" w:rsidRDefault="00F70FD4" w:rsidP="000C0138">
            <w:pPr>
              <w:spacing w:line="276" w:lineRule="auto"/>
              <w:rPr>
                <w:rFonts w:ascii="Times New Roman" w:hAnsi="Times New Roman"/>
                <w:sz w:val="20"/>
                <w:szCs w:val="20"/>
                <w:lang w:val="bs-Latn-BA"/>
              </w:rPr>
            </w:pPr>
            <w:r>
              <w:rPr>
                <w:rFonts w:ascii="Times New Roman" w:hAnsi="Times New Roman"/>
                <w:sz w:val="20"/>
                <w:szCs w:val="20"/>
                <w:lang w:val="bs-Latn-BA"/>
              </w:rPr>
              <w:t>Hronične</w:t>
            </w:r>
            <w:r w:rsidR="00A131AD" w:rsidRPr="00081B73">
              <w:rPr>
                <w:rFonts w:ascii="Times New Roman" w:hAnsi="Times New Roman"/>
                <w:sz w:val="20"/>
                <w:szCs w:val="20"/>
                <w:lang w:val="bs-Latn-BA"/>
              </w:rPr>
              <w:t xml:space="preserve"> plućne opstruktivne (J40-J46)</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51,7</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114,7</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164,7</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677033">
      <w:pPr>
        <w:pStyle w:val="refererere"/>
        <w:rPr>
          <w:lang w:val="bs-Latn-BA"/>
        </w:rPr>
      </w:pPr>
      <w:r>
        <w:rPr>
          <w:lang w:val="bs-Latn-BA"/>
        </w:rPr>
        <w:t>Tabela</w:t>
      </w:r>
      <w:r w:rsidR="00A131AD"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Kanton 10</w:t>
            </w:r>
          </w:p>
        </w:tc>
        <w:tc>
          <w:tcPr>
            <w:tcW w:w="196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w:t>
            </w:r>
            <w:r w:rsidR="00512E30">
              <w:rPr>
                <w:rFonts w:ascii="Times New Roman" w:hAnsi="Times New Roman"/>
                <w:sz w:val="20"/>
                <w:szCs w:val="20"/>
                <w:lang w:val="bs-Latn-BA"/>
              </w:rPr>
              <w:t>sistem</w:t>
            </w:r>
            <w:r w:rsidRPr="00081B73">
              <w:rPr>
                <w:rFonts w:ascii="Times New Roman" w:hAnsi="Times New Roman"/>
                <w:sz w:val="20"/>
                <w:szCs w:val="20"/>
                <w:lang w:val="bs-Latn-BA"/>
              </w:rPr>
              <w:t xml:space="preserve"> </w:t>
            </w:r>
            <w:r w:rsidR="00F70FD4">
              <w:rPr>
                <w:rFonts w:ascii="Times New Roman" w:hAnsi="Times New Roman"/>
                <w:sz w:val="20"/>
                <w:szCs w:val="20"/>
                <w:lang w:val="bs-Latn-BA"/>
              </w:rPr>
              <w:t>vodosnabdijevanja</w:t>
            </w:r>
          </w:p>
        </w:tc>
        <w:tc>
          <w:tcPr>
            <w:tcW w:w="1622"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 xml:space="preserve">jski </w:t>
            </w:r>
            <w:r w:rsidR="00512E30">
              <w:rPr>
                <w:rFonts w:ascii="Times New Roman" w:hAnsi="Times New Roman"/>
                <w:sz w:val="20"/>
                <w:szCs w:val="20"/>
                <w:lang w:val="bs-Latn-BA"/>
              </w:rPr>
              <w:t>sistem</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80006" w:rsidP="000C0138">
      <w:pPr>
        <w:spacing w:line="276" w:lineRule="auto"/>
        <w:rPr>
          <w:rFonts w:ascii="Times New Roman" w:hAnsi="Times New Roman"/>
          <w:sz w:val="20"/>
          <w:szCs w:val="20"/>
          <w:lang w:val="bs-Latn-BA"/>
        </w:rPr>
      </w:pPr>
      <w:r>
        <w:rPr>
          <w:rFonts w:ascii="Times New Roman" w:hAnsi="Times New Roman"/>
          <w:sz w:val="20"/>
          <w:szCs w:val="20"/>
          <w:lang w:val="bs-Latn-BA"/>
        </w:rPr>
        <w:t>Tabela</w:t>
      </w:r>
      <w:r w:rsidR="00A131AD" w:rsidRPr="00081B73">
        <w:rPr>
          <w:rFonts w:ascii="Times New Roman" w:hAnsi="Times New Roman"/>
          <w:sz w:val="20"/>
          <w:szCs w:val="20"/>
          <w:lang w:val="bs-Latn-BA"/>
        </w:rPr>
        <w:t xml:space="preserve">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31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677033">
        <w:trPr>
          <w:trHeight w:val="283"/>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217</w:t>
            </w:r>
          </w:p>
        </w:tc>
      </w:tr>
    </w:tbl>
    <w:p w:rsidR="00081B73" w:rsidRDefault="00081B73" w:rsidP="000C0138">
      <w:pPr>
        <w:spacing w:line="276" w:lineRule="auto"/>
        <w:rPr>
          <w:rFonts w:ascii="Times New Roman" w:hAnsi="Times New Roman"/>
          <w:lang w:val="bs-Latn-BA"/>
        </w:rPr>
      </w:pPr>
    </w:p>
    <w:p w:rsidR="00081B73" w:rsidRDefault="00081B73">
      <w:pPr>
        <w:spacing w:after="160" w:line="259" w:lineRule="auto"/>
        <w:jc w:val="left"/>
        <w:rPr>
          <w:rFonts w:ascii="Times New Roman" w:hAnsi="Times New Roman"/>
          <w:lang w:val="bs-Latn-BA"/>
        </w:rPr>
      </w:pPr>
      <w:r>
        <w:rPr>
          <w:rFonts w:ascii="Times New Roman" w:hAnsi="Times New Roman"/>
          <w:lang w:val="bs-Latn-BA"/>
        </w:rPr>
        <w:br w:type="page"/>
      </w:r>
    </w:p>
    <w:p w:rsidR="0075440C" w:rsidRDefault="00E558FA" w:rsidP="0082015E">
      <w:pPr>
        <w:pStyle w:val="Poglavlje1"/>
      </w:pPr>
      <w:bookmarkStart w:id="355" w:name="_Toc460929224"/>
      <w:r>
        <w:t>ZAKLJUČC</w:t>
      </w:r>
      <w:r w:rsidR="0075440C">
        <w:t>I</w:t>
      </w:r>
      <w:bookmarkEnd w:id="355"/>
    </w:p>
    <w:p w:rsidR="00096B44" w:rsidRPr="00096B44" w:rsidRDefault="00587CDA" w:rsidP="00096B44">
      <w:pPr>
        <w:tabs>
          <w:tab w:val="left" w:pos="550"/>
        </w:tabs>
        <w:spacing w:before="120" w:line="276" w:lineRule="auto"/>
        <w:rPr>
          <w:rFonts w:ascii="Times New Roman" w:hAnsi="Times New Roman"/>
          <w:i/>
          <w:noProof/>
          <w:lang w:val="hr-HR" w:eastAsia="de-DE"/>
        </w:rPr>
      </w:pPr>
      <w:r>
        <w:rPr>
          <w:rFonts w:ascii="Times New Roman" w:hAnsi="Times New Roman"/>
          <w:noProof/>
          <w:lang w:val="hr-HR" w:eastAsia="de-DE"/>
        </w:rPr>
        <w:t>Pokazatelji</w:t>
      </w:r>
      <w:r w:rsidR="00096B44" w:rsidRPr="00096B44">
        <w:rPr>
          <w:rFonts w:ascii="Times New Roman" w:hAnsi="Times New Roman"/>
          <w:noProof/>
          <w:lang w:val="hr-HR" w:eastAsia="de-DE"/>
        </w:rPr>
        <w:t xml:space="preserve"> zdravstvenog stanja stanovništva i organizacije zdravstvene zaštite u  Federaciji BiH u ovom izvješ</w:t>
      </w:r>
      <w:r w:rsidR="00606974">
        <w:rPr>
          <w:rFonts w:ascii="Times New Roman" w:hAnsi="Times New Roman"/>
          <w:noProof/>
          <w:lang w:val="hr-HR" w:eastAsia="de-DE"/>
        </w:rPr>
        <w:t>ću</w:t>
      </w:r>
      <w:r w:rsidR="00096B44" w:rsidRPr="00096B44">
        <w:rPr>
          <w:rFonts w:ascii="Times New Roman" w:hAnsi="Times New Roman"/>
          <w:noProof/>
          <w:lang w:val="hr-HR" w:eastAsia="de-DE"/>
        </w:rPr>
        <w:t xml:space="preserve"> se odnose na javni sektor zdravstvene zaštite i prikazani su za </w:t>
      </w:r>
      <w:r w:rsidR="00F70FD4">
        <w:rPr>
          <w:rFonts w:ascii="Times New Roman" w:hAnsi="Times New Roman"/>
          <w:noProof/>
          <w:lang w:val="hr-HR" w:eastAsia="de-DE"/>
        </w:rPr>
        <w:t>period</w:t>
      </w:r>
      <w:r w:rsidR="00606974">
        <w:rPr>
          <w:rFonts w:ascii="Times New Roman" w:hAnsi="Times New Roman"/>
          <w:noProof/>
          <w:lang w:val="hr-HR" w:eastAsia="de-DE"/>
        </w:rPr>
        <w:t xml:space="preserve"> </w:t>
      </w:r>
      <w:r w:rsidR="00096B44" w:rsidRPr="00096B44">
        <w:rPr>
          <w:rFonts w:ascii="Times New Roman" w:hAnsi="Times New Roman"/>
          <w:noProof/>
          <w:lang w:val="hr-HR" w:eastAsia="de-DE"/>
        </w:rPr>
        <w:t>od 2010.</w:t>
      </w:r>
      <w:r w:rsidR="00606974">
        <w:rPr>
          <w:rFonts w:ascii="Times New Roman" w:hAnsi="Times New Roman"/>
          <w:noProof/>
          <w:lang w:val="hr-HR" w:eastAsia="de-DE"/>
        </w:rPr>
        <w:t xml:space="preserve"> do </w:t>
      </w:r>
      <w:r w:rsidR="00096B44" w:rsidRPr="00096B44">
        <w:rPr>
          <w:rFonts w:ascii="Times New Roman" w:hAnsi="Times New Roman"/>
          <w:noProof/>
          <w:lang w:val="hr-HR" w:eastAsia="de-DE"/>
        </w:rPr>
        <w:t>2015. godine.</w:t>
      </w: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 xml:space="preserve">Demografija </w:t>
      </w:r>
    </w:p>
    <w:p w:rsidR="00096B44" w:rsidRPr="00096B44" w:rsidRDefault="00096B44" w:rsidP="00E558FA">
      <w:pPr>
        <w:numPr>
          <w:ilvl w:val="0"/>
          <w:numId w:val="19"/>
        </w:numPr>
        <w:tabs>
          <w:tab w:val="left" w:pos="550"/>
        </w:tabs>
        <w:spacing w:before="120" w:line="276" w:lineRule="auto"/>
        <w:rPr>
          <w:rFonts w:ascii="Times New Roman" w:hAnsi="Times New Roman"/>
          <w:i/>
          <w:noProof/>
          <w:lang w:val="hr-HR" w:eastAsia="de-DE"/>
        </w:rPr>
      </w:pPr>
      <w:r w:rsidRPr="00096B44">
        <w:rPr>
          <w:rFonts w:ascii="Times New Roman" w:hAnsi="Times New Roman"/>
          <w:noProof/>
          <w:lang w:val="hr-HR" w:eastAsia="de-DE"/>
        </w:rPr>
        <w:t>Bilježi se  trend starenja stanovništva, praćen kontinuiranim padom stope nataliteta, porasta stop</w:t>
      </w:r>
      <w:r w:rsidR="00392609">
        <w:rPr>
          <w:rFonts w:ascii="Times New Roman" w:hAnsi="Times New Roman"/>
          <w:noProof/>
          <w:lang w:val="hr-HR" w:eastAsia="de-DE"/>
        </w:rPr>
        <w:t>e</w:t>
      </w:r>
      <w:r w:rsidRPr="00096B44">
        <w:rPr>
          <w:rFonts w:ascii="Times New Roman" w:hAnsi="Times New Roman"/>
          <w:noProof/>
          <w:lang w:val="hr-HR" w:eastAsia="de-DE"/>
        </w:rPr>
        <w:t xml:space="preserve"> </w:t>
      </w:r>
      <w:r w:rsidR="00CB080B">
        <w:rPr>
          <w:rFonts w:ascii="Times New Roman" w:hAnsi="Times New Roman"/>
          <w:noProof/>
          <w:lang w:val="hr-HR" w:eastAsia="de-DE"/>
        </w:rPr>
        <w:t>opšteg</w:t>
      </w:r>
      <w:r w:rsidRPr="00096B44">
        <w:rPr>
          <w:rFonts w:ascii="Times New Roman" w:hAnsi="Times New Roman"/>
          <w:noProof/>
          <w:lang w:val="hr-HR" w:eastAsia="de-DE"/>
        </w:rPr>
        <w:t xml:space="preserve"> mortaliteta, što za posljedicu ima  negativnu  vrijednost stope prirodnog </w:t>
      </w:r>
      <w:r w:rsidR="00512E30">
        <w:rPr>
          <w:rFonts w:ascii="Times New Roman" w:hAnsi="Times New Roman"/>
          <w:noProof/>
          <w:lang w:val="hr-HR" w:eastAsia="de-DE"/>
        </w:rPr>
        <w:t>priraštaj</w:t>
      </w:r>
      <w:r w:rsidR="00392609">
        <w:rPr>
          <w:rFonts w:ascii="Times New Roman" w:hAnsi="Times New Roman"/>
          <w:noProof/>
          <w:lang w:val="hr-HR" w:eastAsia="de-DE"/>
        </w:rPr>
        <w:t>a</w:t>
      </w:r>
      <w:r w:rsidRPr="00096B44">
        <w:rPr>
          <w:rFonts w:ascii="Times New Roman" w:hAnsi="Times New Roman"/>
          <w:noProof/>
          <w:lang w:val="hr-HR" w:eastAsia="de-DE"/>
        </w:rPr>
        <w:t xml:space="preserve">  na čak</w:t>
      </w:r>
      <w:r w:rsidR="00E558FA">
        <w:rPr>
          <w:rFonts w:ascii="Times New Roman" w:hAnsi="Times New Roman"/>
          <w:noProof/>
          <w:lang w:val="hr-HR" w:eastAsia="de-DE"/>
        </w:rPr>
        <w:t xml:space="preserve"> devet kantona u Federaciji BiH sa izuzetkom K</w:t>
      </w:r>
      <w:r w:rsidRPr="00096B44">
        <w:rPr>
          <w:rFonts w:ascii="Times New Roman" w:hAnsi="Times New Roman"/>
          <w:noProof/>
          <w:lang w:val="hr-HR" w:eastAsia="de-DE"/>
        </w:rPr>
        <w:t>antona Sarajevo.</w:t>
      </w: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Uzroci smrtnosti i obol</w:t>
      </w:r>
      <w:r w:rsidR="00392609">
        <w:rPr>
          <w:rFonts w:ascii="Times New Roman" w:hAnsi="Times New Roman"/>
          <w:b/>
          <w:noProof/>
          <w:lang w:val="hr-HR" w:eastAsia="de-DE"/>
        </w:rPr>
        <w:t>i</w:t>
      </w:r>
      <w:r w:rsidRPr="00096B44">
        <w:rPr>
          <w:rFonts w:ascii="Times New Roman" w:hAnsi="Times New Roman"/>
          <w:b/>
          <w:noProof/>
          <w:lang w:val="hr-HR" w:eastAsia="de-DE"/>
        </w:rPr>
        <w:t xml:space="preserve">jevanja </w:t>
      </w:r>
    </w:p>
    <w:p w:rsidR="00096B44" w:rsidRPr="00096B44" w:rsidRDefault="00096B44" w:rsidP="00096B44">
      <w:pPr>
        <w:numPr>
          <w:ilvl w:val="0"/>
          <w:numId w:val="19"/>
        </w:numPr>
        <w:tabs>
          <w:tab w:val="left" w:pos="550"/>
        </w:tabs>
        <w:spacing w:before="120"/>
        <w:rPr>
          <w:rFonts w:ascii="Times New Roman" w:hAnsi="Times New Roman"/>
          <w:noProof/>
          <w:lang w:val="hr-HR" w:eastAsia="de-DE"/>
        </w:rPr>
      </w:pPr>
      <w:r w:rsidRPr="00096B44">
        <w:rPr>
          <w:rFonts w:ascii="Times New Roman" w:hAnsi="Times New Roman"/>
          <w:noProof/>
          <w:lang w:val="hr-HR" w:eastAsia="de-DE"/>
        </w:rPr>
        <w:t xml:space="preserve">Kao i prethodnih godina, vodeći uzroci umiranja stanovništva Federacije BiH su oboljenja kardiovaskularnog </w:t>
      </w:r>
      <w:r w:rsidR="00512E30">
        <w:rPr>
          <w:rFonts w:ascii="Times New Roman" w:hAnsi="Times New Roman"/>
          <w:noProof/>
          <w:lang w:val="hr-HR" w:eastAsia="de-DE"/>
        </w:rPr>
        <w:t>sistem</w:t>
      </w:r>
      <w:r w:rsidR="00392609">
        <w:rPr>
          <w:rFonts w:ascii="Times New Roman" w:hAnsi="Times New Roman"/>
          <w:noProof/>
          <w:lang w:val="hr-HR" w:eastAsia="de-DE"/>
        </w:rPr>
        <w:t>a</w:t>
      </w:r>
      <w:r w:rsidRPr="00096B44">
        <w:rPr>
          <w:rFonts w:ascii="Times New Roman" w:hAnsi="Times New Roman"/>
          <w:noProof/>
          <w:lang w:val="hr-HR" w:eastAsia="de-DE"/>
        </w:rPr>
        <w:t xml:space="preserve"> i maligne neoplazme.</w:t>
      </w:r>
    </w:p>
    <w:p w:rsidR="00096B44" w:rsidRPr="00E558FA" w:rsidRDefault="00096B44" w:rsidP="00096B44">
      <w:pPr>
        <w:numPr>
          <w:ilvl w:val="0"/>
          <w:numId w:val="19"/>
        </w:numPr>
        <w:tabs>
          <w:tab w:val="left" w:pos="550"/>
        </w:tabs>
        <w:spacing w:before="120"/>
        <w:rPr>
          <w:rFonts w:ascii="Times New Roman" w:hAnsi="Times New Roman"/>
          <w:i/>
          <w:noProof/>
          <w:lang w:val="hr-HR" w:eastAsia="de-DE"/>
        </w:rPr>
      </w:pPr>
      <w:r w:rsidRPr="00E558FA">
        <w:rPr>
          <w:rFonts w:ascii="Times New Roman" w:hAnsi="Times New Roman"/>
          <w:noProof/>
          <w:lang w:val="hr-HR" w:eastAsia="de-DE"/>
        </w:rPr>
        <w:t>U obol</w:t>
      </w:r>
      <w:r w:rsidR="00392609">
        <w:rPr>
          <w:rFonts w:ascii="Times New Roman" w:hAnsi="Times New Roman"/>
          <w:noProof/>
          <w:lang w:val="hr-HR" w:eastAsia="de-DE"/>
        </w:rPr>
        <w:t>i</w:t>
      </w:r>
      <w:r w:rsidRPr="00E558FA">
        <w:rPr>
          <w:rFonts w:ascii="Times New Roman" w:hAnsi="Times New Roman"/>
          <w:noProof/>
          <w:lang w:val="hr-HR" w:eastAsia="de-DE"/>
        </w:rPr>
        <w:t xml:space="preserve">jevanju stanovništva dominiraju </w:t>
      </w:r>
      <w:r w:rsidR="00E558FA" w:rsidRPr="00E558FA">
        <w:rPr>
          <w:rFonts w:ascii="Times New Roman" w:hAnsi="Times New Roman"/>
          <w:noProof/>
          <w:lang w:val="hr-HR" w:eastAsia="de-DE"/>
        </w:rPr>
        <w:t xml:space="preserve">nezarazne bolesti. </w:t>
      </w:r>
      <w:r w:rsidRPr="00E558FA">
        <w:rPr>
          <w:rFonts w:ascii="Times New Roman" w:hAnsi="Times New Roman"/>
          <w:noProof/>
          <w:lang w:val="hr-HR" w:eastAsia="de-DE"/>
        </w:rPr>
        <w:t xml:space="preserve">Prema </w:t>
      </w:r>
      <w:r w:rsidR="002B489B">
        <w:rPr>
          <w:rFonts w:ascii="Times New Roman" w:hAnsi="Times New Roman"/>
          <w:noProof/>
          <w:lang w:val="hr-HR" w:eastAsia="de-DE"/>
        </w:rPr>
        <w:t>podaci</w:t>
      </w:r>
      <w:r w:rsidRPr="00E558FA">
        <w:rPr>
          <w:rFonts w:ascii="Times New Roman" w:hAnsi="Times New Roman"/>
          <w:noProof/>
          <w:lang w:val="hr-HR" w:eastAsia="de-DE"/>
        </w:rPr>
        <w:t>ma populacijskog Registra za rak, najčešća lokalizacija raka kod muškaraca je rak pluća</w:t>
      </w:r>
      <w:r w:rsidR="00E558FA" w:rsidRPr="00E558FA">
        <w:rPr>
          <w:rFonts w:ascii="Times New Roman" w:hAnsi="Times New Roman"/>
          <w:noProof/>
          <w:lang w:val="hr-HR" w:eastAsia="de-DE"/>
        </w:rPr>
        <w:t>,</w:t>
      </w:r>
      <w:r w:rsidRPr="00E558FA">
        <w:rPr>
          <w:rFonts w:ascii="Times New Roman" w:hAnsi="Times New Roman"/>
          <w:noProof/>
          <w:lang w:val="hr-HR" w:eastAsia="de-DE"/>
        </w:rPr>
        <w:t xml:space="preserve"> a kod žena rak dojke. </w:t>
      </w:r>
    </w:p>
    <w:p w:rsidR="00096B44" w:rsidRPr="00E558FA" w:rsidRDefault="00E558FA" w:rsidP="00096B44">
      <w:pPr>
        <w:numPr>
          <w:ilvl w:val="0"/>
          <w:numId w:val="19"/>
        </w:numPr>
        <w:tabs>
          <w:tab w:val="left" w:pos="550"/>
        </w:tabs>
        <w:spacing w:before="120"/>
        <w:rPr>
          <w:rFonts w:ascii="Times New Roman" w:hAnsi="Times New Roman"/>
          <w:i/>
          <w:noProof/>
          <w:lang w:val="hr-HR" w:eastAsia="de-DE"/>
        </w:rPr>
      </w:pPr>
      <w:r>
        <w:rPr>
          <w:rFonts w:ascii="Times New Roman" w:hAnsi="Times New Roman"/>
          <w:noProof/>
          <w:lang w:val="hr-HR" w:eastAsia="de-DE"/>
        </w:rPr>
        <w:t>Registruje se</w:t>
      </w:r>
      <w:r w:rsidR="00096B44" w:rsidRPr="00E558FA">
        <w:rPr>
          <w:rFonts w:ascii="Times New Roman" w:hAnsi="Times New Roman"/>
          <w:noProof/>
          <w:lang w:val="hr-HR" w:eastAsia="de-DE"/>
        </w:rPr>
        <w:t xml:space="preserve"> blagi trend rasta obolijevanja stanovništva  od mentalnih poremećaja i poremećaja ponašanja. </w:t>
      </w:r>
    </w:p>
    <w:p w:rsidR="00096B44" w:rsidRPr="00E558FA" w:rsidRDefault="00096B44" w:rsidP="00096B44">
      <w:pPr>
        <w:rPr>
          <w:rFonts w:ascii="Times New Roman" w:hAnsi="Times New Roman"/>
          <w:lang w:val="sl-SI"/>
        </w:rPr>
      </w:pPr>
    </w:p>
    <w:p w:rsidR="00096B44" w:rsidRPr="00096B44" w:rsidRDefault="00E558FA" w:rsidP="00096B44">
      <w:pPr>
        <w:numPr>
          <w:ilvl w:val="0"/>
          <w:numId w:val="19"/>
        </w:numPr>
        <w:contextualSpacing/>
        <w:rPr>
          <w:rFonts w:ascii="Times New Roman" w:hAnsi="Times New Roman"/>
          <w:lang w:val="sl-SI"/>
        </w:rPr>
      </w:pPr>
      <w:r>
        <w:rPr>
          <w:rFonts w:ascii="Times New Roman" w:hAnsi="Times New Roman"/>
          <w:lang w:val="sl-SI"/>
        </w:rPr>
        <w:t xml:space="preserve">U morbiditetu od zaraznih bolesti </w:t>
      </w:r>
      <w:r w:rsidR="00096B44" w:rsidRPr="00096B44">
        <w:rPr>
          <w:rFonts w:ascii="Times New Roman" w:hAnsi="Times New Roman"/>
          <w:lang w:val="sl-SI"/>
        </w:rPr>
        <w:t xml:space="preserve">dominiraju gripa/bolesti sličnih gripi, </w:t>
      </w:r>
      <w:r w:rsidR="00096B44" w:rsidRPr="00096B44">
        <w:rPr>
          <w:rFonts w:ascii="Times New Roman" w:hAnsi="Times New Roman"/>
          <w:lang w:val="pl-PL"/>
        </w:rPr>
        <w:t xml:space="preserve">varičele, streptokokna angina, TBC respiratornog </w:t>
      </w:r>
      <w:r w:rsidR="00512E30">
        <w:rPr>
          <w:rFonts w:ascii="Times New Roman" w:hAnsi="Times New Roman"/>
          <w:lang w:val="pl-PL"/>
        </w:rPr>
        <w:t>sistem</w:t>
      </w:r>
      <w:r w:rsidR="00096B44" w:rsidRPr="00096B44">
        <w:rPr>
          <w:rFonts w:ascii="Times New Roman" w:hAnsi="Times New Roman"/>
          <w:lang w:val="pl-PL"/>
        </w:rPr>
        <w:t>a, morbili, scarl</w:t>
      </w:r>
      <w:r w:rsidR="000F37BF">
        <w:rPr>
          <w:rFonts w:ascii="Times New Roman" w:hAnsi="Times New Roman"/>
          <w:lang w:val="pl-PL"/>
        </w:rPr>
        <w:t>atina i infektivna mononukleoza</w:t>
      </w:r>
      <w:r w:rsidR="00096B44" w:rsidRPr="00096B44">
        <w:rPr>
          <w:rFonts w:ascii="Times New Roman" w:hAnsi="Times New Roman"/>
          <w:lang w:val="pl-PL"/>
        </w:rPr>
        <w:t xml:space="preserve">, akutni enterokolitis i skabijes. </w:t>
      </w:r>
    </w:p>
    <w:p w:rsidR="00096B44" w:rsidRPr="00096B44" w:rsidRDefault="00096B44" w:rsidP="00096B44">
      <w:pPr>
        <w:rPr>
          <w:rFonts w:ascii="Times New Roman" w:eastAsia="MS Mincho" w:hAnsi="Times New Roman"/>
          <w:lang w:val="bs-Latn-BA" w:eastAsia="bs-Latn-BA"/>
        </w:rPr>
      </w:pPr>
    </w:p>
    <w:p w:rsidR="00096B44" w:rsidRPr="00096B44" w:rsidRDefault="000F37BF" w:rsidP="00096B44">
      <w:pPr>
        <w:numPr>
          <w:ilvl w:val="0"/>
          <w:numId w:val="19"/>
        </w:numPr>
        <w:contextualSpacing/>
        <w:rPr>
          <w:rFonts w:ascii="Times New Roman" w:eastAsia="MS Mincho" w:hAnsi="Times New Roman"/>
          <w:lang w:val="bs-Latn-BA" w:eastAsia="bs-Latn-BA"/>
        </w:rPr>
      </w:pPr>
      <w:r>
        <w:rPr>
          <w:rFonts w:ascii="Times New Roman" w:eastAsia="MS Mincho" w:hAnsi="Times New Roman"/>
          <w:lang w:val="bs-Latn-BA" w:eastAsia="bs-Latn-BA"/>
        </w:rPr>
        <w:t>Održavaju se stope  HIV-a manje</w:t>
      </w:r>
      <w:r w:rsidR="00096B44" w:rsidRPr="00096B44">
        <w:rPr>
          <w:rFonts w:ascii="Times New Roman" w:eastAsia="MS Mincho" w:hAnsi="Times New Roman"/>
          <w:lang w:val="bs-Latn-BA" w:eastAsia="bs-Latn-BA"/>
        </w:rPr>
        <w:t xml:space="preserve"> o</w:t>
      </w:r>
      <w:r>
        <w:rPr>
          <w:rFonts w:ascii="Times New Roman" w:eastAsia="MS Mincho" w:hAnsi="Times New Roman"/>
          <w:lang w:val="bs-Latn-BA" w:eastAsia="bs-Latn-BA"/>
        </w:rPr>
        <w:t>d 1% u općoj populaciji i manje</w:t>
      </w:r>
      <w:r w:rsidR="00096B44" w:rsidRPr="00096B44">
        <w:rPr>
          <w:rFonts w:ascii="Times New Roman" w:eastAsia="MS Mincho" w:hAnsi="Times New Roman"/>
          <w:lang w:val="bs-Latn-BA" w:eastAsia="bs-Latn-BA"/>
        </w:rPr>
        <w:t xml:space="preserve"> od 5% u bilo kojoj grupi pod povećanim rizikom. </w:t>
      </w:r>
    </w:p>
    <w:p w:rsidR="00096B44" w:rsidRPr="00096B44" w:rsidRDefault="00096B44" w:rsidP="00096B44">
      <w:pPr>
        <w:rPr>
          <w:rFonts w:ascii="Times New Roman" w:hAnsi="Times New Roman"/>
        </w:rPr>
      </w:pPr>
    </w:p>
    <w:p w:rsidR="00096B44" w:rsidRPr="00096B44" w:rsidRDefault="00096B44" w:rsidP="00096B44">
      <w:pPr>
        <w:numPr>
          <w:ilvl w:val="0"/>
          <w:numId w:val="19"/>
        </w:numPr>
        <w:contextualSpacing/>
        <w:rPr>
          <w:rFonts w:ascii="Times New Roman" w:hAnsi="Times New Roman"/>
        </w:rPr>
      </w:pPr>
      <w:r w:rsidRPr="00096B44">
        <w:rPr>
          <w:rFonts w:ascii="Times New Roman" w:hAnsi="Times New Roman"/>
        </w:rPr>
        <w:t xml:space="preserve">Evidentiran je niži obuhvat </w:t>
      </w:r>
      <w:r w:rsidR="00392609">
        <w:rPr>
          <w:rFonts w:ascii="Times New Roman" w:hAnsi="Times New Roman"/>
        </w:rPr>
        <w:t>cjepljenjem</w:t>
      </w:r>
      <w:r w:rsidRPr="00096B44">
        <w:rPr>
          <w:rFonts w:ascii="Times New Roman" w:hAnsi="Times New Roman"/>
        </w:rPr>
        <w:t xml:space="preserve"> u 2015. godini u odnosu na prethodne godine, što vodi ka padu kvaliteta kolektivnog imuniteta populacije protiv određenih zaraznih bolesti i prijeti ponovnim sporadičnim ili epidemijskim javljanjem </w:t>
      </w:r>
      <w:r w:rsidR="00392609">
        <w:rPr>
          <w:rFonts w:ascii="Times New Roman" w:hAnsi="Times New Roman"/>
        </w:rPr>
        <w:t>cjepivom</w:t>
      </w:r>
      <w:r w:rsidRPr="00096B44">
        <w:rPr>
          <w:rFonts w:ascii="Times New Roman" w:hAnsi="Times New Roman"/>
        </w:rPr>
        <w:t>-preventabilnih bolesti</w:t>
      </w:r>
    </w:p>
    <w:p w:rsidR="00096B44" w:rsidRPr="00096B44" w:rsidRDefault="00096B44" w:rsidP="00096B44">
      <w:pPr>
        <w:rPr>
          <w:rFonts w:ascii="Times New Roman" w:hAnsi="Times New Roman"/>
        </w:rPr>
      </w:pPr>
    </w:p>
    <w:p w:rsidR="00096B44" w:rsidRPr="00096B44" w:rsidRDefault="00096B44" w:rsidP="00096B44">
      <w:pPr>
        <w:numPr>
          <w:ilvl w:val="0"/>
          <w:numId w:val="19"/>
        </w:numPr>
        <w:contextualSpacing/>
        <w:rPr>
          <w:rFonts w:ascii="Times New Roman" w:hAnsi="Times New Roman"/>
        </w:rPr>
      </w:pPr>
      <w:r w:rsidRPr="00096B44">
        <w:rPr>
          <w:rFonts w:ascii="Times New Roman" w:hAnsi="Times New Roman"/>
        </w:rPr>
        <w:t>Zbog ograničene nabavne moći u 2015.</w:t>
      </w:r>
      <w:r w:rsidR="000F37BF">
        <w:rPr>
          <w:rFonts w:ascii="Times New Roman" w:hAnsi="Times New Roman"/>
        </w:rPr>
        <w:t xml:space="preserve"> godini</w:t>
      </w:r>
      <w:r w:rsidRPr="00096B44">
        <w:rPr>
          <w:rFonts w:ascii="Times New Roman" w:hAnsi="Times New Roman"/>
        </w:rPr>
        <w:t xml:space="preserve">, kao i u </w:t>
      </w:r>
      <w:r w:rsidR="000F37BF">
        <w:rPr>
          <w:rFonts w:ascii="Times New Roman" w:hAnsi="Times New Roman"/>
        </w:rPr>
        <w:t>prethodnoj godini,</w:t>
      </w:r>
      <w:r w:rsidRPr="00096B44">
        <w:rPr>
          <w:rFonts w:ascii="Times New Roman" w:hAnsi="Times New Roman"/>
        </w:rPr>
        <w:t xml:space="preserve"> Federacija BiH se suočila s problemom nabave kombiniranih cjepiva.</w:t>
      </w:r>
    </w:p>
    <w:p w:rsidR="00096B44" w:rsidRPr="00096B44" w:rsidRDefault="00096B44" w:rsidP="00096B44">
      <w:pPr>
        <w:rPr>
          <w:rFonts w:ascii="Times New Roman" w:hAnsi="Times New Roman"/>
        </w:rPr>
      </w:pPr>
    </w:p>
    <w:p w:rsidR="00096B44" w:rsidRPr="00096B44" w:rsidRDefault="002B489B" w:rsidP="00096B44">
      <w:pPr>
        <w:numPr>
          <w:ilvl w:val="0"/>
          <w:numId w:val="19"/>
        </w:numPr>
        <w:autoSpaceDE w:val="0"/>
        <w:autoSpaceDN w:val="0"/>
        <w:adjustRightInd w:val="0"/>
        <w:rPr>
          <w:rFonts w:ascii="Times New Roman" w:eastAsia="Calibri" w:hAnsi="Times New Roman"/>
          <w:color w:val="000000"/>
          <w:lang w:val="bs-Latn-BA"/>
        </w:rPr>
      </w:pPr>
      <w:r>
        <w:rPr>
          <w:rFonts w:ascii="Times New Roman" w:eastAsia="Calibri" w:hAnsi="Times New Roman"/>
          <w:lang w:val="bs-Latn-BA"/>
        </w:rPr>
        <w:t>Podaci</w:t>
      </w:r>
      <w:r w:rsidR="00096B44" w:rsidRPr="00096B44">
        <w:rPr>
          <w:rFonts w:ascii="Times New Roman" w:eastAsia="Calibri" w:hAnsi="Times New Roman"/>
          <w:lang w:val="bs-Latn-BA"/>
        </w:rPr>
        <w:t xml:space="preserve"> ukazuju na loše stanje oralnog zdravlja stanovništva u F</w:t>
      </w:r>
      <w:r w:rsidR="000F37BF">
        <w:rPr>
          <w:rFonts w:ascii="Times New Roman" w:eastAsia="Calibri" w:hAnsi="Times New Roman"/>
          <w:lang w:val="bs-Latn-BA"/>
        </w:rPr>
        <w:t xml:space="preserve">ederaciji </w:t>
      </w:r>
      <w:r w:rsidR="00096B44" w:rsidRPr="00096B44">
        <w:rPr>
          <w:rFonts w:ascii="Times New Roman" w:eastAsia="Calibri" w:hAnsi="Times New Roman"/>
          <w:lang w:val="bs-Latn-BA"/>
        </w:rPr>
        <w:t>BiH, što je posebno zabrinjavajuće kada su u pitanju djeca, kod kojih su, kao i kod odraslih,</w:t>
      </w:r>
      <w:r w:rsidR="00096B44" w:rsidRPr="00096B44">
        <w:rPr>
          <w:rFonts w:ascii="Times New Roman" w:eastAsia="Calibri" w:hAnsi="Times New Roman"/>
          <w:color w:val="000000"/>
          <w:lang w:val="bs-Latn-BA"/>
        </w:rPr>
        <w:t xml:space="preserve"> vodeća oboljenja bili zubni karijes i oboljenja zubne pulpe i periapikalnog tkiva.</w:t>
      </w:r>
    </w:p>
    <w:p w:rsidR="00096B44" w:rsidRPr="00096B44" w:rsidRDefault="00096B44" w:rsidP="00096B44">
      <w:pPr>
        <w:spacing w:line="276" w:lineRule="auto"/>
        <w:rPr>
          <w:rFonts w:ascii="Times New Roman" w:eastAsia="Calibri" w:hAnsi="Times New Roman"/>
          <w:color w:val="000000"/>
          <w:lang w:val="bs-Latn-BA"/>
        </w:rPr>
      </w:pP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 xml:space="preserve">Životni stil i ponašanje </w:t>
      </w:r>
    </w:p>
    <w:p w:rsidR="00096B44" w:rsidRPr="00096B44" w:rsidRDefault="000F37BF" w:rsidP="00096B44">
      <w:pPr>
        <w:numPr>
          <w:ilvl w:val="0"/>
          <w:numId w:val="20"/>
        </w:numPr>
        <w:tabs>
          <w:tab w:val="left" w:pos="550"/>
        </w:tabs>
        <w:spacing w:before="120"/>
        <w:rPr>
          <w:rFonts w:ascii="Times New Roman" w:hAnsi="Times New Roman"/>
          <w:i/>
          <w:noProof/>
          <w:lang w:val="hr-HR" w:eastAsia="de-DE"/>
        </w:rPr>
      </w:pPr>
      <w:r>
        <w:rPr>
          <w:rFonts w:ascii="Times New Roman" w:hAnsi="Times New Roman"/>
          <w:noProof/>
          <w:lang w:val="hr-HR" w:eastAsia="de-DE"/>
        </w:rPr>
        <w:t>P</w:t>
      </w:r>
      <w:r w:rsidR="00096B44" w:rsidRPr="00096B44">
        <w:rPr>
          <w:rFonts w:ascii="Times New Roman" w:hAnsi="Times New Roman"/>
          <w:noProof/>
          <w:lang w:val="hr-HR" w:eastAsia="de-DE"/>
        </w:rPr>
        <w:t>osebno izraženi rizi</w:t>
      </w:r>
      <w:r w:rsidR="00392609">
        <w:rPr>
          <w:rFonts w:ascii="Times New Roman" w:hAnsi="Times New Roman"/>
          <w:noProof/>
          <w:lang w:val="hr-HR" w:eastAsia="de-DE"/>
        </w:rPr>
        <w:t xml:space="preserve">čni </w:t>
      </w:r>
      <w:r w:rsidR="00D21A46">
        <w:rPr>
          <w:rFonts w:ascii="Times New Roman" w:hAnsi="Times New Roman"/>
          <w:noProof/>
          <w:lang w:val="hr-HR" w:eastAsia="de-DE"/>
        </w:rPr>
        <w:t>faktori</w:t>
      </w:r>
      <w:r w:rsidR="00096B44" w:rsidRPr="00096B44">
        <w:rPr>
          <w:rFonts w:ascii="Times New Roman" w:hAnsi="Times New Roman"/>
          <w:noProof/>
          <w:lang w:val="hr-HR" w:eastAsia="de-DE"/>
        </w:rPr>
        <w:t xml:space="preserve"> vezani za životni stil i ponašanje </w:t>
      </w:r>
      <w:r>
        <w:rPr>
          <w:rFonts w:ascii="Times New Roman" w:hAnsi="Times New Roman"/>
          <w:noProof/>
          <w:lang w:val="hr-HR" w:eastAsia="de-DE"/>
        </w:rPr>
        <w:t>su</w:t>
      </w:r>
      <w:r w:rsidR="00096B44" w:rsidRPr="00096B44">
        <w:rPr>
          <w:rFonts w:ascii="Times New Roman" w:hAnsi="Times New Roman"/>
          <w:noProof/>
          <w:lang w:val="hr-HR" w:eastAsia="de-DE"/>
        </w:rPr>
        <w:t xml:space="preserve"> konzumiranje duhana i alkohola u populaci</w:t>
      </w:r>
      <w:r w:rsidR="00392609">
        <w:rPr>
          <w:rFonts w:ascii="Times New Roman" w:hAnsi="Times New Roman"/>
          <w:noProof/>
          <w:lang w:val="hr-HR" w:eastAsia="de-DE"/>
        </w:rPr>
        <w:t>jskoj</w:t>
      </w:r>
      <w:r w:rsidR="00096B44" w:rsidRPr="00096B44">
        <w:rPr>
          <w:rFonts w:ascii="Times New Roman" w:hAnsi="Times New Roman"/>
          <w:noProof/>
          <w:lang w:val="hr-HR" w:eastAsia="de-DE"/>
        </w:rPr>
        <w:t xml:space="preserve"> </w:t>
      </w:r>
      <w:r w:rsidR="00A80006">
        <w:rPr>
          <w:rFonts w:ascii="Times New Roman" w:hAnsi="Times New Roman"/>
          <w:noProof/>
          <w:lang w:val="hr-HR" w:eastAsia="de-DE"/>
        </w:rPr>
        <w:t>grupi</w:t>
      </w:r>
      <w:r w:rsidR="00096B44" w:rsidRPr="00096B44">
        <w:rPr>
          <w:rFonts w:ascii="Times New Roman" w:hAnsi="Times New Roman"/>
          <w:noProof/>
          <w:lang w:val="hr-HR" w:eastAsia="de-DE"/>
        </w:rPr>
        <w:t xml:space="preserve"> odraslog stanovništva</w:t>
      </w:r>
      <w:r>
        <w:rPr>
          <w:rFonts w:ascii="Times New Roman" w:hAnsi="Times New Roman"/>
          <w:noProof/>
          <w:lang w:val="hr-HR" w:eastAsia="de-DE"/>
        </w:rPr>
        <w:t>.</w:t>
      </w:r>
      <w:r w:rsidR="00096B44" w:rsidRPr="00096B44">
        <w:rPr>
          <w:rFonts w:ascii="Times New Roman" w:hAnsi="Times New Roman"/>
          <w:noProof/>
          <w:lang w:val="hr-HR" w:eastAsia="de-DE"/>
        </w:rPr>
        <w:t xml:space="preserve"> </w:t>
      </w:r>
    </w:p>
    <w:p w:rsidR="00096B44" w:rsidRPr="00096B44" w:rsidRDefault="00096B44" w:rsidP="00096B44">
      <w:pPr>
        <w:rPr>
          <w:rFonts w:ascii="Times New Roman" w:eastAsia="Calibri" w:hAnsi="Times New Roman"/>
          <w:color w:val="000000"/>
          <w:lang w:val="bs-Latn-BA"/>
        </w:rPr>
      </w:pPr>
    </w:p>
    <w:p w:rsidR="00096B44" w:rsidRPr="00096B44" w:rsidRDefault="00096B44" w:rsidP="00096B44">
      <w:pPr>
        <w:numPr>
          <w:ilvl w:val="0"/>
          <w:numId w:val="20"/>
        </w:numPr>
        <w:contextualSpacing/>
        <w:rPr>
          <w:rFonts w:ascii="Times New Roman" w:hAnsi="Times New Roman"/>
          <w:lang w:val="hr-HR"/>
        </w:rPr>
      </w:pPr>
      <w:r w:rsidRPr="00096B44">
        <w:rPr>
          <w:rFonts w:ascii="Times New Roman" w:eastAsia="Calibri" w:hAnsi="Times New Roman"/>
          <w:color w:val="000000"/>
          <w:lang w:val="bs-Latn-BA"/>
        </w:rPr>
        <w:t>P</w:t>
      </w:r>
      <w:r w:rsidRPr="00096B44">
        <w:rPr>
          <w:rFonts w:ascii="Times New Roman" w:hAnsi="Times New Roman"/>
          <w:lang w:val="hr-HR"/>
        </w:rPr>
        <w:t xml:space="preserve">rehrambene navike u populaciji odraslih u Federaciji </w:t>
      </w:r>
      <w:r w:rsidR="000F37BF">
        <w:rPr>
          <w:rFonts w:ascii="Times New Roman" w:hAnsi="Times New Roman"/>
          <w:lang w:val="hr-HR"/>
        </w:rPr>
        <w:t>BiH</w:t>
      </w:r>
      <w:r w:rsidRPr="00096B44">
        <w:rPr>
          <w:rFonts w:ascii="Times New Roman" w:hAnsi="Times New Roman"/>
          <w:lang w:val="hr-HR"/>
        </w:rPr>
        <w:t xml:space="preserve"> pokazuju nezadovoljavajuće trendove gled</w:t>
      </w:r>
      <w:r w:rsidR="00392609">
        <w:rPr>
          <w:rFonts w:ascii="Times New Roman" w:hAnsi="Times New Roman"/>
          <w:lang w:val="hr-HR"/>
        </w:rPr>
        <w:t>e</w:t>
      </w:r>
      <w:r w:rsidRPr="00096B44">
        <w:rPr>
          <w:rFonts w:ascii="Times New Roman" w:hAnsi="Times New Roman"/>
          <w:lang w:val="hr-HR"/>
        </w:rPr>
        <w:t xml:space="preserve"> niske konzumacije voća i povrća kod odraslog stanovništva i </w:t>
      </w:r>
      <w:r w:rsidRPr="00096B44">
        <w:rPr>
          <w:rFonts w:ascii="Times New Roman" w:eastAsia="Calibri" w:hAnsi="Times New Roman"/>
        </w:rPr>
        <w:t>visok unos soli</w:t>
      </w:r>
      <w:r w:rsidRPr="00096B44">
        <w:rPr>
          <w:rFonts w:eastAsia="Calibri"/>
        </w:rPr>
        <w:t xml:space="preserve">. </w:t>
      </w:r>
    </w:p>
    <w:p w:rsidR="00096B44" w:rsidRPr="00096B44" w:rsidRDefault="00096B44" w:rsidP="00096B44">
      <w:pPr>
        <w:autoSpaceDE w:val="0"/>
        <w:autoSpaceDN w:val="0"/>
        <w:adjustRightInd w:val="0"/>
        <w:rPr>
          <w:rFonts w:ascii="Times New Roman" w:hAnsi="Times New Roman"/>
          <w:lang w:val="hr-HR"/>
        </w:rPr>
      </w:pPr>
    </w:p>
    <w:p w:rsidR="00096B44" w:rsidRPr="00096B44" w:rsidRDefault="00096B44" w:rsidP="00096B44">
      <w:pPr>
        <w:numPr>
          <w:ilvl w:val="0"/>
          <w:numId w:val="20"/>
        </w:numPr>
        <w:autoSpaceDE w:val="0"/>
        <w:autoSpaceDN w:val="0"/>
        <w:adjustRightInd w:val="0"/>
        <w:contextualSpacing/>
        <w:rPr>
          <w:rFonts w:ascii="Times New Roman" w:hAnsi="Times New Roman"/>
          <w:noProof/>
          <w:lang w:val="hr-HR" w:eastAsia="de-DE"/>
        </w:rPr>
      </w:pPr>
      <w:r w:rsidRPr="00096B44">
        <w:rPr>
          <w:rFonts w:ascii="Times New Roman" w:hAnsi="Times New Roman"/>
          <w:lang w:val="hr-HR"/>
        </w:rPr>
        <w:t xml:space="preserve">Visok procenat </w:t>
      </w:r>
      <w:r w:rsidR="00392609">
        <w:rPr>
          <w:rFonts w:ascii="Times New Roman" w:hAnsi="Times New Roman"/>
          <w:lang w:val="hr-HR"/>
        </w:rPr>
        <w:t>tjelesno</w:t>
      </w:r>
      <w:r w:rsidRPr="00096B44">
        <w:rPr>
          <w:rFonts w:ascii="Times New Roman" w:hAnsi="Times New Roman"/>
          <w:lang w:val="hr-HR"/>
        </w:rPr>
        <w:t xml:space="preserve"> neaktivnog stanovništva predstavlja prominentan rizi</w:t>
      </w:r>
      <w:r w:rsidR="00392609">
        <w:rPr>
          <w:rFonts w:ascii="Times New Roman" w:hAnsi="Times New Roman"/>
          <w:lang w:val="hr-HR"/>
        </w:rPr>
        <w:t xml:space="preserve">čni </w:t>
      </w:r>
      <w:r w:rsidR="00D21A46">
        <w:rPr>
          <w:rFonts w:ascii="Times New Roman" w:hAnsi="Times New Roman"/>
          <w:lang w:val="hr-HR"/>
        </w:rPr>
        <w:t>faktor</w:t>
      </w:r>
      <w:r w:rsidRPr="00096B44">
        <w:rPr>
          <w:rFonts w:ascii="Times New Roman" w:hAnsi="Times New Roman"/>
          <w:lang w:val="hr-HR"/>
        </w:rPr>
        <w:t xml:space="preserve"> u populaciji odraslih. </w:t>
      </w:r>
    </w:p>
    <w:p w:rsidR="00096B44" w:rsidRPr="00096B44" w:rsidRDefault="00096B44" w:rsidP="00096B44">
      <w:pPr>
        <w:autoSpaceDE w:val="0"/>
        <w:autoSpaceDN w:val="0"/>
        <w:adjustRightInd w:val="0"/>
        <w:spacing w:line="276" w:lineRule="auto"/>
        <w:rPr>
          <w:rFonts w:ascii="Times New Roman" w:hAnsi="Times New Roman"/>
          <w:color w:val="FF0000"/>
        </w:rPr>
      </w:pPr>
    </w:p>
    <w:p w:rsidR="00096B44" w:rsidRPr="00096B44" w:rsidRDefault="00096B44" w:rsidP="00096B44">
      <w:pPr>
        <w:autoSpaceDE w:val="0"/>
        <w:autoSpaceDN w:val="0"/>
        <w:adjustRightInd w:val="0"/>
        <w:spacing w:line="276" w:lineRule="auto"/>
        <w:rPr>
          <w:rFonts w:ascii="Times New Roman" w:hAnsi="Times New Roman"/>
          <w:b/>
        </w:rPr>
      </w:pPr>
    </w:p>
    <w:p w:rsidR="00096B44" w:rsidRPr="00096B44" w:rsidRDefault="00096B44" w:rsidP="00096B44">
      <w:pPr>
        <w:autoSpaceDE w:val="0"/>
        <w:autoSpaceDN w:val="0"/>
        <w:adjustRightInd w:val="0"/>
        <w:spacing w:line="276" w:lineRule="auto"/>
        <w:rPr>
          <w:rFonts w:ascii="Times New Roman" w:hAnsi="Times New Roman"/>
          <w:b/>
        </w:rPr>
      </w:pPr>
    </w:p>
    <w:p w:rsidR="00096B44" w:rsidRDefault="00096B44" w:rsidP="00096B44">
      <w:pPr>
        <w:autoSpaceDE w:val="0"/>
        <w:autoSpaceDN w:val="0"/>
        <w:adjustRightInd w:val="0"/>
        <w:spacing w:line="276" w:lineRule="auto"/>
        <w:rPr>
          <w:rFonts w:ascii="Times New Roman" w:hAnsi="Times New Roman"/>
          <w:b/>
        </w:rPr>
      </w:pPr>
    </w:p>
    <w:p w:rsidR="003E3695" w:rsidRPr="00096B44" w:rsidRDefault="003E3695" w:rsidP="00096B44">
      <w:pPr>
        <w:autoSpaceDE w:val="0"/>
        <w:autoSpaceDN w:val="0"/>
        <w:adjustRightInd w:val="0"/>
        <w:spacing w:line="276" w:lineRule="auto"/>
        <w:rPr>
          <w:rFonts w:ascii="Times New Roman" w:hAnsi="Times New Roman"/>
          <w:b/>
        </w:rPr>
      </w:pPr>
    </w:p>
    <w:p w:rsidR="00096B44" w:rsidRPr="00096B44" w:rsidRDefault="00CB080B" w:rsidP="00096B44">
      <w:pPr>
        <w:autoSpaceDE w:val="0"/>
        <w:autoSpaceDN w:val="0"/>
        <w:adjustRightInd w:val="0"/>
        <w:spacing w:line="276" w:lineRule="auto"/>
        <w:rPr>
          <w:rFonts w:ascii="Times New Roman" w:hAnsi="Times New Roman"/>
          <w:b/>
        </w:rPr>
      </w:pPr>
      <w:r>
        <w:rPr>
          <w:rFonts w:ascii="Times New Roman" w:hAnsi="Times New Roman"/>
          <w:b/>
        </w:rPr>
        <w:t>Okoliš</w:t>
      </w:r>
      <w:r w:rsidR="00096B44" w:rsidRPr="00096B44">
        <w:rPr>
          <w:rFonts w:ascii="Times New Roman" w:hAnsi="Times New Roman"/>
          <w:b/>
        </w:rPr>
        <w:t xml:space="preserve"> i zdravlje </w:t>
      </w:r>
    </w:p>
    <w:p w:rsidR="00096B44" w:rsidRPr="00096B44" w:rsidRDefault="00096B44" w:rsidP="00096B44">
      <w:pPr>
        <w:autoSpaceDE w:val="0"/>
        <w:autoSpaceDN w:val="0"/>
        <w:adjustRightInd w:val="0"/>
        <w:spacing w:line="276" w:lineRule="auto"/>
        <w:rPr>
          <w:rFonts w:ascii="Times New Roman" w:hAnsi="Times New Roman"/>
        </w:rPr>
      </w:pPr>
    </w:p>
    <w:p w:rsidR="00096B44" w:rsidRPr="00096B44" w:rsidRDefault="00096B44" w:rsidP="00096B44">
      <w:pPr>
        <w:spacing w:line="276" w:lineRule="auto"/>
        <w:rPr>
          <w:rFonts w:ascii="Times New Roman" w:hAnsi="Times New Roman"/>
          <w:noProof/>
          <w:lang w:val="hr-HR" w:eastAsia="de-DE"/>
        </w:rPr>
      </w:pPr>
    </w:p>
    <w:p w:rsidR="00096B44" w:rsidRPr="00096B44" w:rsidRDefault="00392609" w:rsidP="00096B44">
      <w:pPr>
        <w:numPr>
          <w:ilvl w:val="0"/>
          <w:numId w:val="21"/>
        </w:numPr>
        <w:contextualSpacing/>
        <w:rPr>
          <w:rFonts w:ascii="Times New Roman" w:hAnsi="Times New Roman"/>
        </w:rPr>
      </w:pPr>
      <w:r>
        <w:rPr>
          <w:rFonts w:ascii="Times New Roman" w:hAnsi="Times New Roman"/>
        </w:rPr>
        <w:t>Onečišćena</w:t>
      </w:r>
      <w:r w:rsidR="00096B44" w:rsidRPr="00096B44">
        <w:rPr>
          <w:rFonts w:ascii="Times New Roman" w:hAnsi="Times New Roman"/>
          <w:lang w:val="bs-Latn-BA"/>
        </w:rPr>
        <w:t xml:space="preserve"> </w:t>
      </w:r>
      <w:r w:rsidR="00096B44" w:rsidRPr="00096B44">
        <w:rPr>
          <w:rFonts w:ascii="Times New Roman" w:hAnsi="Times New Roman"/>
        </w:rPr>
        <w:t>voda</w:t>
      </w:r>
      <w:r w:rsidR="00096B44" w:rsidRPr="00096B44">
        <w:rPr>
          <w:rFonts w:ascii="Times New Roman" w:hAnsi="Times New Roman"/>
          <w:lang w:val="bs-Latn-BA"/>
        </w:rPr>
        <w:t xml:space="preserve">, </w:t>
      </w:r>
      <w:r w:rsidR="00096B44" w:rsidRPr="00096B44">
        <w:rPr>
          <w:rFonts w:ascii="Times New Roman" w:hAnsi="Times New Roman"/>
        </w:rPr>
        <w:t>hrana</w:t>
      </w:r>
      <w:r w:rsidR="00096B44" w:rsidRPr="00096B44">
        <w:rPr>
          <w:rFonts w:ascii="Times New Roman" w:hAnsi="Times New Roman"/>
          <w:lang w:val="bs-Latn-BA"/>
        </w:rPr>
        <w:t xml:space="preserve">, </w:t>
      </w:r>
      <w:r w:rsidR="00096B44" w:rsidRPr="00096B44">
        <w:rPr>
          <w:rFonts w:ascii="Times New Roman" w:hAnsi="Times New Roman"/>
        </w:rPr>
        <w:t>zrak</w:t>
      </w:r>
      <w:r w:rsidR="00096B44" w:rsidRPr="00096B44">
        <w:rPr>
          <w:rFonts w:ascii="Times New Roman" w:hAnsi="Times New Roman"/>
          <w:lang w:val="bs-Latn-BA"/>
        </w:rPr>
        <w:t xml:space="preserve"> </w:t>
      </w:r>
      <w:r w:rsidR="00096B44" w:rsidRPr="00096B44">
        <w:rPr>
          <w:rFonts w:ascii="Times New Roman" w:hAnsi="Times New Roman"/>
        </w:rPr>
        <w:t>i</w:t>
      </w:r>
      <w:r w:rsidR="00096B44" w:rsidRPr="00096B44">
        <w:rPr>
          <w:rFonts w:ascii="Times New Roman" w:hAnsi="Times New Roman"/>
          <w:lang w:val="bs-Latn-BA"/>
        </w:rPr>
        <w:t xml:space="preserve"> </w:t>
      </w:r>
      <w:r w:rsidR="00096B44" w:rsidRPr="00096B44">
        <w:rPr>
          <w:rFonts w:ascii="Times New Roman" w:hAnsi="Times New Roman"/>
        </w:rPr>
        <w:t>otpadne</w:t>
      </w:r>
      <w:r w:rsidR="00096B44" w:rsidRPr="00096B44">
        <w:rPr>
          <w:rFonts w:ascii="Times New Roman" w:hAnsi="Times New Roman"/>
          <w:lang w:val="bs-Latn-BA"/>
        </w:rPr>
        <w:t xml:space="preserve"> </w:t>
      </w:r>
      <w:r w:rsidR="00096B44" w:rsidRPr="00096B44">
        <w:rPr>
          <w:rFonts w:ascii="Times New Roman" w:hAnsi="Times New Roman"/>
        </w:rPr>
        <w:t>materije</w:t>
      </w:r>
      <w:r w:rsidR="00096B44" w:rsidRPr="00096B44">
        <w:rPr>
          <w:rFonts w:ascii="Times New Roman" w:hAnsi="Times New Roman"/>
          <w:lang w:val="bs-Latn-BA"/>
        </w:rPr>
        <w:t xml:space="preserve"> </w:t>
      </w:r>
      <w:r w:rsidR="00096B44" w:rsidRPr="00096B44">
        <w:rPr>
          <w:rFonts w:ascii="Times New Roman" w:hAnsi="Times New Roman"/>
        </w:rPr>
        <w:t>spadaju</w:t>
      </w:r>
      <w:r w:rsidR="00096B44" w:rsidRPr="00096B44">
        <w:rPr>
          <w:rFonts w:ascii="Times New Roman" w:hAnsi="Times New Roman"/>
          <w:lang w:val="bs-Latn-BA"/>
        </w:rPr>
        <w:t xml:space="preserve"> </w:t>
      </w:r>
      <w:r w:rsidR="00096B44" w:rsidRPr="00096B44">
        <w:rPr>
          <w:rFonts w:ascii="Times New Roman" w:hAnsi="Times New Roman"/>
        </w:rPr>
        <w:t>u</w:t>
      </w:r>
      <w:r w:rsidR="00096B44" w:rsidRPr="00096B44">
        <w:rPr>
          <w:rFonts w:ascii="Times New Roman" w:hAnsi="Times New Roman"/>
          <w:lang w:val="bs-Latn-BA"/>
        </w:rPr>
        <w:t xml:space="preserve"> </w:t>
      </w:r>
      <w:r w:rsidR="00096B44" w:rsidRPr="00096B44">
        <w:rPr>
          <w:rFonts w:ascii="Times New Roman" w:hAnsi="Times New Roman"/>
        </w:rPr>
        <w:t>vode</w:t>
      </w:r>
      <w:r w:rsidR="00096B44" w:rsidRPr="00096B44">
        <w:rPr>
          <w:rFonts w:ascii="Times New Roman" w:hAnsi="Times New Roman"/>
          <w:lang w:val="bs-Latn-BA"/>
        </w:rPr>
        <w:t>ć</w:t>
      </w:r>
      <w:r w:rsidR="00096B44" w:rsidRPr="00096B44">
        <w:rPr>
          <w:rFonts w:ascii="Times New Roman" w:hAnsi="Times New Roman"/>
        </w:rPr>
        <w:t xml:space="preserve">e ekokoške </w:t>
      </w:r>
      <w:r w:rsidR="00D21A46">
        <w:rPr>
          <w:rFonts w:ascii="Times New Roman" w:hAnsi="Times New Roman"/>
        </w:rPr>
        <w:t>faktor</w:t>
      </w:r>
      <w:r>
        <w:rPr>
          <w:rFonts w:ascii="Times New Roman" w:hAnsi="Times New Roman"/>
        </w:rPr>
        <w:t>e</w:t>
      </w:r>
      <w:r w:rsidR="00096B44" w:rsidRPr="00096B44">
        <w:rPr>
          <w:rFonts w:ascii="Times New Roman" w:hAnsi="Times New Roman"/>
        </w:rPr>
        <w:t xml:space="preserve"> koji zahtjevaju </w:t>
      </w:r>
      <w:r>
        <w:rPr>
          <w:rFonts w:ascii="Times New Roman" w:hAnsi="Times New Roman"/>
        </w:rPr>
        <w:t>učinkovitiji</w:t>
      </w:r>
      <w:r w:rsidR="00096B44" w:rsidRPr="00096B44">
        <w:rPr>
          <w:rFonts w:ascii="Times New Roman" w:hAnsi="Times New Roman"/>
          <w:lang w:val="bs-Latn-BA"/>
        </w:rPr>
        <w:t xml:space="preserve"> </w:t>
      </w:r>
      <w:r w:rsidR="00096B44" w:rsidRPr="00096B44">
        <w:rPr>
          <w:rFonts w:ascii="Times New Roman" w:hAnsi="Times New Roman"/>
        </w:rPr>
        <w:t>javnozdravstveni nadzor</w:t>
      </w:r>
      <w:r w:rsidR="00096B44" w:rsidRPr="00096B44">
        <w:rPr>
          <w:rFonts w:ascii="Times New Roman" w:hAnsi="Times New Roman"/>
          <w:lang w:val="bs-Latn-BA"/>
        </w:rPr>
        <w:t xml:space="preserve">. </w:t>
      </w:r>
    </w:p>
    <w:p w:rsidR="00096B44" w:rsidRPr="00096B44" w:rsidRDefault="00096B44" w:rsidP="00096B44">
      <w:pPr>
        <w:rPr>
          <w:rFonts w:ascii="Times New Roman" w:hAnsi="Times New Roman"/>
          <w:lang w:val="bs-Latn-BA"/>
        </w:rPr>
      </w:pPr>
    </w:p>
    <w:p w:rsidR="00096B44" w:rsidRPr="00096B44" w:rsidRDefault="00096B44" w:rsidP="00096B44">
      <w:pPr>
        <w:numPr>
          <w:ilvl w:val="0"/>
          <w:numId w:val="21"/>
        </w:numPr>
        <w:contextualSpacing/>
        <w:rPr>
          <w:rFonts w:ascii="Times New Roman" w:hAnsi="Times New Roman"/>
          <w:iCs/>
        </w:rPr>
      </w:pPr>
      <w:r w:rsidRPr="00096B44">
        <w:rPr>
          <w:rFonts w:ascii="Times New Roman" w:hAnsi="Times New Roman"/>
          <w:iCs/>
        </w:rPr>
        <w:t xml:space="preserve">Mjerenja </w:t>
      </w:r>
      <w:r w:rsidR="00392609">
        <w:rPr>
          <w:rFonts w:ascii="Times New Roman" w:hAnsi="Times New Roman"/>
          <w:iCs/>
        </w:rPr>
        <w:t>onečišćenja zraka</w:t>
      </w:r>
      <w:r w:rsidRPr="00096B44">
        <w:rPr>
          <w:rFonts w:ascii="Times New Roman" w:hAnsi="Times New Roman"/>
          <w:iCs/>
        </w:rPr>
        <w:t xml:space="preserve"> </w:t>
      </w:r>
      <w:r w:rsidR="00F0369C">
        <w:rPr>
          <w:rFonts w:ascii="Times New Roman" w:hAnsi="Times New Roman"/>
          <w:iCs/>
        </w:rPr>
        <w:t>tokom</w:t>
      </w:r>
      <w:r w:rsidRPr="00096B44">
        <w:rPr>
          <w:rFonts w:ascii="Times New Roman" w:hAnsi="Times New Roman"/>
          <w:iCs/>
        </w:rPr>
        <w:t xml:space="preserve"> 2015. godine su pokazal</w:t>
      </w:r>
      <w:r w:rsidR="00392609">
        <w:rPr>
          <w:rFonts w:ascii="Times New Roman" w:hAnsi="Times New Roman"/>
          <w:iCs/>
        </w:rPr>
        <w:t>a</w:t>
      </w:r>
      <w:r w:rsidRPr="00096B44">
        <w:rPr>
          <w:rFonts w:ascii="Times New Roman" w:hAnsi="Times New Roman"/>
          <w:iCs/>
        </w:rPr>
        <w:t xml:space="preserve"> najveće </w:t>
      </w:r>
      <w:r w:rsidR="00392609">
        <w:rPr>
          <w:rFonts w:ascii="Times New Roman" w:hAnsi="Times New Roman"/>
          <w:iCs/>
        </w:rPr>
        <w:t>onečišćenje</w:t>
      </w:r>
      <w:r w:rsidRPr="00096B44">
        <w:rPr>
          <w:rFonts w:ascii="Times New Roman" w:hAnsi="Times New Roman"/>
          <w:iCs/>
        </w:rPr>
        <w:t xml:space="preserve"> </w:t>
      </w:r>
      <w:r w:rsidR="00F0369C">
        <w:rPr>
          <w:rFonts w:ascii="Times New Roman" w:hAnsi="Times New Roman"/>
          <w:iCs/>
        </w:rPr>
        <w:t>tokom</w:t>
      </w:r>
      <w:r w:rsidRPr="00096B44">
        <w:rPr>
          <w:rFonts w:ascii="Times New Roman" w:hAnsi="Times New Roman"/>
          <w:iCs/>
        </w:rPr>
        <w:t xml:space="preserve"> </w:t>
      </w:r>
      <w:r w:rsidR="00392609">
        <w:rPr>
          <w:rFonts w:ascii="Times New Roman" w:hAnsi="Times New Roman"/>
          <w:iCs/>
        </w:rPr>
        <w:t>studenog</w:t>
      </w:r>
      <w:r w:rsidRPr="00096B44">
        <w:rPr>
          <w:rFonts w:ascii="Times New Roman" w:hAnsi="Times New Roman"/>
          <w:iCs/>
        </w:rPr>
        <w:t xml:space="preserve"> i </w:t>
      </w:r>
      <w:r w:rsidR="00392609">
        <w:rPr>
          <w:rFonts w:ascii="Times New Roman" w:hAnsi="Times New Roman"/>
          <w:iCs/>
        </w:rPr>
        <w:t>prosinca</w:t>
      </w:r>
      <w:r w:rsidRPr="00096B44">
        <w:rPr>
          <w:rFonts w:ascii="Times New Roman" w:hAnsi="Times New Roman"/>
          <w:iCs/>
        </w:rPr>
        <w:t xml:space="preserve"> </w:t>
      </w:r>
      <w:r w:rsidR="00A80006">
        <w:rPr>
          <w:rFonts w:ascii="Times New Roman" w:hAnsi="Times New Roman"/>
          <w:iCs/>
        </w:rPr>
        <w:t>registrovano</w:t>
      </w:r>
      <w:r w:rsidRPr="00096B44">
        <w:rPr>
          <w:rFonts w:ascii="Times New Roman" w:hAnsi="Times New Roman"/>
          <w:iCs/>
        </w:rPr>
        <w:t xml:space="preserve"> u Sarajevu, Zenici i Tuzli. </w:t>
      </w:r>
      <w:r w:rsidRPr="00096B44">
        <w:rPr>
          <w:rFonts w:ascii="Times New Roman" w:hAnsi="Times New Roman"/>
        </w:rPr>
        <w:t>Ne postoji monitoring kvaliteta zraka unut</w:t>
      </w:r>
      <w:r w:rsidR="00392609">
        <w:rPr>
          <w:rFonts w:ascii="Times New Roman" w:hAnsi="Times New Roman"/>
        </w:rPr>
        <w:t>a</w:t>
      </w:r>
      <w:r w:rsidRPr="00096B44">
        <w:rPr>
          <w:rFonts w:ascii="Times New Roman" w:hAnsi="Times New Roman"/>
        </w:rPr>
        <w:t xml:space="preserve">rnjeg prostora. </w:t>
      </w:r>
    </w:p>
    <w:p w:rsidR="00096B44" w:rsidRPr="00096B44" w:rsidRDefault="00096B44" w:rsidP="00096B44">
      <w:pPr>
        <w:rPr>
          <w:rFonts w:ascii="Times New Roman" w:hAnsi="Times New Roman"/>
        </w:rPr>
      </w:pPr>
    </w:p>
    <w:p w:rsidR="00096B44" w:rsidRPr="00096B44" w:rsidRDefault="00096B44" w:rsidP="00096B44">
      <w:pPr>
        <w:numPr>
          <w:ilvl w:val="0"/>
          <w:numId w:val="21"/>
        </w:numPr>
        <w:contextualSpacing/>
        <w:rPr>
          <w:rFonts w:ascii="Times New Roman" w:hAnsi="Times New Roman"/>
        </w:rPr>
      </w:pPr>
      <w:r w:rsidRPr="00096B44">
        <w:rPr>
          <w:rFonts w:ascii="Times New Roman" w:hAnsi="Times New Roman"/>
        </w:rPr>
        <w:t xml:space="preserve">Nepropisno uklanjanje opasnih otpadnih materija, naročito industrijskog i medicinskog otpada, još uvijek predstavlja jednu od najozbiljnijih prijetnji zdravlju stanovništva, pri čemu se na  komunalnim </w:t>
      </w:r>
      <w:r w:rsidR="00392609">
        <w:rPr>
          <w:rFonts w:ascii="Times New Roman" w:hAnsi="Times New Roman"/>
        </w:rPr>
        <w:t>odlagalištima otpada</w:t>
      </w:r>
      <w:r w:rsidRPr="00096B44">
        <w:rPr>
          <w:rFonts w:ascii="Times New Roman" w:hAnsi="Times New Roman"/>
        </w:rPr>
        <w:t xml:space="preserve"> još uvijek odlaže značajan udio potencijalno infektivnog, </w:t>
      </w:r>
      <w:r w:rsidR="00950A64">
        <w:rPr>
          <w:rFonts w:ascii="Times New Roman" w:hAnsi="Times New Roman"/>
        </w:rPr>
        <w:t>hemijskog</w:t>
      </w:r>
      <w:r w:rsidRPr="00096B44">
        <w:rPr>
          <w:rFonts w:ascii="Times New Roman" w:hAnsi="Times New Roman"/>
        </w:rPr>
        <w:t xml:space="preserve"> i farmaceutskog otpada iz zdravstvenih ustanova. Također, još uvijek se bilježi problem uljevanja tečnih otpadnih </w:t>
      </w:r>
      <w:r w:rsidR="00D21A46">
        <w:rPr>
          <w:rFonts w:ascii="Times New Roman" w:hAnsi="Times New Roman"/>
        </w:rPr>
        <w:t>materija</w:t>
      </w:r>
      <w:r w:rsidR="00392609">
        <w:rPr>
          <w:rFonts w:ascii="Times New Roman" w:hAnsi="Times New Roman"/>
        </w:rPr>
        <w:t>i</w:t>
      </w:r>
      <w:r w:rsidRPr="00096B44">
        <w:rPr>
          <w:rFonts w:ascii="Times New Roman" w:hAnsi="Times New Roman"/>
        </w:rPr>
        <w:t xml:space="preserve"> u vodotoke bez prethodnog prečišćavanja.</w:t>
      </w:r>
    </w:p>
    <w:p w:rsidR="00096B44" w:rsidRPr="00096B44" w:rsidRDefault="00096B44" w:rsidP="00096B44">
      <w:pPr>
        <w:ind w:left="720"/>
        <w:contextualSpacing/>
        <w:rPr>
          <w:rFonts w:ascii="Times New Roman" w:hAnsi="Times New Roman"/>
        </w:rPr>
      </w:pPr>
    </w:p>
    <w:p w:rsidR="00096B44" w:rsidRPr="00096B44" w:rsidRDefault="00096B44" w:rsidP="00096B44">
      <w:pPr>
        <w:numPr>
          <w:ilvl w:val="0"/>
          <w:numId w:val="21"/>
        </w:numPr>
        <w:tabs>
          <w:tab w:val="left" w:pos="550"/>
        </w:tabs>
        <w:spacing w:before="120" w:line="276" w:lineRule="auto"/>
        <w:rPr>
          <w:rFonts w:ascii="Times New Roman" w:hAnsi="Times New Roman"/>
          <w:i/>
          <w:noProof/>
          <w:lang w:val="hr-HR" w:eastAsia="de-DE"/>
        </w:rPr>
      </w:pPr>
      <w:r w:rsidRPr="00096B44">
        <w:rPr>
          <w:rFonts w:ascii="Times New Roman" w:hAnsi="Times New Roman"/>
          <w:noProof/>
          <w:lang w:val="hr-HR" w:eastAsia="de-DE"/>
        </w:rPr>
        <w:t xml:space="preserve">   Bilježi se trend porasta </w:t>
      </w:r>
      <w:r w:rsidR="00D21A46">
        <w:rPr>
          <w:rFonts w:ascii="Times New Roman" w:hAnsi="Times New Roman"/>
          <w:noProof/>
          <w:lang w:val="hr-HR" w:eastAsia="de-DE"/>
        </w:rPr>
        <w:t>saobraćajni</w:t>
      </w:r>
      <w:r w:rsidR="00392609">
        <w:rPr>
          <w:rFonts w:ascii="Times New Roman" w:hAnsi="Times New Roman"/>
          <w:noProof/>
          <w:lang w:val="hr-HR" w:eastAsia="de-DE"/>
        </w:rPr>
        <w:t>h</w:t>
      </w:r>
      <w:r w:rsidRPr="00096B44">
        <w:rPr>
          <w:rFonts w:ascii="Times New Roman" w:hAnsi="Times New Roman"/>
          <w:noProof/>
          <w:lang w:val="hr-HR" w:eastAsia="de-DE"/>
        </w:rPr>
        <w:t xml:space="preserve"> nezgoda u Federaciji BiH u odnosu na prethodne godine, s trendom smanjenja broja poginulih osoba a porast broja ozlijeđenih osoba u </w:t>
      </w:r>
      <w:r w:rsidR="00D21A46">
        <w:rPr>
          <w:rFonts w:ascii="Times New Roman" w:hAnsi="Times New Roman"/>
          <w:noProof/>
          <w:lang w:val="hr-HR" w:eastAsia="de-DE"/>
        </w:rPr>
        <w:t>saobraćajni</w:t>
      </w:r>
      <w:r w:rsidR="00392609">
        <w:rPr>
          <w:rFonts w:ascii="Times New Roman" w:hAnsi="Times New Roman"/>
          <w:noProof/>
          <w:lang w:val="hr-HR" w:eastAsia="de-DE"/>
        </w:rPr>
        <w:t xml:space="preserve">m </w:t>
      </w:r>
      <w:r w:rsidRPr="00096B44">
        <w:rPr>
          <w:rFonts w:ascii="Times New Roman" w:hAnsi="Times New Roman"/>
          <w:noProof/>
          <w:lang w:val="hr-HR" w:eastAsia="de-DE"/>
        </w:rPr>
        <w:t xml:space="preserve">nezgodama. </w:t>
      </w:r>
    </w:p>
    <w:p w:rsidR="00096B44" w:rsidRPr="00096B44" w:rsidRDefault="00096B44" w:rsidP="00096B44">
      <w:pPr>
        <w:ind w:left="360"/>
        <w:rPr>
          <w:rFonts w:ascii="Times New Roman" w:hAnsi="Times New Roman"/>
        </w:rPr>
      </w:pPr>
    </w:p>
    <w:p w:rsidR="00096B44" w:rsidRPr="00096B44" w:rsidRDefault="00096B44" w:rsidP="00096B44">
      <w:pPr>
        <w:autoSpaceDE w:val="0"/>
        <w:autoSpaceDN w:val="0"/>
        <w:adjustRightInd w:val="0"/>
        <w:spacing w:line="276" w:lineRule="auto"/>
        <w:rPr>
          <w:rFonts w:ascii="Times New Roman" w:eastAsia="Calibri" w:hAnsi="Times New Roman"/>
          <w:b/>
          <w:lang w:val="bs-Latn-BA"/>
        </w:rPr>
      </w:pPr>
    </w:p>
    <w:p w:rsidR="00096B44" w:rsidRPr="00096B44" w:rsidRDefault="00096B44" w:rsidP="00096B44">
      <w:pPr>
        <w:autoSpaceDE w:val="0"/>
        <w:autoSpaceDN w:val="0"/>
        <w:adjustRightInd w:val="0"/>
        <w:spacing w:line="276" w:lineRule="auto"/>
        <w:rPr>
          <w:rFonts w:ascii="Times New Roman" w:eastAsia="Calibri" w:hAnsi="Times New Roman"/>
          <w:b/>
          <w:lang w:val="bs-Latn-BA"/>
        </w:rPr>
      </w:pPr>
      <w:r w:rsidRPr="00096B44">
        <w:rPr>
          <w:rFonts w:ascii="Times New Roman" w:eastAsia="Calibri" w:hAnsi="Times New Roman"/>
          <w:b/>
          <w:lang w:val="bs-Latn-BA"/>
        </w:rPr>
        <w:t xml:space="preserve">Organizacija zdravstvene zaštite </w:t>
      </w:r>
    </w:p>
    <w:p w:rsidR="00096B44" w:rsidRPr="00096B44" w:rsidRDefault="00096B44" w:rsidP="00096B44">
      <w:pPr>
        <w:autoSpaceDE w:val="0"/>
        <w:autoSpaceDN w:val="0"/>
        <w:adjustRightInd w:val="0"/>
        <w:spacing w:line="276" w:lineRule="auto"/>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Bilježi</w:t>
      </w:r>
      <w:r w:rsidR="000F37BF">
        <w:rPr>
          <w:rFonts w:ascii="Times New Roman" w:eastAsia="Calibri" w:hAnsi="Times New Roman"/>
          <w:lang w:val="bs-Latn-BA"/>
        </w:rPr>
        <w:t xml:space="preserve"> se povećanje broja ukupno </w:t>
      </w:r>
      <w:r w:rsidR="00950A64">
        <w:rPr>
          <w:rFonts w:ascii="Times New Roman" w:eastAsia="Calibri" w:hAnsi="Times New Roman"/>
          <w:lang w:val="bs-Latn-BA"/>
        </w:rPr>
        <w:t>zaposlen</w:t>
      </w:r>
      <w:r w:rsidR="000F37BF">
        <w:rPr>
          <w:rFonts w:ascii="Times New Roman" w:eastAsia="Calibri" w:hAnsi="Times New Roman"/>
          <w:lang w:val="bs-Latn-BA"/>
        </w:rPr>
        <w:t>ih</w:t>
      </w:r>
      <w:r w:rsidRPr="00096B44">
        <w:rPr>
          <w:rFonts w:ascii="Times New Roman" w:eastAsia="Calibri" w:hAnsi="Times New Roman"/>
          <w:lang w:val="bs-Latn-BA"/>
        </w:rPr>
        <w:t xml:space="preserve"> u zdravstvenim ustanovama u javnom sektoru u Federaciji BiH u odnosu na prethodne godine. Skoro tri četvrtine </w:t>
      </w:r>
      <w:r w:rsidR="00950A64">
        <w:rPr>
          <w:rFonts w:ascii="Times New Roman" w:eastAsia="Calibri" w:hAnsi="Times New Roman"/>
          <w:lang w:val="bs-Latn-BA"/>
        </w:rPr>
        <w:t>zaposlen</w:t>
      </w:r>
      <w:r w:rsidRPr="00096B44">
        <w:rPr>
          <w:rFonts w:ascii="Times New Roman" w:eastAsia="Calibri" w:hAnsi="Times New Roman"/>
          <w:lang w:val="bs-Latn-BA"/>
        </w:rPr>
        <w:t>ih pr</w:t>
      </w:r>
      <w:r w:rsidR="000F37BF">
        <w:rPr>
          <w:rFonts w:ascii="Times New Roman" w:eastAsia="Calibri" w:hAnsi="Times New Roman"/>
          <w:lang w:val="bs-Latn-BA"/>
        </w:rPr>
        <w:t xml:space="preserve">edstavljaju zdravstveni </w:t>
      </w:r>
      <w:r w:rsidR="00950A64">
        <w:rPr>
          <w:rFonts w:ascii="Times New Roman" w:eastAsia="Calibri" w:hAnsi="Times New Roman"/>
          <w:lang w:val="bs-Latn-BA"/>
        </w:rPr>
        <w:t>radnici</w:t>
      </w:r>
      <w:r w:rsidRPr="00096B44">
        <w:rPr>
          <w:rFonts w:ascii="Times New Roman" w:eastAsia="Calibri" w:hAnsi="Times New Roman"/>
          <w:lang w:val="bs-Latn-BA"/>
        </w:rPr>
        <w:t>, 1,5% čine zdravstveni s</w:t>
      </w:r>
      <w:r w:rsidR="00392609">
        <w:rPr>
          <w:rFonts w:ascii="Times New Roman" w:eastAsia="Calibri" w:hAnsi="Times New Roman"/>
          <w:lang w:val="bs-Latn-BA"/>
        </w:rPr>
        <w:t>u</w:t>
      </w:r>
      <w:r w:rsidRPr="00096B44">
        <w:rPr>
          <w:rFonts w:ascii="Times New Roman" w:eastAsia="Calibri" w:hAnsi="Times New Roman"/>
          <w:lang w:val="bs-Latn-BA"/>
        </w:rPr>
        <w:t>radnici</w:t>
      </w:r>
      <w:r w:rsidR="000F37BF">
        <w:rPr>
          <w:rFonts w:ascii="Times New Roman" w:eastAsia="Calibri" w:hAnsi="Times New Roman"/>
          <w:lang w:val="bs-Latn-BA"/>
        </w:rPr>
        <w:t>,</w:t>
      </w:r>
      <w:r w:rsidRPr="00096B44">
        <w:rPr>
          <w:rFonts w:ascii="Times New Roman" w:eastAsia="Calibri" w:hAnsi="Times New Roman"/>
          <w:lang w:val="bs-Latn-BA"/>
        </w:rPr>
        <w:t xml:space="preserve"> a preko</w:t>
      </w:r>
      <w:r w:rsidR="000F37BF">
        <w:rPr>
          <w:rFonts w:ascii="Times New Roman" w:eastAsia="Calibri" w:hAnsi="Times New Roman"/>
          <w:lang w:val="bs-Latn-BA"/>
        </w:rPr>
        <w:t xml:space="preserve"> četvrtine</w:t>
      </w:r>
      <w:r w:rsidRPr="00096B44">
        <w:rPr>
          <w:rFonts w:ascii="Times New Roman" w:eastAsia="Calibri" w:hAnsi="Times New Roman"/>
          <w:lang w:val="bs-Latn-BA"/>
        </w:rPr>
        <w:t xml:space="preserve"> admninistrativno-tehničko osoblje. </w:t>
      </w:r>
    </w:p>
    <w:p w:rsidR="00096B44" w:rsidRPr="00096B44" w:rsidRDefault="00096B44" w:rsidP="00096B44">
      <w:pPr>
        <w:rPr>
          <w:rFonts w:ascii="Times New Roman" w:hAnsi="Times New Roman"/>
        </w:rPr>
      </w:pPr>
    </w:p>
    <w:p w:rsidR="00096B44" w:rsidRPr="00096B44" w:rsidRDefault="00096B44" w:rsidP="00096B44">
      <w:pPr>
        <w:numPr>
          <w:ilvl w:val="0"/>
          <w:numId w:val="22"/>
        </w:numPr>
        <w:contextualSpacing/>
        <w:rPr>
          <w:rFonts w:ascii="Times New Roman" w:hAnsi="Times New Roman"/>
        </w:rPr>
      </w:pPr>
      <w:r w:rsidRPr="00096B44">
        <w:rPr>
          <w:rFonts w:ascii="Times New Roman" w:hAnsi="Times New Roman"/>
        </w:rPr>
        <w:t>Starosna struktura doktora medicine u FBiH je nepovoljna,</w:t>
      </w:r>
      <w:r w:rsidR="000F37BF">
        <w:rPr>
          <w:rFonts w:ascii="Times New Roman" w:hAnsi="Times New Roman"/>
        </w:rPr>
        <w:t xml:space="preserve"> pri čemu je preko polovine </w:t>
      </w:r>
      <w:r w:rsidRPr="00096B44">
        <w:rPr>
          <w:rFonts w:ascii="Times New Roman" w:hAnsi="Times New Roman"/>
        </w:rPr>
        <w:t xml:space="preserve"> ukupnih  doktora medicine starosti 45-54 i 55 i više godina. Povećani udio doktora</w:t>
      </w:r>
      <w:r w:rsidR="000F37BF">
        <w:rPr>
          <w:rFonts w:ascii="Times New Roman" w:hAnsi="Times New Roman"/>
        </w:rPr>
        <w:t xml:space="preserve"> medicine starosti preko 55 godina</w:t>
      </w:r>
      <w:r w:rsidRPr="00096B44">
        <w:rPr>
          <w:rFonts w:ascii="Times New Roman" w:hAnsi="Times New Roman"/>
        </w:rPr>
        <w:t xml:space="preserve"> posebno se bilježi među specijalistima medicine rada, r</w:t>
      </w:r>
      <w:r w:rsidR="000F37BF">
        <w:rPr>
          <w:rFonts w:ascii="Times New Roman" w:hAnsi="Times New Roman"/>
        </w:rPr>
        <w:t>adiologije,  pneumoftiziologije</w:t>
      </w:r>
      <w:r w:rsidRPr="00096B44">
        <w:rPr>
          <w:rFonts w:ascii="Times New Roman" w:hAnsi="Times New Roman"/>
        </w:rPr>
        <w:t xml:space="preserve">, pedijatrije i </w:t>
      </w:r>
      <w:r w:rsidR="00950A64">
        <w:rPr>
          <w:rFonts w:ascii="Times New Roman" w:hAnsi="Times New Roman"/>
        </w:rPr>
        <w:t>porodične</w:t>
      </w:r>
      <w:r w:rsidRPr="00096B44">
        <w:rPr>
          <w:rFonts w:ascii="Times New Roman" w:hAnsi="Times New Roman"/>
        </w:rPr>
        <w:t xml:space="preserve"> medicine.</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 xml:space="preserve">Iako je reforma </w:t>
      </w:r>
      <w:r w:rsidR="00512E30">
        <w:rPr>
          <w:rFonts w:ascii="Times New Roman" w:eastAsia="Calibri" w:hAnsi="Times New Roman"/>
          <w:lang w:val="bs-Latn-BA"/>
        </w:rPr>
        <w:t>sistem</w:t>
      </w:r>
      <w:r w:rsidR="00392609">
        <w:rPr>
          <w:rFonts w:ascii="Times New Roman" w:eastAsia="Calibri" w:hAnsi="Times New Roman"/>
          <w:lang w:val="bs-Latn-BA"/>
        </w:rPr>
        <w:t>a</w:t>
      </w:r>
      <w:r w:rsidRPr="00096B44">
        <w:rPr>
          <w:rFonts w:ascii="Times New Roman" w:eastAsia="Calibri" w:hAnsi="Times New Roman"/>
          <w:lang w:val="bs-Latn-BA"/>
        </w:rPr>
        <w:t xml:space="preserve"> zdravstva u Federaciji BiH bazirana na jačanju primarne zdravstvene zaštite </w:t>
      </w:r>
      <w:r w:rsidR="002B489B">
        <w:rPr>
          <w:rFonts w:ascii="Times New Roman" w:eastAsia="Calibri" w:hAnsi="Times New Roman"/>
          <w:lang w:val="bs-Latn-BA"/>
        </w:rPr>
        <w:t>podaci</w:t>
      </w:r>
      <w:r w:rsidRPr="00096B44">
        <w:rPr>
          <w:rFonts w:ascii="Times New Roman" w:eastAsia="Calibri" w:hAnsi="Times New Roman"/>
          <w:lang w:val="bs-Latn-BA"/>
        </w:rPr>
        <w:t xml:space="preserve"> ukazuju na još uvijek prisutne razlike u dostupnosti stanovništvu po kantonima Federacije BiH, što se odnosi i na stomatološku zaštitu. </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 xml:space="preserve">Suprotno strateškim opredjeljenjima, prema kojima se oko 80% svih zahtjeva za zdravstvenom zaštitom treba zadovoljiti na </w:t>
      </w:r>
      <w:r w:rsidR="002B489B">
        <w:rPr>
          <w:rFonts w:ascii="Times New Roman" w:eastAsia="Calibri" w:hAnsi="Times New Roman"/>
          <w:lang w:val="bs-Latn-BA"/>
        </w:rPr>
        <w:t>nivou</w:t>
      </w:r>
      <w:r w:rsidRPr="00096B44">
        <w:rPr>
          <w:rFonts w:ascii="Times New Roman" w:eastAsia="Calibri" w:hAnsi="Times New Roman"/>
          <w:lang w:val="bs-Latn-BA"/>
        </w:rPr>
        <w:t xml:space="preserve"> PZZ, u </w:t>
      </w:r>
      <w:r w:rsidR="00F70FD4">
        <w:rPr>
          <w:rFonts w:ascii="Times New Roman" w:eastAsia="Calibri" w:hAnsi="Times New Roman"/>
          <w:lang w:val="bs-Latn-BA"/>
        </w:rPr>
        <w:t>periodu</w:t>
      </w:r>
      <w:r w:rsidRPr="00096B44">
        <w:rPr>
          <w:rFonts w:ascii="Times New Roman" w:eastAsia="Calibri" w:hAnsi="Times New Roman"/>
          <w:lang w:val="bs-Latn-BA"/>
        </w:rPr>
        <w:t xml:space="preserve"> 2010.-2015. godine zabilježeno je povećano upućivanje specijalistima. </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Evidentna je nedovoljna iskorištenost bolničkih kapaciteta, što ukazuje na potrebu njihove racionalizacije. Prosječna zauzetost postelja i dužina ležanja u bolnici u Federaciji BiH je u 2015. godini smanjena u odnosu na pre</w:t>
      </w:r>
      <w:r w:rsidR="00392609">
        <w:rPr>
          <w:rFonts w:ascii="Times New Roman" w:eastAsia="Calibri" w:hAnsi="Times New Roman"/>
          <w:lang w:val="bs-Latn-BA"/>
        </w:rPr>
        <w:t>t</w:t>
      </w:r>
      <w:r w:rsidRPr="00096B44">
        <w:rPr>
          <w:rFonts w:ascii="Times New Roman" w:eastAsia="Calibri" w:hAnsi="Times New Roman"/>
          <w:lang w:val="bs-Latn-BA"/>
        </w:rPr>
        <w:t>hodne godine.</w:t>
      </w:r>
    </w:p>
    <w:p w:rsidR="00096B44" w:rsidRPr="00096B44" w:rsidRDefault="00096B44" w:rsidP="00096B44">
      <w:pPr>
        <w:autoSpaceDE w:val="0"/>
        <w:autoSpaceDN w:val="0"/>
        <w:adjustRightInd w:val="0"/>
        <w:rPr>
          <w:rFonts w:ascii="Times New Roman" w:eastAsia="Calibri" w:hAnsi="Times New Roman"/>
          <w:lang w:val="bs-Latn-BA"/>
        </w:rPr>
      </w:pPr>
    </w:p>
    <w:p w:rsid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 xml:space="preserve">Nepostojanje sveobuhvatnih podataka iz privatnog sektora onemogućava potpuni uvid u zdravstveno stanje stanovništva i organizaciju zdravstvene zaštite u Federaciji BiH. </w:t>
      </w:r>
    </w:p>
    <w:p w:rsidR="008D72AE" w:rsidRDefault="008D72AE" w:rsidP="008D72AE">
      <w:pPr>
        <w:pStyle w:val="ListParagraph"/>
        <w:rPr>
          <w:rFonts w:ascii="Times New Roman" w:eastAsia="Calibri" w:hAnsi="Times New Roman"/>
          <w:lang w:val="bs-Latn-BA"/>
        </w:rPr>
      </w:pPr>
    </w:p>
    <w:p w:rsidR="008D72AE" w:rsidRPr="00096B44" w:rsidRDefault="008D72AE" w:rsidP="008D72AE">
      <w:pPr>
        <w:autoSpaceDE w:val="0"/>
        <w:autoSpaceDN w:val="0"/>
        <w:adjustRightInd w:val="0"/>
        <w:ind w:left="720"/>
        <w:rPr>
          <w:rFonts w:ascii="Times New Roman" w:eastAsia="Calibri" w:hAnsi="Times New Roman"/>
          <w:lang w:val="bs-Latn-BA"/>
        </w:rPr>
      </w:pPr>
    </w:p>
    <w:p w:rsidR="0082015E" w:rsidRDefault="0082015E" w:rsidP="0082015E">
      <w:pPr>
        <w:pStyle w:val="Poglavlje1"/>
      </w:pPr>
      <w:bookmarkStart w:id="356" w:name="_Toc460929225"/>
      <w:r>
        <w:t>PREPORUKE</w:t>
      </w:r>
      <w:bookmarkEnd w:id="356"/>
    </w:p>
    <w:p w:rsidR="00096B44" w:rsidRPr="008D72AE" w:rsidRDefault="00392609" w:rsidP="008D72AE">
      <w:pPr>
        <w:rPr>
          <w:rFonts w:ascii="Times New Roman" w:hAnsi="Times New Roman"/>
        </w:rPr>
      </w:pPr>
      <w:bookmarkStart w:id="357" w:name="_Toc456095688"/>
      <w:bookmarkStart w:id="358" w:name="_Toc456095753"/>
      <w:r>
        <w:rPr>
          <w:rFonts w:ascii="Times New Roman" w:hAnsi="Times New Roman"/>
        </w:rPr>
        <w:t>S</w:t>
      </w:r>
      <w:r w:rsidR="00096B44" w:rsidRPr="008D72AE">
        <w:rPr>
          <w:rFonts w:ascii="Times New Roman" w:hAnsi="Times New Roman"/>
        </w:rPr>
        <w:t xml:space="preserve"> ciljem unapređenja zdravlja stanovništva </w:t>
      </w:r>
      <w:r w:rsidR="00096B44" w:rsidRPr="008D72AE">
        <w:rPr>
          <w:rFonts w:ascii="Times New Roman" w:hAnsi="Times New Roman"/>
          <w:noProof/>
          <w:lang w:val="hr-HR" w:eastAsia="de-DE"/>
        </w:rPr>
        <w:t xml:space="preserve">i organizacije zdravstvene zaštite u Federaciji BiH neophodno je u budućem </w:t>
      </w:r>
      <w:r w:rsidR="00F70FD4">
        <w:rPr>
          <w:rFonts w:ascii="Times New Roman" w:hAnsi="Times New Roman"/>
          <w:noProof/>
          <w:lang w:val="hr-HR" w:eastAsia="de-DE"/>
        </w:rPr>
        <w:t>periodu</w:t>
      </w:r>
      <w:r w:rsidR="00096B44" w:rsidRPr="008D72AE">
        <w:rPr>
          <w:rFonts w:ascii="Times New Roman" w:hAnsi="Times New Roman"/>
          <w:noProof/>
          <w:lang w:val="hr-HR" w:eastAsia="de-DE"/>
        </w:rPr>
        <w:t xml:space="preserve"> realizirati sljedeće intersektor</w:t>
      </w:r>
      <w:r>
        <w:rPr>
          <w:rFonts w:ascii="Times New Roman" w:hAnsi="Times New Roman"/>
          <w:noProof/>
          <w:lang w:val="hr-HR" w:eastAsia="de-DE"/>
        </w:rPr>
        <w:t>ske</w:t>
      </w:r>
      <w:r w:rsidR="00096B44" w:rsidRPr="008D72AE">
        <w:rPr>
          <w:rFonts w:ascii="Times New Roman" w:hAnsi="Times New Roman"/>
          <w:noProof/>
          <w:lang w:val="hr-HR" w:eastAsia="de-DE"/>
        </w:rPr>
        <w:t xml:space="preserve"> javno zdravstvene intervencije:</w:t>
      </w:r>
      <w:bookmarkEnd w:id="357"/>
      <w:bookmarkEnd w:id="358"/>
      <w:r w:rsidR="00096B44" w:rsidRPr="008D72AE">
        <w:rPr>
          <w:rFonts w:ascii="Times New Roman" w:hAnsi="Times New Roman"/>
          <w:noProof/>
          <w:lang w:val="hr-HR" w:eastAsia="de-DE"/>
        </w:rPr>
        <w:t xml:space="preserve"> </w:t>
      </w:r>
    </w:p>
    <w:p w:rsidR="00096B44" w:rsidRPr="00E44127" w:rsidRDefault="00096B44" w:rsidP="00096B44">
      <w:pPr>
        <w:pStyle w:val="TEKST"/>
        <w:rPr>
          <w:b/>
        </w:rPr>
      </w:pPr>
      <w:r w:rsidRPr="00E44127">
        <w:rPr>
          <w:b/>
        </w:rPr>
        <w:t xml:space="preserve">Demografija </w:t>
      </w:r>
    </w:p>
    <w:p w:rsidR="00096B44" w:rsidRPr="0082015E" w:rsidRDefault="00096B44" w:rsidP="00096B44">
      <w:pPr>
        <w:pStyle w:val="TEKST"/>
        <w:numPr>
          <w:ilvl w:val="0"/>
          <w:numId w:val="23"/>
        </w:numPr>
        <w:rPr>
          <w:i/>
        </w:rPr>
      </w:pPr>
      <w:r>
        <w:t xml:space="preserve">U </w:t>
      </w:r>
      <w:r w:rsidR="002B489B">
        <w:t>saradnji</w:t>
      </w:r>
      <w:r>
        <w:t xml:space="preserve"> zdravstvenog sektora, </w:t>
      </w:r>
      <w:r w:rsidRPr="0082015E">
        <w:t>sek</w:t>
      </w:r>
      <w:r>
        <w:t xml:space="preserve">tora za rad, socijalnu zaštitu i </w:t>
      </w:r>
      <w:r w:rsidRPr="0082015E">
        <w:t>sektor</w:t>
      </w:r>
      <w:r>
        <w:t>a finan</w:t>
      </w:r>
      <w:r w:rsidR="00392609">
        <w:t>c</w:t>
      </w:r>
      <w:r>
        <w:t xml:space="preserve">ija </w:t>
      </w:r>
      <w:r w:rsidRPr="0082015E">
        <w:t xml:space="preserve">neophodno je </w:t>
      </w:r>
      <w:r>
        <w:t>iniciranje izrade i</w:t>
      </w:r>
      <w:r w:rsidR="00C24C36">
        <w:t xml:space="preserve"> usvajanja dugoročne populaci</w:t>
      </w:r>
      <w:r w:rsidR="00392609">
        <w:t>jske</w:t>
      </w:r>
      <w:r>
        <w:t xml:space="preserve"> politike u Federaciji BiH. </w:t>
      </w:r>
    </w:p>
    <w:p w:rsidR="00096B44" w:rsidRDefault="00096B44" w:rsidP="00096B44">
      <w:pPr>
        <w:pStyle w:val="TEKST"/>
        <w:numPr>
          <w:ilvl w:val="0"/>
          <w:numId w:val="23"/>
        </w:numPr>
      </w:pPr>
      <w:r>
        <w:t>Neophodna je izrada i usvajanje politike i str</w:t>
      </w:r>
      <w:r w:rsidR="00392609">
        <w:t>a</w:t>
      </w:r>
      <w:r>
        <w:t xml:space="preserve">tegije unapređenja zdravlja i kvaliteta života starijih osoba, sa poromocijom širenja mreže centara za zdravo starenje u </w:t>
      </w:r>
      <w:r w:rsidR="002B489B">
        <w:t>saradnji</w:t>
      </w:r>
      <w:r>
        <w:t xml:space="preserve"> sa vladinim resornim ministarstvima, relevatnim međunarodnim organizacijama i lokalnom zajednicom.  </w:t>
      </w:r>
    </w:p>
    <w:p w:rsidR="00096B44" w:rsidRPr="007B41B5" w:rsidRDefault="00096B44" w:rsidP="00096B44">
      <w:pPr>
        <w:pStyle w:val="TEKST"/>
        <w:rPr>
          <w:b/>
        </w:rPr>
      </w:pPr>
      <w:r w:rsidRPr="007B41B5">
        <w:rPr>
          <w:b/>
        </w:rPr>
        <w:t>Uzroci smrtnosti i obol</w:t>
      </w:r>
      <w:r w:rsidR="00392609">
        <w:rPr>
          <w:b/>
        </w:rPr>
        <w:t>i</w:t>
      </w:r>
      <w:r w:rsidRPr="007B41B5">
        <w:rPr>
          <w:b/>
        </w:rPr>
        <w:t xml:space="preserve">jevanja </w:t>
      </w:r>
    </w:p>
    <w:p w:rsidR="00096B44" w:rsidRDefault="00096B44" w:rsidP="00096B44">
      <w:pPr>
        <w:pStyle w:val="TEKST"/>
        <w:numPr>
          <w:ilvl w:val="0"/>
          <w:numId w:val="25"/>
        </w:numPr>
        <w:spacing w:line="240" w:lineRule="auto"/>
      </w:pPr>
      <w:r>
        <w:t xml:space="preserve">Podrška razvoju </w:t>
      </w:r>
      <w:r w:rsidR="00512E30">
        <w:t>sistem</w:t>
      </w:r>
      <w:r w:rsidR="00392609">
        <w:t>nog</w:t>
      </w:r>
      <w:r>
        <w:t xml:space="preserve"> pristupa programima </w:t>
      </w:r>
      <w:r w:rsidRPr="0082015E">
        <w:t>prevencije</w:t>
      </w:r>
      <w:r>
        <w:t xml:space="preserve"> i nadzora vodećih </w:t>
      </w:r>
      <w:r w:rsidR="00D21A46">
        <w:t>faktor</w:t>
      </w:r>
      <w:r w:rsidR="00392609">
        <w:t>a</w:t>
      </w:r>
      <w:r>
        <w:t xml:space="preserve"> rizika za </w:t>
      </w:r>
      <w:r w:rsidRPr="0082015E">
        <w:t xml:space="preserve"> najučestalij</w:t>
      </w:r>
      <w:r w:rsidR="00392609">
        <w:t>a</w:t>
      </w:r>
      <w:r w:rsidRPr="0082015E">
        <w:t xml:space="preserve"> oboljenja na </w:t>
      </w:r>
      <w:r w:rsidR="002B489B">
        <w:t>nivou</w:t>
      </w:r>
      <w:r w:rsidRPr="0082015E">
        <w:t xml:space="preserve"> FBiH, </w:t>
      </w:r>
      <w:r w:rsidR="00592244">
        <w:t>osobito</w:t>
      </w:r>
      <w:r w:rsidRPr="0082015E">
        <w:t xml:space="preserve"> kardiovaskularni</w:t>
      </w:r>
      <w:r>
        <w:t>h bolesti i malignih neoplazmi, kroz unapređenje evidencije,</w:t>
      </w:r>
      <w:r w:rsidR="00C24C36">
        <w:t xml:space="preserve"> dokumentacije i evaluacije, te</w:t>
      </w:r>
      <w:r>
        <w:t xml:space="preserve"> </w:t>
      </w:r>
      <w:r w:rsidR="00592244">
        <w:t>d</w:t>
      </w:r>
      <w:r>
        <w:t xml:space="preserve">ostupnost preventivnih zdravstvenih usluga na </w:t>
      </w:r>
      <w:r w:rsidR="002B489B">
        <w:t>nivou</w:t>
      </w:r>
      <w:r>
        <w:t xml:space="preserve"> PZZ/tima </w:t>
      </w:r>
      <w:r w:rsidR="00950A64">
        <w:t>porodične</w:t>
      </w:r>
      <w:r w:rsidR="00592244">
        <w:t xml:space="preserve"> medicine</w:t>
      </w:r>
      <w:r>
        <w:t>.</w:t>
      </w:r>
    </w:p>
    <w:p w:rsidR="00096B44" w:rsidRDefault="00096B44" w:rsidP="00096B44">
      <w:pPr>
        <w:pStyle w:val="TEKST"/>
        <w:numPr>
          <w:ilvl w:val="0"/>
          <w:numId w:val="25"/>
        </w:numPr>
        <w:spacing w:line="240" w:lineRule="auto"/>
      </w:pPr>
      <w:r>
        <w:t>Već</w:t>
      </w:r>
      <w:r w:rsidR="00592244">
        <w:t>i</w:t>
      </w:r>
      <w:r>
        <w:t xml:space="preserve"> </w:t>
      </w:r>
      <w:r w:rsidR="00592244">
        <w:t>udio</w:t>
      </w:r>
      <w:r>
        <w:t xml:space="preserve"> javnog zdravstva u iniciranje intersketor</w:t>
      </w:r>
      <w:r w:rsidR="00592244">
        <w:t>skih</w:t>
      </w:r>
      <w:r>
        <w:t xml:space="preserve"> promotivnih intervencija na </w:t>
      </w:r>
      <w:r w:rsidR="002B489B">
        <w:t>nivou</w:t>
      </w:r>
      <w:r>
        <w:t xml:space="preserve"> lokalne zajednice s ciljem promjene navika i ponašanja stanovništva ve</w:t>
      </w:r>
      <w:r w:rsidR="00C24C36">
        <w:t xml:space="preserve">zanih za vodeće </w:t>
      </w:r>
      <w:r w:rsidR="00D21A46">
        <w:t>faktor</w:t>
      </w:r>
      <w:r w:rsidR="00592244">
        <w:t>e</w:t>
      </w:r>
      <w:r w:rsidR="00C24C36">
        <w:t xml:space="preserve"> rizika (</w:t>
      </w:r>
      <w:r>
        <w:t xml:space="preserve">pušenje, alkohol, nezdrava </w:t>
      </w:r>
      <w:r w:rsidR="00D21A46">
        <w:t>ishrana</w:t>
      </w:r>
      <w:r>
        <w:t xml:space="preserve">, </w:t>
      </w:r>
      <w:r w:rsidR="00592244">
        <w:t>tjelesna</w:t>
      </w:r>
      <w:r>
        <w:t xml:space="preserve"> neaktivnost, mentalno zdravlje, oralno zdravlje)</w:t>
      </w:r>
      <w:r w:rsidR="00C24C36">
        <w:t>.</w:t>
      </w:r>
      <w:r>
        <w:t xml:space="preserve"> </w:t>
      </w:r>
    </w:p>
    <w:p w:rsidR="00096B44" w:rsidRDefault="00096B44" w:rsidP="00096B44">
      <w:pPr>
        <w:rPr>
          <w:rFonts w:ascii="Times New Roman" w:hAnsi="Times New Roman"/>
          <w:noProof/>
          <w:lang w:val="hr-HR" w:eastAsia="de-DE"/>
        </w:rPr>
      </w:pPr>
    </w:p>
    <w:p w:rsidR="00096B44" w:rsidRPr="00021055" w:rsidRDefault="00096B44" w:rsidP="00096B44">
      <w:pPr>
        <w:pStyle w:val="ListParagraph"/>
        <w:numPr>
          <w:ilvl w:val="0"/>
          <w:numId w:val="25"/>
        </w:numPr>
        <w:rPr>
          <w:rStyle w:val="Strong"/>
          <w:b w:val="0"/>
        </w:rPr>
      </w:pPr>
      <w:r w:rsidRPr="00021055">
        <w:rPr>
          <w:rStyle w:val="Strong"/>
          <w:b w:val="0"/>
        </w:rPr>
        <w:t xml:space="preserve">Jačanje nadzora nad zaraznm bolestima na svim </w:t>
      </w:r>
      <w:r w:rsidR="002B489B">
        <w:rPr>
          <w:rStyle w:val="Strong"/>
          <w:b w:val="0"/>
        </w:rPr>
        <w:t>nivo</w:t>
      </w:r>
      <w:r w:rsidR="00592244">
        <w:rPr>
          <w:rStyle w:val="Strong"/>
          <w:b w:val="0"/>
        </w:rPr>
        <w:t>ma</w:t>
      </w:r>
      <w:r w:rsidRPr="00021055">
        <w:rPr>
          <w:rStyle w:val="Strong"/>
          <w:b w:val="0"/>
        </w:rPr>
        <w:t xml:space="preserve"> (epidemiološkom, kliničkom, laboratorijskom), uz efektivno korištenje informacija za kontrolu javnozdravstvenih prijetnji, te osobito uspostaviti i jačati kapacitete ranog obavještavanja i uzbunjivanja (ALERT).</w:t>
      </w:r>
    </w:p>
    <w:p w:rsidR="00096B44" w:rsidRPr="00D17404" w:rsidRDefault="00096B44" w:rsidP="00096B44">
      <w:pPr>
        <w:pStyle w:val="TEKST"/>
        <w:numPr>
          <w:ilvl w:val="0"/>
          <w:numId w:val="25"/>
        </w:numPr>
        <w:spacing w:line="240" w:lineRule="auto"/>
        <w:rPr>
          <w:i/>
        </w:rPr>
      </w:pPr>
      <w:r>
        <w:t>Osiguranje kontinuiranih mehanizama finan</w:t>
      </w:r>
      <w:r w:rsidR="00592244">
        <w:t>c</w:t>
      </w:r>
      <w:r>
        <w:t xml:space="preserve">iranja za javnozdravstvene kampanje promocije zdravlja kroz </w:t>
      </w:r>
      <w:r w:rsidRPr="0082015E">
        <w:t>izdv</w:t>
      </w:r>
      <w:r w:rsidR="00C24C36">
        <w:t>ajanje  d</w:t>
      </w:r>
      <w:r>
        <w:t xml:space="preserve">ijela </w:t>
      </w:r>
      <w:r w:rsidRPr="0082015E">
        <w:t>sredstava iz akciza na visokotarifn</w:t>
      </w:r>
      <w:r>
        <w:t>u robu (duhan, alkohol i drugo).</w:t>
      </w:r>
    </w:p>
    <w:p w:rsidR="00096B44" w:rsidRDefault="00096B44" w:rsidP="00096B44">
      <w:pPr>
        <w:rPr>
          <w:rFonts w:ascii="Times New Roman" w:hAnsi="Times New Roman"/>
          <w:b/>
          <w:lang w:val="bs-Latn-BA"/>
        </w:rPr>
      </w:pPr>
    </w:p>
    <w:p w:rsidR="00096B44" w:rsidRPr="007B41B5" w:rsidRDefault="00CB080B" w:rsidP="00096B44">
      <w:pPr>
        <w:rPr>
          <w:rFonts w:ascii="Times New Roman" w:hAnsi="Times New Roman"/>
          <w:b/>
          <w:lang w:val="bs-Latn-BA"/>
        </w:rPr>
      </w:pPr>
      <w:r>
        <w:rPr>
          <w:rFonts w:ascii="Times New Roman" w:hAnsi="Times New Roman"/>
          <w:b/>
          <w:lang w:val="bs-Latn-BA"/>
        </w:rPr>
        <w:t>Okoliš</w:t>
      </w:r>
      <w:r w:rsidR="00096B44" w:rsidRPr="007B41B5">
        <w:rPr>
          <w:rFonts w:ascii="Times New Roman" w:hAnsi="Times New Roman"/>
          <w:b/>
          <w:lang w:val="bs-Latn-BA"/>
        </w:rPr>
        <w:t xml:space="preserve"> i zdravlje </w:t>
      </w:r>
    </w:p>
    <w:p w:rsidR="00096B44" w:rsidRDefault="00096B44" w:rsidP="00096B44">
      <w:pPr>
        <w:rPr>
          <w:rFonts w:ascii="Times New Roman" w:hAnsi="Times New Roman"/>
          <w:lang w:val="bs-Latn-BA"/>
        </w:rPr>
      </w:pPr>
    </w:p>
    <w:p w:rsidR="00096B44" w:rsidRPr="00D1740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 xml:space="preserve">Podrškom resornih ministarstva nastaviti aktivnosti na usklađivanju postojeće i donošenju nove zakonske regulative, politika i strategija vezanih za nadzor i kontrolu </w:t>
      </w:r>
      <w:r w:rsidR="00CB080B">
        <w:rPr>
          <w:rFonts w:ascii="Times New Roman" w:hAnsi="Times New Roman"/>
          <w:lang w:val="bs-Latn-BA"/>
        </w:rPr>
        <w:t>okoliš</w:t>
      </w:r>
      <w:r w:rsidRPr="00D17404">
        <w:rPr>
          <w:rFonts w:ascii="Times New Roman" w:hAnsi="Times New Roman"/>
          <w:lang w:val="bs-Latn-BA"/>
        </w:rPr>
        <w:t xml:space="preserve">nih </w:t>
      </w:r>
      <w:r w:rsidR="00D21A46">
        <w:rPr>
          <w:rFonts w:ascii="Times New Roman" w:hAnsi="Times New Roman"/>
          <w:lang w:val="bs-Latn-BA"/>
        </w:rPr>
        <w:t>faktor</w:t>
      </w:r>
      <w:r w:rsidR="00592244">
        <w:rPr>
          <w:rFonts w:ascii="Times New Roman" w:hAnsi="Times New Roman"/>
          <w:lang w:val="bs-Latn-BA"/>
        </w:rPr>
        <w:t>a</w:t>
      </w:r>
      <w:r w:rsidRPr="00D17404">
        <w:rPr>
          <w:rFonts w:ascii="Times New Roman" w:hAnsi="Times New Roman"/>
          <w:lang w:val="bs-Latn-BA"/>
        </w:rPr>
        <w:t xml:space="preserve"> rizika i  </w:t>
      </w:r>
      <w:r w:rsidRPr="00D17404">
        <w:rPr>
          <w:rFonts w:ascii="Times New Roman" w:hAnsi="Times New Roman"/>
        </w:rPr>
        <w:t xml:space="preserve">mjera zaštite zdravlja ljudi i zaštita životne sredine od </w:t>
      </w:r>
      <w:r w:rsidR="00512E30">
        <w:rPr>
          <w:rFonts w:ascii="Times New Roman" w:hAnsi="Times New Roman"/>
        </w:rPr>
        <w:t>uticaj</w:t>
      </w:r>
      <w:r w:rsidRPr="00D17404">
        <w:rPr>
          <w:rFonts w:ascii="Times New Roman" w:hAnsi="Times New Roman"/>
        </w:rPr>
        <w:t xml:space="preserve">a </w:t>
      </w:r>
      <w:r w:rsidR="00592244">
        <w:rPr>
          <w:rFonts w:ascii="Times New Roman" w:hAnsi="Times New Roman"/>
        </w:rPr>
        <w:t>i</w:t>
      </w:r>
      <w:r w:rsidRPr="00D17404">
        <w:rPr>
          <w:rFonts w:ascii="Times New Roman" w:hAnsi="Times New Roman"/>
        </w:rPr>
        <w:t>onizirajučeg zračenja.</w:t>
      </w:r>
    </w:p>
    <w:p w:rsidR="00096B44" w:rsidRPr="00CA6B69" w:rsidRDefault="00096B44" w:rsidP="00096B44">
      <w:pPr>
        <w:rPr>
          <w:rFonts w:ascii="Times New Roman" w:hAnsi="Times New Roman"/>
          <w:lang w:val="bs-Latn-BA"/>
        </w:rPr>
      </w:pPr>
    </w:p>
    <w:p w:rsidR="00096B44" w:rsidRPr="00D1740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Nastavak aktivnosti na jačanju kontinuiranog i ciljanih monitoringa vode za piće, hrane,  predmeta op</w:t>
      </w:r>
      <w:r w:rsidR="00592244">
        <w:rPr>
          <w:rFonts w:ascii="Times New Roman" w:hAnsi="Times New Roman"/>
          <w:lang w:val="bs-Latn-BA"/>
        </w:rPr>
        <w:t>ć</w:t>
      </w:r>
      <w:r w:rsidRPr="00D17404">
        <w:rPr>
          <w:rFonts w:ascii="Times New Roman" w:hAnsi="Times New Roman"/>
          <w:lang w:val="bs-Latn-BA"/>
        </w:rPr>
        <w:t xml:space="preserve">e </w:t>
      </w:r>
      <w:r w:rsidR="00526FD0">
        <w:rPr>
          <w:rFonts w:ascii="Times New Roman" w:hAnsi="Times New Roman"/>
          <w:lang w:val="bs-Latn-BA"/>
        </w:rPr>
        <w:t>upotrebe</w:t>
      </w:r>
      <w:r w:rsidRPr="00D17404">
        <w:rPr>
          <w:rFonts w:ascii="Times New Roman" w:hAnsi="Times New Roman"/>
          <w:lang w:val="bs-Latn-BA"/>
        </w:rPr>
        <w:t xml:space="preserve"> na zdravstvenu ispravnost, kao i monitoringu kvaliteta površinskih voda, zraka i ostalih </w:t>
      </w:r>
      <w:r w:rsidR="00CB080B">
        <w:rPr>
          <w:rFonts w:ascii="Times New Roman" w:hAnsi="Times New Roman"/>
          <w:lang w:val="bs-Latn-BA"/>
        </w:rPr>
        <w:t>okoliš</w:t>
      </w:r>
      <w:r w:rsidR="00592244">
        <w:rPr>
          <w:rFonts w:ascii="Times New Roman" w:hAnsi="Times New Roman"/>
          <w:lang w:val="bs-Latn-BA"/>
        </w:rPr>
        <w:t xml:space="preserve">nih </w:t>
      </w:r>
      <w:r w:rsidR="00D21A46">
        <w:rPr>
          <w:rFonts w:ascii="Times New Roman" w:hAnsi="Times New Roman"/>
          <w:lang w:val="bs-Latn-BA"/>
        </w:rPr>
        <w:t>faktor</w:t>
      </w:r>
      <w:r w:rsidR="00592244">
        <w:rPr>
          <w:rFonts w:ascii="Times New Roman" w:hAnsi="Times New Roman"/>
          <w:lang w:val="bs-Latn-BA"/>
        </w:rPr>
        <w:t>a rizika</w:t>
      </w:r>
      <w:r w:rsidRPr="00D17404">
        <w:rPr>
          <w:rFonts w:ascii="Times New Roman" w:hAnsi="Times New Roman"/>
          <w:lang w:val="bs-Latn-BA"/>
        </w:rPr>
        <w:t xml:space="preserve">, u </w:t>
      </w:r>
      <w:r w:rsidR="002B489B">
        <w:rPr>
          <w:rFonts w:ascii="Times New Roman" w:hAnsi="Times New Roman"/>
          <w:lang w:val="bs-Latn-BA"/>
        </w:rPr>
        <w:t>saradnji</w:t>
      </w:r>
      <w:r w:rsidRPr="00D17404">
        <w:rPr>
          <w:rFonts w:ascii="Times New Roman" w:hAnsi="Times New Roman"/>
          <w:lang w:val="bs-Latn-BA"/>
        </w:rPr>
        <w:t xml:space="preserve"> s relevantnim subjektima u zdravstvenom i izvan zdravstvenog sektora. </w:t>
      </w:r>
    </w:p>
    <w:p w:rsidR="00096B44" w:rsidRPr="00CA6B69" w:rsidRDefault="00096B44" w:rsidP="00096B44">
      <w:pPr>
        <w:rPr>
          <w:rFonts w:ascii="Times New Roman" w:hAnsi="Times New Roman"/>
          <w:lang w:val="bs-Latn-BA"/>
        </w:rPr>
      </w:pPr>
    </w:p>
    <w:p w:rsidR="00096B44" w:rsidRPr="00D17404" w:rsidRDefault="00C24C36" w:rsidP="00096B44">
      <w:pPr>
        <w:pStyle w:val="ListParagraph"/>
        <w:numPr>
          <w:ilvl w:val="0"/>
          <w:numId w:val="26"/>
        </w:numPr>
        <w:rPr>
          <w:rFonts w:ascii="Times New Roman" w:hAnsi="Times New Roman"/>
          <w:lang w:val="bs-Latn-BA"/>
        </w:rPr>
      </w:pPr>
      <w:r>
        <w:rPr>
          <w:rFonts w:ascii="Times New Roman" w:hAnsi="Times New Roman"/>
          <w:lang w:val="bs-Latn-BA"/>
        </w:rPr>
        <w:t>Podrška unapređenju</w:t>
      </w:r>
      <w:r w:rsidR="00096B44" w:rsidRPr="00D17404">
        <w:rPr>
          <w:rFonts w:ascii="Times New Roman" w:hAnsi="Times New Roman"/>
          <w:lang w:val="bs-Latn-BA"/>
        </w:rPr>
        <w:t xml:space="preserve"> laboratorijske opre</w:t>
      </w:r>
      <w:r>
        <w:rPr>
          <w:rFonts w:ascii="Times New Roman" w:hAnsi="Times New Roman"/>
          <w:lang w:val="bs-Latn-BA"/>
        </w:rPr>
        <w:t>me i prostora, te kontinuirane edukacije</w:t>
      </w:r>
      <w:r w:rsidR="00096B44" w:rsidRPr="00D17404">
        <w:rPr>
          <w:rFonts w:ascii="Times New Roman" w:hAnsi="Times New Roman"/>
          <w:lang w:val="bs-Latn-BA"/>
        </w:rPr>
        <w:t xml:space="preserve"> kadra laboratorija za ispitivanje zdravstvene ispravnosti hrane, vode za piće i predmeta op</w:t>
      </w:r>
      <w:r w:rsidR="00592244">
        <w:rPr>
          <w:rFonts w:ascii="Times New Roman" w:hAnsi="Times New Roman"/>
          <w:lang w:val="bs-Latn-BA"/>
        </w:rPr>
        <w:t>ć</w:t>
      </w:r>
      <w:r w:rsidR="00096B44" w:rsidRPr="00D17404">
        <w:rPr>
          <w:rFonts w:ascii="Times New Roman" w:hAnsi="Times New Roman"/>
          <w:lang w:val="bs-Latn-BA"/>
        </w:rPr>
        <w:t xml:space="preserve">e </w:t>
      </w:r>
      <w:r w:rsidR="00526FD0">
        <w:rPr>
          <w:rFonts w:ascii="Times New Roman" w:hAnsi="Times New Roman"/>
          <w:lang w:val="bs-Latn-BA"/>
        </w:rPr>
        <w:t>upotrebe</w:t>
      </w:r>
      <w:r w:rsidR="00096B44" w:rsidRPr="00D17404">
        <w:rPr>
          <w:rFonts w:ascii="Times New Roman" w:hAnsi="Times New Roman"/>
          <w:lang w:val="bs-Latn-BA"/>
        </w:rPr>
        <w:t xml:space="preserve"> pri zavodima za javno zdravstvo u Federaciji BiH. </w:t>
      </w:r>
    </w:p>
    <w:p w:rsidR="00096B44" w:rsidRPr="0082015E" w:rsidRDefault="00096B44" w:rsidP="00096B44">
      <w:pPr>
        <w:rPr>
          <w:rFonts w:ascii="Times New Roman" w:hAnsi="Times New Roman"/>
          <w:b/>
          <w:bCs/>
          <w:i/>
          <w:iCs/>
          <w:lang w:val="bs-Latn-BA" w:eastAsia="x-none"/>
        </w:rPr>
      </w:pPr>
    </w:p>
    <w:p w:rsidR="00096B4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Pod</w:t>
      </w:r>
      <w:r w:rsidR="00C24C36">
        <w:rPr>
          <w:rFonts w:ascii="Times New Roman" w:hAnsi="Times New Roman"/>
          <w:lang w:val="bs-Latn-BA"/>
        </w:rPr>
        <w:t xml:space="preserve">rška zavoda za javno zdravstvo </w:t>
      </w:r>
      <w:r w:rsidRPr="00D17404">
        <w:rPr>
          <w:rFonts w:ascii="Times New Roman" w:hAnsi="Times New Roman"/>
          <w:lang w:val="bs-Latn-BA"/>
        </w:rPr>
        <w:t xml:space="preserve">u provođenju edukacije osoblja (medicinskog i nemedicinskog) u zdravstvenim ustanovama o </w:t>
      </w:r>
      <w:r w:rsidR="0075437E">
        <w:rPr>
          <w:rFonts w:ascii="Times New Roman" w:hAnsi="Times New Roman"/>
          <w:lang w:val="bs-Latn-BA"/>
        </w:rPr>
        <w:t>načelima</w:t>
      </w:r>
      <w:r w:rsidRPr="00D17404">
        <w:rPr>
          <w:rFonts w:ascii="Times New Roman" w:hAnsi="Times New Roman"/>
          <w:lang w:val="bs-Latn-BA"/>
        </w:rPr>
        <w:t xml:space="preserve"> pravilnog upravljanja medicinskim otpadom. </w:t>
      </w:r>
    </w:p>
    <w:p w:rsidR="00096B44" w:rsidRPr="00D17404" w:rsidRDefault="00096B44" w:rsidP="00096B44">
      <w:pPr>
        <w:pStyle w:val="ListParagraph"/>
        <w:rPr>
          <w:rFonts w:ascii="Times New Roman" w:hAnsi="Times New Roman"/>
          <w:lang w:val="bs-Latn-BA"/>
        </w:rPr>
      </w:pPr>
    </w:p>
    <w:p w:rsidR="00096B44" w:rsidRPr="00D17404" w:rsidRDefault="001E1A02" w:rsidP="00096B44">
      <w:pPr>
        <w:pStyle w:val="ListParagraph"/>
        <w:numPr>
          <w:ilvl w:val="0"/>
          <w:numId w:val="26"/>
        </w:numPr>
        <w:rPr>
          <w:rFonts w:ascii="Times New Roman" w:hAnsi="Times New Roman"/>
          <w:lang w:val="bs-Latn-BA"/>
        </w:rPr>
      </w:pPr>
      <w:r>
        <w:rPr>
          <w:rFonts w:ascii="Times New Roman" w:hAnsi="Times New Roman"/>
          <w:lang w:val="bs-Latn-BA"/>
        </w:rPr>
        <w:t>Unapr</w:t>
      </w:r>
      <w:r w:rsidR="00096B44">
        <w:rPr>
          <w:rFonts w:ascii="Times New Roman" w:hAnsi="Times New Roman"/>
          <w:lang w:val="bs-Latn-BA"/>
        </w:rPr>
        <w:t>eđ</w:t>
      </w:r>
      <w:r w:rsidR="00C24C36">
        <w:rPr>
          <w:rFonts w:ascii="Times New Roman" w:hAnsi="Times New Roman"/>
          <w:lang w:val="bs-Latn-BA"/>
        </w:rPr>
        <w:t>e</w:t>
      </w:r>
      <w:r w:rsidR="00096B44">
        <w:rPr>
          <w:rFonts w:ascii="Times New Roman" w:hAnsi="Times New Roman"/>
          <w:lang w:val="bs-Latn-BA"/>
        </w:rPr>
        <w:t>nje intersektor</w:t>
      </w:r>
      <w:r w:rsidR="00592244">
        <w:rPr>
          <w:rFonts w:ascii="Times New Roman" w:hAnsi="Times New Roman"/>
          <w:lang w:val="bs-Latn-BA"/>
        </w:rPr>
        <w:t>ske</w:t>
      </w:r>
      <w:r w:rsidR="00096B44">
        <w:rPr>
          <w:rFonts w:ascii="Times New Roman" w:hAnsi="Times New Roman"/>
          <w:lang w:val="bs-Latn-BA"/>
        </w:rPr>
        <w:t xml:space="preserve"> </w:t>
      </w:r>
      <w:r w:rsidR="002B489B">
        <w:rPr>
          <w:rFonts w:ascii="Times New Roman" w:hAnsi="Times New Roman"/>
          <w:lang w:val="bs-Latn-BA"/>
        </w:rPr>
        <w:t>saradnje</w:t>
      </w:r>
      <w:r w:rsidR="00096B44">
        <w:rPr>
          <w:rFonts w:ascii="Times New Roman" w:hAnsi="Times New Roman"/>
          <w:lang w:val="bs-Latn-BA"/>
        </w:rPr>
        <w:t xml:space="preserve"> zdravstvenog i drugih sektora u mjerama </w:t>
      </w:r>
      <w:r>
        <w:rPr>
          <w:rFonts w:ascii="Times New Roman" w:hAnsi="Times New Roman"/>
          <w:lang w:val="bs-Latn-BA"/>
        </w:rPr>
        <w:t xml:space="preserve">promocije zdravlja i </w:t>
      </w:r>
      <w:r w:rsidR="00096B44">
        <w:rPr>
          <w:rFonts w:ascii="Times New Roman" w:hAnsi="Times New Roman"/>
          <w:lang w:val="bs-Latn-BA"/>
        </w:rPr>
        <w:t>prevenci</w:t>
      </w:r>
      <w:r w:rsidR="00C24C36">
        <w:rPr>
          <w:rFonts w:ascii="Times New Roman" w:hAnsi="Times New Roman"/>
          <w:lang w:val="bs-Latn-BA"/>
        </w:rPr>
        <w:t>j</w:t>
      </w:r>
      <w:r w:rsidR="00096B44">
        <w:rPr>
          <w:rFonts w:ascii="Times New Roman" w:hAnsi="Times New Roman"/>
          <w:lang w:val="bs-Latn-BA"/>
        </w:rPr>
        <w:t>e</w:t>
      </w:r>
      <w:r>
        <w:rPr>
          <w:rFonts w:ascii="Times New Roman" w:hAnsi="Times New Roman"/>
          <w:lang w:val="bs-Latn-BA"/>
        </w:rPr>
        <w:t xml:space="preserve"> obol</w:t>
      </w:r>
      <w:r w:rsidR="00592244">
        <w:rPr>
          <w:rFonts w:ascii="Times New Roman" w:hAnsi="Times New Roman"/>
          <w:lang w:val="bs-Latn-BA"/>
        </w:rPr>
        <w:t>i</w:t>
      </w:r>
      <w:r>
        <w:rPr>
          <w:rFonts w:ascii="Times New Roman" w:hAnsi="Times New Roman"/>
          <w:lang w:val="bs-Latn-BA"/>
        </w:rPr>
        <w:t>jevanja, kao i nadzora</w:t>
      </w:r>
      <w:r w:rsidR="00096B44">
        <w:rPr>
          <w:rFonts w:ascii="Times New Roman" w:hAnsi="Times New Roman"/>
          <w:lang w:val="bs-Latn-BA"/>
        </w:rPr>
        <w:t xml:space="preserve"> </w:t>
      </w:r>
      <w:r w:rsidR="00592244">
        <w:rPr>
          <w:rFonts w:ascii="Times New Roman" w:hAnsi="Times New Roman"/>
          <w:lang w:val="bs-Latn-BA"/>
        </w:rPr>
        <w:t>prometnog</w:t>
      </w:r>
      <w:r w:rsidR="00096B44">
        <w:rPr>
          <w:rFonts w:ascii="Times New Roman" w:hAnsi="Times New Roman"/>
          <w:lang w:val="bs-Latn-BA"/>
        </w:rPr>
        <w:t xml:space="preserve"> traumatizma i promocije  sigurnosti svih sudionika u prometu. </w:t>
      </w:r>
    </w:p>
    <w:p w:rsidR="00096B44" w:rsidRPr="0082015E" w:rsidRDefault="00096B44" w:rsidP="00096B44">
      <w:pPr>
        <w:rPr>
          <w:rFonts w:ascii="Times New Roman" w:hAnsi="Times New Roman"/>
          <w:lang w:val="bs-Latn-BA"/>
        </w:rPr>
      </w:pPr>
    </w:p>
    <w:p w:rsidR="00096B44" w:rsidRPr="0082015E" w:rsidRDefault="00096B44" w:rsidP="00096B44">
      <w:pPr>
        <w:rPr>
          <w:rFonts w:ascii="Times New Roman" w:hAnsi="Times New Roman"/>
          <w:lang w:val="bs-Latn-BA"/>
        </w:rPr>
      </w:pPr>
    </w:p>
    <w:p w:rsidR="00096B44" w:rsidRPr="007B41B5" w:rsidRDefault="00096B44" w:rsidP="00096B44">
      <w:pPr>
        <w:spacing w:line="276" w:lineRule="auto"/>
        <w:rPr>
          <w:rFonts w:ascii="Times New Roman" w:hAnsi="Times New Roman"/>
          <w:b/>
          <w:lang w:val="bs-Latn-BA"/>
        </w:rPr>
      </w:pPr>
      <w:r w:rsidRPr="007B41B5">
        <w:rPr>
          <w:rFonts w:ascii="Times New Roman" w:hAnsi="Times New Roman"/>
          <w:b/>
          <w:lang w:val="bs-Latn-BA"/>
        </w:rPr>
        <w:t xml:space="preserve">Organizacija zdravstvene zaštite </w:t>
      </w:r>
    </w:p>
    <w:p w:rsidR="00096B44" w:rsidRPr="0082015E" w:rsidRDefault="00096B44" w:rsidP="00096B44">
      <w:pPr>
        <w:spacing w:line="276" w:lineRule="auto"/>
        <w:rPr>
          <w:rFonts w:ascii="Times New Roman" w:hAnsi="Times New Roman"/>
          <w:snapToGrid w:val="0"/>
          <w:lang w:val="bs-Latn-BA" w:eastAsia="x-none"/>
        </w:rPr>
      </w:pPr>
    </w:p>
    <w:p w:rsidR="00096B44" w:rsidRPr="00CA6B69" w:rsidRDefault="00096B44" w:rsidP="00096B44">
      <w:pPr>
        <w:pStyle w:val="ListParagraph"/>
        <w:numPr>
          <w:ilvl w:val="0"/>
          <w:numId w:val="24"/>
        </w:numPr>
        <w:rPr>
          <w:rFonts w:ascii="Times New Roman" w:hAnsi="Times New Roman"/>
        </w:rPr>
      </w:pPr>
      <w:r w:rsidRPr="00CA6B69">
        <w:rPr>
          <w:rFonts w:ascii="Times New Roman" w:hAnsi="Times New Roman"/>
        </w:rPr>
        <w:t>Podrška dalj</w:t>
      </w:r>
      <w:r w:rsidR="00592244">
        <w:rPr>
          <w:rFonts w:ascii="Times New Roman" w:hAnsi="Times New Roman"/>
        </w:rPr>
        <w:t>nj</w:t>
      </w:r>
      <w:r w:rsidRPr="00CA6B69">
        <w:rPr>
          <w:rFonts w:ascii="Times New Roman" w:hAnsi="Times New Roman"/>
        </w:rPr>
        <w:t xml:space="preserve">em unapređenju  </w:t>
      </w:r>
      <w:r w:rsidR="000E56ED">
        <w:rPr>
          <w:rFonts w:ascii="Times New Roman" w:hAnsi="Times New Roman"/>
        </w:rPr>
        <w:t>izvještavanja</w:t>
      </w:r>
      <w:r w:rsidRPr="00CA6B69">
        <w:rPr>
          <w:rFonts w:ascii="Times New Roman" w:hAnsi="Times New Roman"/>
        </w:rPr>
        <w:t xml:space="preserve"> u zdravstvu  na </w:t>
      </w:r>
      <w:r w:rsidR="00592244">
        <w:rPr>
          <w:rFonts w:ascii="Times New Roman" w:hAnsi="Times New Roman"/>
        </w:rPr>
        <w:t>temelju</w:t>
      </w:r>
      <w:r w:rsidRPr="00CA6B69">
        <w:rPr>
          <w:rFonts w:ascii="Times New Roman" w:hAnsi="Times New Roman"/>
        </w:rPr>
        <w:t xml:space="preserve"> finaliziranog procesa reforme zdravstveno-statis</w:t>
      </w:r>
      <w:r w:rsidR="00C24C36">
        <w:rPr>
          <w:rFonts w:ascii="Times New Roman" w:hAnsi="Times New Roman"/>
        </w:rPr>
        <w:t xml:space="preserve">tičkog </w:t>
      </w:r>
      <w:r w:rsidR="00512E30">
        <w:rPr>
          <w:rFonts w:ascii="Times New Roman" w:hAnsi="Times New Roman"/>
        </w:rPr>
        <w:t>sistem</w:t>
      </w:r>
      <w:r w:rsidR="00592244">
        <w:rPr>
          <w:rFonts w:ascii="Times New Roman" w:hAnsi="Times New Roman"/>
        </w:rPr>
        <w:t>a</w:t>
      </w:r>
      <w:r w:rsidR="00C24C36">
        <w:rPr>
          <w:rFonts w:ascii="Times New Roman" w:hAnsi="Times New Roman"/>
        </w:rPr>
        <w:t xml:space="preserve"> i informatizaciji u zdravstvu, uključujući javni i privatni se</w:t>
      </w:r>
      <w:r w:rsidR="00592244">
        <w:rPr>
          <w:rFonts w:ascii="Times New Roman" w:hAnsi="Times New Roman"/>
        </w:rPr>
        <w:t>k</w:t>
      </w:r>
      <w:r w:rsidR="00C24C36">
        <w:rPr>
          <w:rFonts w:ascii="Times New Roman" w:hAnsi="Times New Roman"/>
        </w:rPr>
        <w:t>tor.</w:t>
      </w:r>
    </w:p>
    <w:p w:rsidR="00096B44" w:rsidRPr="0082015E" w:rsidRDefault="00096B44" w:rsidP="00096B44">
      <w:pPr>
        <w:pStyle w:val="Default"/>
        <w:jc w:val="both"/>
        <w:rPr>
          <w:rFonts w:ascii="Times New Roman" w:hAnsi="Times New Roman" w:cs="Times New Roman"/>
          <w:color w:val="auto"/>
          <w:sz w:val="22"/>
          <w:szCs w:val="22"/>
        </w:rPr>
      </w:pPr>
    </w:p>
    <w:p w:rsidR="00096B44" w:rsidRPr="0082015E" w:rsidRDefault="00C24C36" w:rsidP="00096B44">
      <w:pPr>
        <w:pStyle w:val="Default"/>
        <w:numPr>
          <w:ilvl w:val="0"/>
          <w:numId w:val="24"/>
        </w:numPr>
        <w:jc w:val="both"/>
        <w:rPr>
          <w:rFonts w:ascii="Times New Roman" w:hAnsi="Times New Roman" w:cs="Times New Roman"/>
          <w:color w:val="auto"/>
          <w:sz w:val="22"/>
          <w:szCs w:val="22"/>
        </w:rPr>
      </w:pPr>
      <w:r>
        <w:rPr>
          <w:rFonts w:ascii="Times New Roman" w:hAnsi="Times New Roman" w:cs="Times New Roman"/>
          <w:color w:val="auto"/>
          <w:sz w:val="22"/>
          <w:szCs w:val="22"/>
        </w:rPr>
        <w:t>Provođenje periodičnih populaci</w:t>
      </w:r>
      <w:r w:rsidR="00592244">
        <w:rPr>
          <w:rFonts w:ascii="Times New Roman" w:hAnsi="Times New Roman" w:cs="Times New Roman"/>
          <w:color w:val="auto"/>
          <w:sz w:val="22"/>
          <w:szCs w:val="22"/>
        </w:rPr>
        <w:t xml:space="preserve">jskih </w:t>
      </w:r>
      <w:r w:rsidR="00096B44" w:rsidRPr="0082015E">
        <w:rPr>
          <w:rFonts w:ascii="Times New Roman" w:hAnsi="Times New Roman" w:cs="Times New Roman"/>
          <w:color w:val="auto"/>
          <w:sz w:val="22"/>
          <w:szCs w:val="22"/>
        </w:rPr>
        <w:t>istraživanja zd</w:t>
      </w:r>
      <w:r w:rsidR="00096B44">
        <w:rPr>
          <w:rFonts w:ascii="Times New Roman" w:hAnsi="Times New Roman" w:cs="Times New Roman"/>
          <w:color w:val="auto"/>
          <w:sz w:val="22"/>
          <w:szCs w:val="22"/>
        </w:rPr>
        <w:t xml:space="preserve">ravstvenog stanja stanovništva, izloženosti </w:t>
      </w:r>
      <w:r w:rsidR="00D21A46">
        <w:rPr>
          <w:rFonts w:ascii="Times New Roman" w:hAnsi="Times New Roman" w:cs="Times New Roman"/>
          <w:color w:val="auto"/>
          <w:sz w:val="22"/>
          <w:szCs w:val="22"/>
        </w:rPr>
        <w:t>faktori</w:t>
      </w:r>
      <w:r w:rsidR="00592244">
        <w:rPr>
          <w:rFonts w:ascii="Times New Roman" w:hAnsi="Times New Roman" w:cs="Times New Roman"/>
          <w:color w:val="auto"/>
          <w:sz w:val="22"/>
          <w:szCs w:val="22"/>
        </w:rPr>
        <w:t>ma</w:t>
      </w:r>
      <w:r w:rsidR="00096B44" w:rsidRPr="0082015E">
        <w:rPr>
          <w:rFonts w:ascii="Times New Roman" w:hAnsi="Times New Roman" w:cs="Times New Roman"/>
          <w:color w:val="auto"/>
          <w:sz w:val="22"/>
          <w:szCs w:val="22"/>
        </w:rPr>
        <w:t xml:space="preserve"> rizika po zdravlje, kao i ist</w:t>
      </w:r>
      <w:r w:rsidR="00096B44">
        <w:rPr>
          <w:rFonts w:ascii="Times New Roman" w:hAnsi="Times New Roman" w:cs="Times New Roman"/>
          <w:color w:val="auto"/>
          <w:sz w:val="22"/>
          <w:szCs w:val="22"/>
        </w:rPr>
        <w:t>raživanja intervencija unut</w:t>
      </w:r>
      <w:r w:rsidR="00592244">
        <w:rPr>
          <w:rFonts w:ascii="Times New Roman" w:hAnsi="Times New Roman" w:cs="Times New Roman"/>
          <w:color w:val="auto"/>
          <w:sz w:val="22"/>
          <w:szCs w:val="22"/>
        </w:rPr>
        <w:t>a</w:t>
      </w:r>
      <w:r w:rsidR="00096B44">
        <w:rPr>
          <w:rFonts w:ascii="Times New Roman" w:hAnsi="Times New Roman" w:cs="Times New Roman"/>
          <w:color w:val="auto"/>
          <w:sz w:val="22"/>
          <w:szCs w:val="22"/>
        </w:rPr>
        <w:t xml:space="preserve">r  zdravstvenog </w:t>
      </w:r>
      <w:r w:rsidR="00512E30">
        <w:rPr>
          <w:rFonts w:ascii="Times New Roman" w:hAnsi="Times New Roman" w:cs="Times New Roman"/>
          <w:color w:val="auto"/>
          <w:sz w:val="22"/>
          <w:szCs w:val="22"/>
        </w:rPr>
        <w:t>sistem</w:t>
      </w:r>
      <w:r w:rsidR="00592244">
        <w:rPr>
          <w:rFonts w:ascii="Times New Roman" w:hAnsi="Times New Roman" w:cs="Times New Roman"/>
          <w:color w:val="auto"/>
          <w:sz w:val="22"/>
          <w:szCs w:val="22"/>
        </w:rPr>
        <w:t>a</w:t>
      </w:r>
      <w:r w:rsidR="00096B44">
        <w:rPr>
          <w:rFonts w:ascii="Times New Roman" w:hAnsi="Times New Roman" w:cs="Times New Roman"/>
          <w:color w:val="auto"/>
          <w:sz w:val="22"/>
          <w:szCs w:val="22"/>
        </w:rPr>
        <w:t xml:space="preserve"> u </w:t>
      </w:r>
      <w:r w:rsidR="002B489B">
        <w:rPr>
          <w:rFonts w:ascii="Times New Roman" w:hAnsi="Times New Roman" w:cs="Times New Roman"/>
          <w:color w:val="auto"/>
          <w:sz w:val="22"/>
          <w:szCs w:val="22"/>
        </w:rPr>
        <w:t>saradnji</w:t>
      </w:r>
      <w:r w:rsidR="00096B44">
        <w:rPr>
          <w:rFonts w:ascii="Times New Roman" w:hAnsi="Times New Roman" w:cs="Times New Roman"/>
          <w:color w:val="auto"/>
          <w:sz w:val="22"/>
          <w:szCs w:val="22"/>
        </w:rPr>
        <w:t xml:space="preserve"> sa relevantnim međunarodnim organizacijama  i odgovornim ustanovama  u zdravstvenom i izvan zdravstvenog sektora. </w:t>
      </w:r>
    </w:p>
    <w:p w:rsidR="00096B44" w:rsidRDefault="00096B44" w:rsidP="00096B44">
      <w:pPr>
        <w:rPr>
          <w:rFonts w:ascii="Times New Roman" w:hAnsi="Times New Roman"/>
        </w:rPr>
      </w:pPr>
    </w:p>
    <w:p w:rsidR="00096B44" w:rsidRPr="00CA6B69" w:rsidRDefault="00592244" w:rsidP="00096B44">
      <w:pPr>
        <w:pStyle w:val="ListParagraph"/>
        <w:numPr>
          <w:ilvl w:val="0"/>
          <w:numId w:val="24"/>
        </w:numPr>
        <w:rPr>
          <w:rFonts w:ascii="Times New Roman" w:hAnsi="Times New Roman"/>
        </w:rPr>
      </w:pPr>
      <w:r>
        <w:rPr>
          <w:rFonts w:ascii="Times New Roman" w:hAnsi="Times New Roman"/>
        </w:rPr>
        <w:t>Učinkovitije</w:t>
      </w:r>
      <w:r w:rsidR="00096B44" w:rsidRPr="00CA6B69">
        <w:rPr>
          <w:rFonts w:ascii="Times New Roman" w:hAnsi="Times New Roman"/>
        </w:rPr>
        <w:t xml:space="preserve"> provođenje st</w:t>
      </w:r>
      <w:r w:rsidR="00C24C36">
        <w:rPr>
          <w:rFonts w:ascii="Times New Roman" w:hAnsi="Times New Roman"/>
        </w:rPr>
        <w:t>ra</w:t>
      </w:r>
      <w:r w:rsidR="00096B44" w:rsidRPr="00CA6B69">
        <w:rPr>
          <w:rFonts w:ascii="Times New Roman" w:hAnsi="Times New Roman"/>
        </w:rPr>
        <w:t xml:space="preserve">teškog planiranja i produkcije zdravstvenih </w:t>
      </w:r>
      <w:r w:rsidR="00950A64">
        <w:rPr>
          <w:rFonts w:ascii="Times New Roman" w:hAnsi="Times New Roman"/>
        </w:rPr>
        <w:t>radnika</w:t>
      </w:r>
      <w:r w:rsidR="00096B44" w:rsidRPr="00CA6B69">
        <w:rPr>
          <w:rFonts w:ascii="Times New Roman" w:hAnsi="Times New Roman"/>
        </w:rPr>
        <w:t xml:space="preserve"> i s</w:t>
      </w:r>
      <w:r>
        <w:rPr>
          <w:rFonts w:ascii="Times New Roman" w:hAnsi="Times New Roman"/>
        </w:rPr>
        <w:t>u</w:t>
      </w:r>
      <w:r w:rsidR="00096B44" w:rsidRPr="00CA6B69">
        <w:rPr>
          <w:rFonts w:ascii="Times New Roman" w:hAnsi="Times New Roman"/>
        </w:rPr>
        <w:t xml:space="preserve">radnika od </w:t>
      </w:r>
      <w:r>
        <w:rPr>
          <w:rFonts w:ascii="Times New Roman" w:hAnsi="Times New Roman"/>
        </w:rPr>
        <w:t>razine</w:t>
      </w:r>
      <w:r w:rsidR="00096B44" w:rsidRPr="00CA6B69">
        <w:rPr>
          <w:rFonts w:ascii="Times New Roman" w:hAnsi="Times New Roman"/>
        </w:rPr>
        <w:t xml:space="preserve"> Federacije BiH do </w:t>
      </w:r>
      <w:r>
        <w:rPr>
          <w:rFonts w:ascii="Times New Roman" w:hAnsi="Times New Roman"/>
        </w:rPr>
        <w:t>razine</w:t>
      </w:r>
      <w:r w:rsidR="00096B44" w:rsidRPr="00CA6B69">
        <w:rPr>
          <w:rFonts w:ascii="Times New Roman" w:hAnsi="Times New Roman"/>
        </w:rPr>
        <w:t xml:space="preserve"> kantona, u odnosu na spolnu, starosnu i kvalifikaci</w:t>
      </w:r>
      <w:r>
        <w:rPr>
          <w:rFonts w:ascii="Times New Roman" w:hAnsi="Times New Roman"/>
        </w:rPr>
        <w:t>jsku</w:t>
      </w:r>
      <w:r w:rsidR="00096B44" w:rsidRPr="00CA6B69">
        <w:rPr>
          <w:rFonts w:ascii="Times New Roman" w:hAnsi="Times New Roman"/>
        </w:rPr>
        <w:t xml:space="preserve"> strukturu, razvijenost mreže zdravstvenih ustanova, zahtjeve i potrebe za zdravstvenom zaštitom, kao ključni argumenti za dodjel</w:t>
      </w:r>
      <w:r w:rsidR="00096B44">
        <w:rPr>
          <w:rFonts w:ascii="Times New Roman" w:hAnsi="Times New Roman"/>
        </w:rPr>
        <w:t>u specijalizacija i kontinuiranu profesionalnu</w:t>
      </w:r>
      <w:r w:rsidR="00096B44" w:rsidRPr="00CA6B69">
        <w:rPr>
          <w:rFonts w:ascii="Times New Roman" w:hAnsi="Times New Roman"/>
        </w:rPr>
        <w:t xml:space="preserve"> </w:t>
      </w:r>
      <w:r w:rsidR="00096B44">
        <w:rPr>
          <w:rFonts w:ascii="Times New Roman" w:hAnsi="Times New Roman"/>
        </w:rPr>
        <w:t xml:space="preserve"> edukaciju</w:t>
      </w:r>
      <w:r w:rsidR="00096B44" w:rsidRPr="00CA6B69">
        <w:rPr>
          <w:rFonts w:ascii="Times New Roman" w:hAnsi="Times New Roman"/>
        </w:rPr>
        <w:t xml:space="preserve"> </w:t>
      </w:r>
      <w:r w:rsidR="00950A64">
        <w:rPr>
          <w:rFonts w:ascii="Times New Roman" w:hAnsi="Times New Roman"/>
        </w:rPr>
        <w:t>zaposlen</w:t>
      </w:r>
      <w:r w:rsidR="00096B44" w:rsidRPr="00CA6B69">
        <w:rPr>
          <w:rFonts w:ascii="Times New Roman" w:hAnsi="Times New Roman"/>
        </w:rPr>
        <w:t xml:space="preserve">ih te politiku zapošljavana novih kadrova.  </w:t>
      </w:r>
    </w:p>
    <w:p w:rsidR="00096B44" w:rsidRDefault="00096B44" w:rsidP="00096B44">
      <w:pPr>
        <w:rPr>
          <w:rFonts w:ascii="Times New Roman" w:hAnsi="Times New Roman"/>
        </w:rPr>
      </w:pPr>
    </w:p>
    <w:p w:rsidR="00096B44" w:rsidRPr="00CA6B69" w:rsidRDefault="00096B44" w:rsidP="00096B44">
      <w:pPr>
        <w:pStyle w:val="ListParagraph"/>
        <w:numPr>
          <w:ilvl w:val="0"/>
          <w:numId w:val="24"/>
        </w:numPr>
        <w:rPr>
          <w:rFonts w:ascii="Times New Roman" w:hAnsi="Times New Roman"/>
        </w:rPr>
      </w:pPr>
      <w:r>
        <w:rPr>
          <w:rFonts w:ascii="Times New Roman" w:hAnsi="Times New Roman"/>
        </w:rPr>
        <w:t>J</w:t>
      </w:r>
      <w:r w:rsidRPr="00CA6B69">
        <w:rPr>
          <w:rFonts w:ascii="Times New Roman" w:hAnsi="Times New Roman"/>
        </w:rPr>
        <w:t xml:space="preserve">ačanje </w:t>
      </w:r>
      <w:r w:rsidR="00FE3B0D">
        <w:rPr>
          <w:rFonts w:ascii="Times New Roman" w:hAnsi="Times New Roman"/>
        </w:rPr>
        <w:t>sudjelovanja</w:t>
      </w:r>
      <w:r w:rsidRPr="00CA6B69">
        <w:rPr>
          <w:rFonts w:ascii="Times New Roman" w:hAnsi="Times New Roman"/>
        </w:rPr>
        <w:t xml:space="preserve"> javnog zdravstva u stručnoj argumentaciji i analizama neophodnim za do</w:t>
      </w:r>
      <w:r w:rsidR="00460E9D">
        <w:rPr>
          <w:rFonts w:ascii="Times New Roman" w:hAnsi="Times New Roman"/>
        </w:rPr>
        <w:t>nošenje odluka o  racionalizaci</w:t>
      </w:r>
      <w:r w:rsidRPr="00CA6B69">
        <w:rPr>
          <w:rFonts w:ascii="Times New Roman" w:hAnsi="Times New Roman"/>
        </w:rPr>
        <w:t xml:space="preserve">ji  bolničkih kapaciteta u Federaciji BiH. </w:t>
      </w:r>
    </w:p>
    <w:p w:rsidR="00096B44" w:rsidRPr="0082015E" w:rsidRDefault="00096B44" w:rsidP="00096B44">
      <w:pPr>
        <w:rPr>
          <w:rFonts w:ascii="Times New Roman" w:hAnsi="Times New Roman"/>
        </w:rPr>
      </w:pPr>
    </w:p>
    <w:p w:rsidR="00B2225A" w:rsidRPr="0082015E" w:rsidRDefault="00B2225A" w:rsidP="0082015E">
      <w:pPr>
        <w:pStyle w:val="Heading1"/>
        <w:spacing w:line="276" w:lineRule="auto"/>
        <w:rPr>
          <w:rFonts w:ascii="Times New Roman" w:hAnsi="Times New Roman"/>
          <w:sz w:val="22"/>
          <w:szCs w:val="22"/>
        </w:rPr>
      </w:pPr>
    </w:p>
    <w:p w:rsidR="00906E85" w:rsidRPr="00B2225A" w:rsidRDefault="00906E85" w:rsidP="002C3F62">
      <w:pPr>
        <w:spacing w:line="276" w:lineRule="auto"/>
        <w:rPr>
          <w:rFonts w:ascii="Times New Roman" w:hAnsi="Times New Roman"/>
          <w:b/>
          <w:lang w:val="bs-Latn-BA"/>
        </w:rPr>
      </w:pPr>
      <w:r w:rsidRPr="00B2225A">
        <w:rPr>
          <w:rFonts w:ascii="Times New Roman" w:hAnsi="Times New Roman"/>
        </w:rPr>
        <w:br w:type="page"/>
      </w:r>
    </w:p>
    <w:p w:rsidR="00AD1F07" w:rsidRPr="00AD1F07" w:rsidRDefault="00AD1F07" w:rsidP="000C0138">
      <w:pPr>
        <w:keepNext/>
        <w:spacing w:before="360" w:after="120" w:line="276" w:lineRule="auto"/>
        <w:jc w:val="left"/>
        <w:outlineLvl w:val="0"/>
        <w:rPr>
          <w:rFonts w:ascii="Times New Roman" w:hAnsi="Times New Roman"/>
          <w:b/>
          <w:lang w:val="bs-Latn-BA"/>
        </w:rPr>
      </w:pPr>
      <w:bookmarkStart w:id="359" w:name="_Toc460929226"/>
      <w:r w:rsidRPr="00AD1F07">
        <w:rPr>
          <w:rFonts w:ascii="Times New Roman" w:hAnsi="Times New Roman"/>
          <w:b/>
          <w:lang w:val="bs-Latn-BA"/>
        </w:rPr>
        <w:t>9. REFERENCE</w:t>
      </w:r>
      <w:bookmarkEnd w:id="359"/>
    </w:p>
    <w:p w:rsidR="00AD1F07" w:rsidRPr="00AD1F07" w:rsidRDefault="00AD1F07" w:rsidP="000C0138">
      <w:pPr>
        <w:spacing w:after="200" w:line="276" w:lineRule="auto"/>
        <w:ind w:left="360"/>
        <w:jc w:val="left"/>
        <w:rPr>
          <w:rFonts w:ascii="Times New Roman" w:hAnsi="Times New Roman"/>
          <w:lang w:val="bs-Latn-BA"/>
        </w:rPr>
      </w:pP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Federalni zavod za statistiku, </w:t>
      </w:r>
      <w:hyperlink r:id="rId139" w:history="1">
        <w:r w:rsidRPr="00AD1F07">
          <w:rPr>
            <w:rFonts w:ascii="Times New Roman" w:eastAsiaTheme="majorEastAsia" w:hAnsi="Times New Roman"/>
            <w:color w:val="0000FF"/>
            <w:u w:val="single"/>
            <w:lang w:val="bs-Latn-BA"/>
          </w:rPr>
          <w:t>www.fzs.ba</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European Health for all database,WHO, Regional Office for Europe, </w:t>
      </w:r>
      <w:hyperlink r:id="rId140" w:history="1">
        <w:r w:rsidRPr="00AD1F07">
          <w:rPr>
            <w:rFonts w:ascii="Times New Roman" w:eastAsiaTheme="majorEastAsia" w:hAnsi="Times New Roman"/>
            <w:color w:val="0000FF"/>
            <w:u w:val="single"/>
            <w:lang w:val="bs-Latn-BA"/>
          </w:rPr>
          <w:t>www.who.org</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eastAsiaTheme="majorEastAsia" w:hAnsi="Times New Roman"/>
          <w:lang w:val="bs-Latn-BA"/>
        </w:rPr>
        <w:t>Federalni zavod za zapošljavanje</w:t>
      </w:r>
      <w:r w:rsidRPr="00AD1F07">
        <w:rPr>
          <w:rFonts w:ascii="Times New Roman" w:eastAsiaTheme="majorEastAsia" w:hAnsi="Times New Roman"/>
          <w:color w:val="0000FF"/>
          <w:u w:val="single"/>
          <w:lang w:val="bs-Latn-BA"/>
        </w:rPr>
        <w:t>, www.fzzz.ba</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Anketa o radnoj snazi, Agencija za statistiku BiH, </w:t>
      </w:r>
      <w:hyperlink r:id="rId141" w:history="1">
        <w:r w:rsidRPr="00AD1F07">
          <w:rPr>
            <w:rFonts w:ascii="Times New Roman" w:hAnsi="Times New Roman"/>
            <w:color w:val="0563C1" w:themeColor="hyperlink"/>
            <w:u w:val="single"/>
            <w:lang w:val="bs-Latn-BA"/>
          </w:rPr>
          <w:t>www.bhas.ba/ankete/ARS-2015</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bCs/>
        </w:rPr>
        <w:t xml:space="preserve">Anketa o potrošnji </w:t>
      </w:r>
      <w:r w:rsidR="00751A8F">
        <w:rPr>
          <w:rFonts w:ascii="Times New Roman" w:hAnsi="Times New Roman"/>
          <w:bCs/>
        </w:rPr>
        <w:t>kućanstava</w:t>
      </w:r>
      <w:r w:rsidRPr="00AD1F07">
        <w:rPr>
          <w:rFonts w:ascii="Times New Roman" w:hAnsi="Times New Roman"/>
          <w:bCs/>
        </w:rPr>
        <w:t xml:space="preserve"> u Bosni i Hercegovini, Agencija za statistiku Bosne i Hercegovine, Sarajevo, 2011</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Istraživanje višestrukih </w:t>
      </w:r>
      <w:r w:rsidR="00CB080B">
        <w:rPr>
          <w:rFonts w:ascii="Times New Roman" w:hAnsi="Times New Roman"/>
          <w:lang w:val="bs-Latn-BA"/>
        </w:rPr>
        <w:t>pokazatelja</w:t>
      </w:r>
      <w:r w:rsidRPr="00AD1F07">
        <w:rPr>
          <w:rFonts w:ascii="Times New Roman" w:hAnsi="Times New Roman"/>
          <w:lang w:val="bs-Latn-BA"/>
        </w:rPr>
        <w:t xml:space="preserve"> u Federaciji BiH 2011.-2012. godine, UNICEF/FMZ/Zavod za javno zdravstvo Federacije BiH, Sarajevo, 2013.</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The European health report 2015. Targets and beyond-reaching new frontiers in evidence, WHO, 2015.</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color w:val="000000"/>
        </w:rPr>
        <w:t>Globalni akci</w:t>
      </w:r>
      <w:r w:rsidR="00751A8F">
        <w:rPr>
          <w:rFonts w:ascii="Times New Roman" w:hAnsi="Times New Roman"/>
          <w:color w:val="000000"/>
        </w:rPr>
        <w:t>jski</w:t>
      </w:r>
      <w:r w:rsidRPr="00AD1F07">
        <w:rPr>
          <w:rFonts w:ascii="Times New Roman" w:hAnsi="Times New Roman"/>
          <w:color w:val="000000"/>
        </w:rPr>
        <w:t xml:space="preserve"> plan za prevenciju i kontrolu nezaraznih bolesti 2013.-2020., SZO</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color w:val="000000"/>
        </w:rPr>
        <w:t>Studija o stanju zdravlja odrasloga stanovništva u Federaciji Bosne i Hercegovine 2012., Federalno ministarstvo zdravstvo, Zavod za javno zdravstvo Federacije BiH, 2014.</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lang w:val="bs-Latn-BA"/>
        </w:rPr>
        <w:t>Istraživanje o anemiji među djecom i ženama u Federaciji BiH, FMZ/UNICEF/ZZJZFBiH, 2012.</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Globalno istraživanje pušenja kod školske djece i mladih u Federaciji BiH (GYTS) 2013, Federalno ministarstvo zdravstva, Zavod za javno zdravstvo Federacije BiH, 2013</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rPr>
        <w:t xml:space="preserve">Bio-bihevioralno istraživanje među injekcionim korisnicima droga u pet gradova u BiH: Banja Luka, Bijeljina, Mostar, Sarajevo, Zenica, 2016. </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Federalni plan upravljanja otpadom 2012.-2014.</w:t>
      </w:r>
    </w:p>
    <w:p w:rsidR="00AD1F07" w:rsidRPr="00AD1F07" w:rsidRDefault="00AD1F07" w:rsidP="000C0138">
      <w:pPr>
        <w:numPr>
          <w:ilvl w:val="0"/>
          <w:numId w:val="13"/>
        </w:numPr>
        <w:spacing w:after="160" w:line="276" w:lineRule="auto"/>
        <w:contextualSpacing/>
        <w:jc w:val="left"/>
        <w:rPr>
          <w:rFonts w:ascii="Times New Roman" w:hAnsi="Times New Roman"/>
        </w:rPr>
      </w:pPr>
      <w:r w:rsidRPr="00AD1F07">
        <w:rPr>
          <w:rFonts w:ascii="Times New Roman" w:hAnsi="Times New Roman"/>
        </w:rPr>
        <w:t>Pravilnik</w:t>
      </w:r>
      <w:r w:rsidRPr="00AD1F07">
        <w:rPr>
          <w:rFonts w:ascii="Times New Roman" w:hAnsi="Times New Roman"/>
          <w:lang w:val="hr-HR"/>
        </w:rPr>
        <w:t xml:space="preserve"> </w:t>
      </w:r>
      <w:r w:rsidRPr="00AD1F07">
        <w:rPr>
          <w:rFonts w:ascii="Times New Roman" w:hAnsi="Times New Roman"/>
        </w:rPr>
        <w:t>o</w:t>
      </w:r>
      <w:r w:rsidRPr="00AD1F07">
        <w:rPr>
          <w:rFonts w:ascii="Times New Roman" w:hAnsi="Times New Roman"/>
          <w:lang w:val="hr-HR"/>
        </w:rPr>
        <w:t xml:space="preserve"> </w:t>
      </w:r>
      <w:r w:rsidRPr="00AD1F07">
        <w:rPr>
          <w:rFonts w:ascii="Times New Roman" w:hAnsi="Times New Roman"/>
        </w:rPr>
        <w:t>upravljanju</w:t>
      </w:r>
      <w:r w:rsidRPr="00AD1F07">
        <w:rPr>
          <w:rFonts w:ascii="Times New Roman" w:hAnsi="Times New Roman"/>
          <w:lang w:val="hr-HR"/>
        </w:rPr>
        <w:t xml:space="preserve"> </w:t>
      </w:r>
      <w:r w:rsidRPr="00AD1F07">
        <w:rPr>
          <w:rFonts w:ascii="Times New Roman" w:hAnsi="Times New Roman"/>
        </w:rPr>
        <w:t>medicinskim</w:t>
      </w:r>
      <w:r w:rsidRPr="00AD1F07">
        <w:rPr>
          <w:rFonts w:ascii="Times New Roman" w:hAnsi="Times New Roman"/>
          <w:lang w:val="hr-HR"/>
        </w:rPr>
        <w:t xml:space="preserve"> </w:t>
      </w:r>
      <w:r w:rsidRPr="00AD1F07">
        <w:rPr>
          <w:rFonts w:ascii="Times New Roman" w:hAnsi="Times New Roman"/>
        </w:rPr>
        <w:t>otpadom</w:t>
      </w:r>
      <w:r w:rsidRPr="00AD1F07">
        <w:rPr>
          <w:rFonts w:ascii="Times New Roman" w:hAnsi="Times New Roman"/>
          <w:lang w:val="hr-HR"/>
        </w:rPr>
        <w:t xml:space="preserve"> </w:t>
      </w:r>
      <w:r w:rsidRPr="00AD1F07">
        <w:rPr>
          <w:rFonts w:ascii="Times New Roman" w:hAnsi="Times New Roman"/>
        </w:rPr>
        <w:t>FBiH</w:t>
      </w:r>
      <w:r w:rsidRPr="00AD1F07">
        <w:rPr>
          <w:rFonts w:ascii="Times New Roman" w:hAnsi="Times New Roman"/>
          <w:lang w:val="hr-HR"/>
        </w:rPr>
        <w:t xml:space="preserve">, </w:t>
      </w:r>
      <w:r w:rsidR="00751A8F">
        <w:rPr>
          <w:rFonts w:ascii="Times New Roman" w:hAnsi="Times New Roman"/>
          <w:lang w:val="hr-HR"/>
        </w:rPr>
        <w:t>„</w:t>
      </w:r>
      <w:r w:rsidRPr="00AD1F07">
        <w:rPr>
          <w:rFonts w:ascii="Times New Roman" w:hAnsi="Times New Roman"/>
          <w:lang w:val="hr-HR"/>
        </w:rPr>
        <w:t>Službene novine FBiH</w:t>
      </w:r>
      <w:r w:rsidR="00751A8F">
        <w:rPr>
          <w:rFonts w:ascii="Times New Roman" w:hAnsi="Times New Roman"/>
          <w:lang w:val="hr-HR"/>
        </w:rPr>
        <w:t>“</w:t>
      </w:r>
      <w:r w:rsidRPr="00AD1F07">
        <w:rPr>
          <w:rFonts w:ascii="Times New Roman" w:hAnsi="Times New Roman"/>
          <w:lang w:val="hr-HR"/>
        </w:rPr>
        <w:t xml:space="preserve"> broj 33/03, 2007.</w:t>
      </w:r>
    </w:p>
    <w:p w:rsidR="00AD1F07" w:rsidRPr="00AD1F07" w:rsidRDefault="00751A8F" w:rsidP="000C0138">
      <w:pPr>
        <w:numPr>
          <w:ilvl w:val="0"/>
          <w:numId w:val="13"/>
        </w:numPr>
        <w:spacing w:after="160" w:line="276" w:lineRule="auto"/>
        <w:contextualSpacing/>
        <w:jc w:val="left"/>
        <w:rPr>
          <w:rFonts w:ascii="Times New Roman" w:hAnsi="Times New Roman"/>
        </w:rPr>
      </w:pPr>
      <w:r>
        <w:rPr>
          <w:rFonts w:ascii="Times New Roman" w:hAnsi="Times New Roman"/>
        </w:rPr>
        <w:t>Baz</w:t>
      </w:r>
      <w:r w:rsidR="00AD1F07" w:rsidRPr="00AD1F07">
        <w:rPr>
          <w:rFonts w:ascii="Times New Roman" w:hAnsi="Times New Roman"/>
        </w:rPr>
        <w:t>elske konvencije o prekograničnom prometu opasnog otpada i njegovom odlaganju</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hAnsi="Times New Roman"/>
          <w:lang w:val="bs-Latn-BA"/>
        </w:rPr>
        <w:t>Zakon o zdravstvenoj zaštiti, Sl. novine br. 46/10</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hAnsi="Times New Roman"/>
          <w:lang w:val="bs-Latn-BA"/>
        </w:rPr>
        <w:t>Zakon o zdravstvenom osiguranju, Sl. novine br. 30/97</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Calibri" w:hAnsi="Times New Roman"/>
          <w:lang w:val="bs-Latn-BA"/>
        </w:rPr>
        <w:t>Politika unapređenja ranog rasta i razvoja djece u FBiH, Vlada Federacije BiH, 2011.</w:t>
      </w:r>
      <w:r w:rsidRPr="00AD1F07">
        <w:rPr>
          <w:rFonts w:ascii="Times New Roman" w:hAnsi="Times New Roman"/>
          <w:lang w:val="bs-Latn-BA"/>
        </w:rPr>
        <w:t xml:space="preserve"> </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Calibri" w:hAnsi="Times New Roman"/>
          <w:lang w:val="bs-Latn-BA"/>
        </w:rPr>
        <w:t xml:space="preserve">Strateški plan za unapređenje ranog rasta i </w:t>
      </w:r>
      <w:r w:rsidRPr="00AD1F07">
        <w:rPr>
          <w:rFonts w:ascii="Times New Roman" w:eastAsiaTheme="minorHAnsi" w:hAnsi="Times New Roman"/>
          <w:lang w:val="bs-Latn-BA"/>
        </w:rPr>
        <w:t>razvoja djece u FBiH 2013-2017.,</w:t>
      </w:r>
      <w:r w:rsidRPr="00AD1F07">
        <w:rPr>
          <w:rFonts w:ascii="Times New Roman" w:eastAsia="Calibri" w:hAnsi="Times New Roman"/>
          <w:lang w:val="bs-Latn-BA"/>
        </w:rPr>
        <w:t xml:space="preserve"> Federalno ministarstvo zdravstva, 2013.</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Theme="minorHAnsi" w:hAnsi="Times New Roman"/>
          <w:lang w:val="bs-Latn-BA"/>
        </w:rPr>
        <w:t xml:space="preserve">Pravilnik o kontinuiranoj profesionalnoj edukaciji u </w:t>
      </w:r>
      <w:r w:rsidR="00751A8F">
        <w:rPr>
          <w:rFonts w:ascii="Times New Roman" w:eastAsiaTheme="minorHAnsi" w:hAnsi="Times New Roman"/>
          <w:lang w:val="bs-Latn-BA"/>
        </w:rPr>
        <w:t>području</w:t>
      </w:r>
      <w:r w:rsidRPr="00AD1F07">
        <w:rPr>
          <w:rFonts w:ascii="Times New Roman" w:eastAsiaTheme="minorHAnsi" w:hAnsi="Times New Roman"/>
          <w:lang w:val="bs-Latn-BA"/>
        </w:rPr>
        <w:t xml:space="preserve"> rane detekcije, dijagnostike, intervencije i praćenje razvojih i drugih poremećaja koji utječu na rast i razvoj djece (</w:t>
      </w:r>
      <w:r w:rsidR="00751A8F">
        <w:rPr>
          <w:rFonts w:ascii="Times New Roman" w:eastAsiaTheme="minorHAnsi" w:hAnsi="Times New Roman"/>
          <w:lang w:val="bs-Latn-BA"/>
        </w:rPr>
        <w:t>„</w:t>
      </w:r>
      <w:r w:rsidRPr="00AD1F07">
        <w:rPr>
          <w:rFonts w:ascii="Times New Roman" w:eastAsiaTheme="minorHAnsi" w:hAnsi="Times New Roman"/>
          <w:lang w:val="bs-Latn-BA"/>
        </w:rPr>
        <w:t>Službene novine Federacije Bosne i Hercegovine</w:t>
      </w:r>
      <w:r w:rsidR="00751A8F">
        <w:rPr>
          <w:rFonts w:ascii="Times New Roman" w:eastAsiaTheme="minorHAnsi" w:hAnsi="Times New Roman"/>
          <w:lang w:val="bs-Latn-BA"/>
        </w:rPr>
        <w:t>“,</w:t>
      </w:r>
      <w:r w:rsidRPr="00AD1F07">
        <w:rPr>
          <w:rFonts w:ascii="Times New Roman" w:eastAsiaTheme="minorHAnsi" w:hAnsi="Times New Roman"/>
          <w:lang w:val="bs-Latn-BA"/>
        </w:rPr>
        <w:t xml:space="preserve"> 82/13)</w:t>
      </w:r>
    </w:p>
    <w:p w:rsidR="00AD1F07" w:rsidRPr="00AD1F07" w:rsidRDefault="00AD1F07" w:rsidP="000C0138">
      <w:pPr>
        <w:spacing w:before="240" w:after="120" w:line="276" w:lineRule="auto"/>
        <w:ind w:left="720"/>
        <w:contextualSpacing/>
        <w:rPr>
          <w:rFonts w:ascii="Times New Roman" w:hAnsi="Times New Roman"/>
          <w:lang w:val="bs-Latn-BA"/>
        </w:rPr>
      </w:pPr>
    </w:p>
    <w:p w:rsidR="00906E85" w:rsidRPr="00155F80" w:rsidRDefault="00906E85" w:rsidP="000C0138">
      <w:pPr>
        <w:spacing w:after="200" w:line="276" w:lineRule="auto"/>
        <w:ind w:left="360"/>
        <w:jc w:val="left"/>
        <w:rPr>
          <w:rFonts w:ascii="Times New Roman" w:hAnsi="Times New Roman"/>
          <w:lang w:val="bs-Latn-BA"/>
        </w:rPr>
      </w:pPr>
    </w:p>
    <w:sectPr w:rsidR="00906E85" w:rsidRPr="00155F80">
      <w:footerReference w:type="default" r:id="rId1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63C" w:rsidRDefault="00F7663C" w:rsidP="0092435E">
      <w:r>
        <w:separator/>
      </w:r>
    </w:p>
  </w:endnote>
  <w:endnote w:type="continuationSeparator" w:id="0">
    <w:p w:rsidR="00F7663C" w:rsidRDefault="00F7663C" w:rsidP="0092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4D Times Roman">
    <w:altName w:val="Courier New"/>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895818"/>
      <w:docPartObj>
        <w:docPartGallery w:val="Page Numbers (Bottom of Page)"/>
        <w:docPartUnique/>
      </w:docPartObj>
    </w:sdtPr>
    <w:sdtEndPr>
      <w:rPr>
        <w:noProof/>
      </w:rPr>
    </w:sdtEndPr>
    <w:sdtContent>
      <w:p w:rsidR="002461B2" w:rsidRDefault="002461B2">
        <w:pPr>
          <w:pStyle w:val="Footer"/>
          <w:jc w:val="right"/>
        </w:pPr>
        <w:r>
          <w:fldChar w:fldCharType="begin"/>
        </w:r>
        <w:r>
          <w:instrText xml:space="preserve"> PAGE   \* MERGEFORMAT </w:instrText>
        </w:r>
        <w:r>
          <w:fldChar w:fldCharType="separate"/>
        </w:r>
        <w:r w:rsidR="004D315B">
          <w:rPr>
            <w:noProof/>
          </w:rPr>
          <w:t>5</w:t>
        </w:r>
        <w:r>
          <w:rPr>
            <w:noProof/>
          </w:rPr>
          <w:fldChar w:fldCharType="end"/>
        </w:r>
      </w:p>
    </w:sdtContent>
  </w:sdt>
  <w:p w:rsidR="002461B2" w:rsidRDefault="00246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63C" w:rsidRDefault="00F7663C" w:rsidP="0092435E">
      <w:r>
        <w:separator/>
      </w:r>
    </w:p>
  </w:footnote>
  <w:footnote w:type="continuationSeparator" w:id="0">
    <w:p w:rsidR="00F7663C" w:rsidRDefault="00F7663C" w:rsidP="0092435E">
      <w:r>
        <w:continuationSeparator/>
      </w:r>
    </w:p>
  </w:footnote>
  <w:footnote w:id="1">
    <w:p w:rsidR="002461B2" w:rsidRPr="00587D8D" w:rsidRDefault="002461B2" w:rsidP="00A131AD">
      <w:pPr>
        <w:pStyle w:val="FootnoteText"/>
        <w:rPr>
          <w:rFonts w:ascii="Times New Roman" w:hAnsi="Times New Roman"/>
          <w:lang w:val="bs-Latn-BA"/>
        </w:rPr>
      </w:pPr>
      <w:r>
        <w:rPr>
          <w:rStyle w:val="FootnoteReference"/>
        </w:rPr>
        <w:footnoteRef/>
      </w:r>
      <w:r w:rsidRPr="00587D8D">
        <w:rPr>
          <w:lang w:val="hr-HR"/>
        </w:rPr>
        <w:t xml:space="preserve"> </w:t>
      </w:r>
      <w:r>
        <w:t>Ured</w:t>
      </w:r>
      <w:r w:rsidRPr="00587D8D">
        <w:rPr>
          <w:lang w:val="hr-HR"/>
        </w:rPr>
        <w:t xml:space="preserve"> </w:t>
      </w:r>
      <w:r>
        <w:t>UNICEFa</w:t>
      </w:r>
      <w:r w:rsidRPr="00587D8D">
        <w:rPr>
          <w:lang w:val="hr-HR"/>
        </w:rPr>
        <w:t xml:space="preserve"> </w:t>
      </w:r>
      <w:r>
        <w:t>za</w:t>
      </w:r>
      <w:r w:rsidRPr="00587D8D">
        <w:rPr>
          <w:lang w:val="hr-HR"/>
        </w:rPr>
        <w:t xml:space="preserve"> </w:t>
      </w:r>
      <w:r>
        <w:t>BiH</w:t>
      </w:r>
      <w:r w:rsidRPr="00587D8D">
        <w:rPr>
          <w:lang w:val="hr-HR"/>
        </w:rPr>
        <w:t xml:space="preserve">  </w:t>
      </w:r>
      <w:r>
        <w:rPr>
          <w:rFonts w:ascii="Times New Roman" w:hAnsi="Times New Roman"/>
          <w:lang w:val="bs-Latn-BA"/>
        </w:rPr>
        <w:t>Istraživački projekat „Jodni status trudnica i dojilja u Bosni i Hercegovini“, 2007/08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466"/>
    <w:multiLevelType w:val="hybridMultilevel"/>
    <w:tmpl w:val="B8B6B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A259CE"/>
    <w:multiLevelType w:val="hybridMultilevel"/>
    <w:tmpl w:val="18A4A36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9E0F33"/>
    <w:multiLevelType w:val="hybridMultilevel"/>
    <w:tmpl w:val="42BECFF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E5F7F2E"/>
    <w:multiLevelType w:val="hybridMultilevel"/>
    <w:tmpl w:val="A6B03F3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FE62E0C"/>
    <w:multiLevelType w:val="hybridMultilevel"/>
    <w:tmpl w:val="79AC6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FB318D"/>
    <w:multiLevelType w:val="hybridMultilevel"/>
    <w:tmpl w:val="5DE6AE54"/>
    <w:lvl w:ilvl="0" w:tplc="141A0001">
      <w:start w:val="1"/>
      <w:numFmt w:val="bullet"/>
      <w:lvlText w:val=""/>
      <w:lvlJc w:val="left"/>
      <w:pPr>
        <w:ind w:left="3600" w:hanging="360"/>
      </w:pPr>
      <w:rPr>
        <w:rFonts w:ascii="Symbol" w:hAnsi="Symbol" w:hint="default"/>
      </w:rPr>
    </w:lvl>
    <w:lvl w:ilvl="1" w:tplc="141A0003" w:tentative="1">
      <w:start w:val="1"/>
      <w:numFmt w:val="bullet"/>
      <w:lvlText w:val="o"/>
      <w:lvlJc w:val="left"/>
      <w:pPr>
        <w:ind w:left="4320" w:hanging="360"/>
      </w:pPr>
      <w:rPr>
        <w:rFonts w:ascii="Courier New" w:hAnsi="Courier New" w:cs="Courier New" w:hint="default"/>
      </w:rPr>
    </w:lvl>
    <w:lvl w:ilvl="2" w:tplc="141A0005" w:tentative="1">
      <w:start w:val="1"/>
      <w:numFmt w:val="bullet"/>
      <w:lvlText w:val=""/>
      <w:lvlJc w:val="left"/>
      <w:pPr>
        <w:ind w:left="5040" w:hanging="360"/>
      </w:pPr>
      <w:rPr>
        <w:rFonts w:ascii="Wingdings" w:hAnsi="Wingdings" w:hint="default"/>
      </w:rPr>
    </w:lvl>
    <w:lvl w:ilvl="3" w:tplc="141A0001" w:tentative="1">
      <w:start w:val="1"/>
      <w:numFmt w:val="bullet"/>
      <w:lvlText w:val=""/>
      <w:lvlJc w:val="left"/>
      <w:pPr>
        <w:ind w:left="5760" w:hanging="360"/>
      </w:pPr>
      <w:rPr>
        <w:rFonts w:ascii="Symbol" w:hAnsi="Symbol" w:hint="default"/>
      </w:rPr>
    </w:lvl>
    <w:lvl w:ilvl="4" w:tplc="141A0003" w:tentative="1">
      <w:start w:val="1"/>
      <w:numFmt w:val="bullet"/>
      <w:lvlText w:val="o"/>
      <w:lvlJc w:val="left"/>
      <w:pPr>
        <w:ind w:left="6480" w:hanging="360"/>
      </w:pPr>
      <w:rPr>
        <w:rFonts w:ascii="Courier New" w:hAnsi="Courier New" w:cs="Courier New" w:hint="default"/>
      </w:rPr>
    </w:lvl>
    <w:lvl w:ilvl="5" w:tplc="141A0005" w:tentative="1">
      <w:start w:val="1"/>
      <w:numFmt w:val="bullet"/>
      <w:lvlText w:val=""/>
      <w:lvlJc w:val="left"/>
      <w:pPr>
        <w:ind w:left="7200" w:hanging="360"/>
      </w:pPr>
      <w:rPr>
        <w:rFonts w:ascii="Wingdings" w:hAnsi="Wingdings" w:hint="default"/>
      </w:rPr>
    </w:lvl>
    <w:lvl w:ilvl="6" w:tplc="141A0001" w:tentative="1">
      <w:start w:val="1"/>
      <w:numFmt w:val="bullet"/>
      <w:lvlText w:val=""/>
      <w:lvlJc w:val="left"/>
      <w:pPr>
        <w:ind w:left="7920" w:hanging="360"/>
      </w:pPr>
      <w:rPr>
        <w:rFonts w:ascii="Symbol" w:hAnsi="Symbol" w:hint="default"/>
      </w:rPr>
    </w:lvl>
    <w:lvl w:ilvl="7" w:tplc="141A0003" w:tentative="1">
      <w:start w:val="1"/>
      <w:numFmt w:val="bullet"/>
      <w:lvlText w:val="o"/>
      <w:lvlJc w:val="left"/>
      <w:pPr>
        <w:ind w:left="8640" w:hanging="360"/>
      </w:pPr>
      <w:rPr>
        <w:rFonts w:ascii="Courier New" w:hAnsi="Courier New" w:cs="Courier New" w:hint="default"/>
      </w:rPr>
    </w:lvl>
    <w:lvl w:ilvl="8" w:tplc="141A0005" w:tentative="1">
      <w:start w:val="1"/>
      <w:numFmt w:val="bullet"/>
      <w:lvlText w:val=""/>
      <w:lvlJc w:val="left"/>
      <w:pPr>
        <w:ind w:left="9360" w:hanging="360"/>
      </w:pPr>
      <w:rPr>
        <w:rFonts w:ascii="Wingdings" w:hAnsi="Wingdings" w:hint="default"/>
      </w:rPr>
    </w:lvl>
  </w:abstractNum>
  <w:abstractNum w:abstractNumId="6" w15:restartNumberingAfterBreak="0">
    <w:nsid w:val="1976691B"/>
    <w:multiLevelType w:val="multilevel"/>
    <w:tmpl w:val="C3A2968A"/>
    <w:lvl w:ilvl="0">
      <w:start w:val="1"/>
      <w:numFmt w:val="decimal"/>
      <w:pStyle w:val="Poglavlje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C732A76"/>
    <w:multiLevelType w:val="hybridMultilevel"/>
    <w:tmpl w:val="13F649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75D3186"/>
    <w:multiLevelType w:val="hybridMultilevel"/>
    <w:tmpl w:val="32485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AE1C89"/>
    <w:multiLevelType w:val="hybridMultilevel"/>
    <w:tmpl w:val="FA7AC55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3DDF6073"/>
    <w:multiLevelType w:val="hybridMultilevel"/>
    <w:tmpl w:val="D056ED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3F5C6969"/>
    <w:multiLevelType w:val="hybridMultilevel"/>
    <w:tmpl w:val="3A4AB9B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41B17271"/>
    <w:multiLevelType w:val="hybridMultilevel"/>
    <w:tmpl w:val="5162B09C"/>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3" w15:restartNumberingAfterBreak="0">
    <w:nsid w:val="41E81A8E"/>
    <w:multiLevelType w:val="hybridMultilevel"/>
    <w:tmpl w:val="84E6DBCA"/>
    <w:lvl w:ilvl="0" w:tplc="9D5A00D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576EB0"/>
    <w:multiLevelType w:val="hybridMultilevel"/>
    <w:tmpl w:val="67D277C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510338C2"/>
    <w:multiLevelType w:val="hybridMultilevel"/>
    <w:tmpl w:val="7376FC54"/>
    <w:lvl w:ilvl="0" w:tplc="141A0001">
      <w:start w:val="1"/>
      <w:numFmt w:val="bullet"/>
      <w:lvlText w:val=""/>
      <w:lvlJc w:val="left"/>
      <w:pPr>
        <w:ind w:left="6480" w:hanging="360"/>
      </w:pPr>
      <w:rPr>
        <w:rFonts w:ascii="Symbol" w:hAnsi="Symbol" w:hint="default"/>
      </w:rPr>
    </w:lvl>
    <w:lvl w:ilvl="1" w:tplc="141A0003" w:tentative="1">
      <w:start w:val="1"/>
      <w:numFmt w:val="bullet"/>
      <w:lvlText w:val="o"/>
      <w:lvlJc w:val="left"/>
      <w:pPr>
        <w:ind w:left="7200" w:hanging="360"/>
      </w:pPr>
      <w:rPr>
        <w:rFonts w:ascii="Courier New" w:hAnsi="Courier New" w:cs="Courier New" w:hint="default"/>
      </w:rPr>
    </w:lvl>
    <w:lvl w:ilvl="2" w:tplc="141A0005" w:tentative="1">
      <w:start w:val="1"/>
      <w:numFmt w:val="bullet"/>
      <w:lvlText w:val=""/>
      <w:lvlJc w:val="left"/>
      <w:pPr>
        <w:ind w:left="7920" w:hanging="360"/>
      </w:pPr>
      <w:rPr>
        <w:rFonts w:ascii="Wingdings" w:hAnsi="Wingdings" w:hint="default"/>
      </w:rPr>
    </w:lvl>
    <w:lvl w:ilvl="3" w:tplc="141A0001" w:tentative="1">
      <w:start w:val="1"/>
      <w:numFmt w:val="bullet"/>
      <w:lvlText w:val=""/>
      <w:lvlJc w:val="left"/>
      <w:pPr>
        <w:ind w:left="8640" w:hanging="360"/>
      </w:pPr>
      <w:rPr>
        <w:rFonts w:ascii="Symbol" w:hAnsi="Symbol" w:hint="default"/>
      </w:rPr>
    </w:lvl>
    <w:lvl w:ilvl="4" w:tplc="141A0003" w:tentative="1">
      <w:start w:val="1"/>
      <w:numFmt w:val="bullet"/>
      <w:lvlText w:val="o"/>
      <w:lvlJc w:val="left"/>
      <w:pPr>
        <w:ind w:left="9360" w:hanging="360"/>
      </w:pPr>
      <w:rPr>
        <w:rFonts w:ascii="Courier New" w:hAnsi="Courier New" w:cs="Courier New" w:hint="default"/>
      </w:rPr>
    </w:lvl>
    <w:lvl w:ilvl="5" w:tplc="141A0005" w:tentative="1">
      <w:start w:val="1"/>
      <w:numFmt w:val="bullet"/>
      <w:lvlText w:val=""/>
      <w:lvlJc w:val="left"/>
      <w:pPr>
        <w:ind w:left="10080" w:hanging="360"/>
      </w:pPr>
      <w:rPr>
        <w:rFonts w:ascii="Wingdings" w:hAnsi="Wingdings" w:hint="default"/>
      </w:rPr>
    </w:lvl>
    <w:lvl w:ilvl="6" w:tplc="141A0001" w:tentative="1">
      <w:start w:val="1"/>
      <w:numFmt w:val="bullet"/>
      <w:lvlText w:val=""/>
      <w:lvlJc w:val="left"/>
      <w:pPr>
        <w:ind w:left="10800" w:hanging="360"/>
      </w:pPr>
      <w:rPr>
        <w:rFonts w:ascii="Symbol" w:hAnsi="Symbol" w:hint="default"/>
      </w:rPr>
    </w:lvl>
    <w:lvl w:ilvl="7" w:tplc="141A0003" w:tentative="1">
      <w:start w:val="1"/>
      <w:numFmt w:val="bullet"/>
      <w:lvlText w:val="o"/>
      <w:lvlJc w:val="left"/>
      <w:pPr>
        <w:ind w:left="11520" w:hanging="360"/>
      </w:pPr>
      <w:rPr>
        <w:rFonts w:ascii="Courier New" w:hAnsi="Courier New" w:cs="Courier New" w:hint="default"/>
      </w:rPr>
    </w:lvl>
    <w:lvl w:ilvl="8" w:tplc="141A0005" w:tentative="1">
      <w:start w:val="1"/>
      <w:numFmt w:val="bullet"/>
      <w:lvlText w:val=""/>
      <w:lvlJc w:val="left"/>
      <w:pPr>
        <w:ind w:left="12240" w:hanging="360"/>
      </w:pPr>
      <w:rPr>
        <w:rFonts w:ascii="Wingdings" w:hAnsi="Wingdings" w:hint="default"/>
      </w:rPr>
    </w:lvl>
  </w:abstractNum>
  <w:abstractNum w:abstractNumId="16" w15:restartNumberingAfterBreak="0">
    <w:nsid w:val="51AC777F"/>
    <w:multiLevelType w:val="hybridMultilevel"/>
    <w:tmpl w:val="2C20327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551545C7"/>
    <w:multiLevelType w:val="hybridMultilevel"/>
    <w:tmpl w:val="4C84B84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FD9646A"/>
    <w:multiLevelType w:val="hybridMultilevel"/>
    <w:tmpl w:val="7B2E0628"/>
    <w:lvl w:ilvl="0" w:tplc="64A0E81A">
      <w:numFmt w:val="bullet"/>
      <w:pStyle w:val="nabrajanjecrta"/>
      <w:lvlText w:val="-"/>
      <w:lvlJc w:val="left"/>
      <w:pPr>
        <w:tabs>
          <w:tab w:val="num" w:pos="720"/>
        </w:tabs>
        <w:ind w:left="720" w:hanging="360"/>
      </w:pPr>
      <w:rPr>
        <w:rFonts w:ascii="Times New Roman" w:eastAsia="Times New Roman" w:hAnsi="Times New Roman" w:cs="Times New Roman" w:hint="default"/>
      </w:rPr>
    </w:lvl>
    <w:lvl w:ilvl="1" w:tplc="BA5AA772">
      <w:start w:val="1"/>
      <w:numFmt w:val="bullet"/>
      <w:lvlText w:val="o"/>
      <w:lvlJc w:val="left"/>
      <w:pPr>
        <w:tabs>
          <w:tab w:val="num" w:pos="1440"/>
        </w:tabs>
        <w:ind w:left="1440" w:hanging="360"/>
      </w:pPr>
      <w:rPr>
        <w:rFonts w:ascii="Courier New" w:hAnsi="Courier New" w:cs="Times New Roman" w:hint="default"/>
      </w:rPr>
    </w:lvl>
    <w:lvl w:ilvl="2" w:tplc="553C5546">
      <w:start w:val="1"/>
      <w:numFmt w:val="bullet"/>
      <w:lvlText w:val=""/>
      <w:lvlJc w:val="left"/>
      <w:pPr>
        <w:tabs>
          <w:tab w:val="num" w:pos="2160"/>
        </w:tabs>
        <w:ind w:left="2160" w:hanging="360"/>
      </w:pPr>
      <w:rPr>
        <w:rFonts w:ascii="Wingdings" w:hAnsi="Wingdings" w:hint="default"/>
      </w:rPr>
    </w:lvl>
    <w:lvl w:ilvl="3" w:tplc="F9FA8BBC">
      <w:start w:val="1"/>
      <w:numFmt w:val="bullet"/>
      <w:lvlText w:val=""/>
      <w:lvlJc w:val="left"/>
      <w:pPr>
        <w:tabs>
          <w:tab w:val="num" w:pos="2880"/>
        </w:tabs>
        <w:ind w:left="2880" w:hanging="360"/>
      </w:pPr>
      <w:rPr>
        <w:rFonts w:ascii="Symbol" w:hAnsi="Symbol" w:hint="default"/>
      </w:rPr>
    </w:lvl>
    <w:lvl w:ilvl="4" w:tplc="3296201C">
      <w:start w:val="1"/>
      <w:numFmt w:val="bullet"/>
      <w:lvlText w:val="o"/>
      <w:lvlJc w:val="left"/>
      <w:pPr>
        <w:tabs>
          <w:tab w:val="num" w:pos="3600"/>
        </w:tabs>
        <w:ind w:left="3600" w:hanging="360"/>
      </w:pPr>
      <w:rPr>
        <w:rFonts w:ascii="Courier New" w:hAnsi="Courier New" w:cs="Times New Roman" w:hint="default"/>
      </w:rPr>
    </w:lvl>
    <w:lvl w:ilvl="5" w:tplc="556C9A6A">
      <w:start w:val="1"/>
      <w:numFmt w:val="bullet"/>
      <w:lvlText w:val=""/>
      <w:lvlJc w:val="left"/>
      <w:pPr>
        <w:tabs>
          <w:tab w:val="num" w:pos="4320"/>
        </w:tabs>
        <w:ind w:left="4320" w:hanging="360"/>
      </w:pPr>
      <w:rPr>
        <w:rFonts w:ascii="Wingdings" w:hAnsi="Wingdings" w:hint="default"/>
      </w:rPr>
    </w:lvl>
    <w:lvl w:ilvl="6" w:tplc="4580C26C">
      <w:start w:val="1"/>
      <w:numFmt w:val="bullet"/>
      <w:lvlText w:val=""/>
      <w:lvlJc w:val="left"/>
      <w:pPr>
        <w:tabs>
          <w:tab w:val="num" w:pos="5040"/>
        </w:tabs>
        <w:ind w:left="5040" w:hanging="360"/>
      </w:pPr>
      <w:rPr>
        <w:rFonts w:ascii="Symbol" w:hAnsi="Symbol" w:hint="default"/>
      </w:rPr>
    </w:lvl>
    <w:lvl w:ilvl="7" w:tplc="45846D34">
      <w:start w:val="1"/>
      <w:numFmt w:val="bullet"/>
      <w:lvlText w:val="o"/>
      <w:lvlJc w:val="left"/>
      <w:pPr>
        <w:tabs>
          <w:tab w:val="num" w:pos="5760"/>
        </w:tabs>
        <w:ind w:left="5760" w:hanging="360"/>
      </w:pPr>
      <w:rPr>
        <w:rFonts w:ascii="Courier New" w:hAnsi="Courier New" w:cs="Times New Roman" w:hint="default"/>
      </w:rPr>
    </w:lvl>
    <w:lvl w:ilvl="8" w:tplc="E3084982">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04B1F"/>
    <w:multiLevelType w:val="hybridMultilevel"/>
    <w:tmpl w:val="FE70C4D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ED6F8A"/>
    <w:multiLevelType w:val="hybridMultilevel"/>
    <w:tmpl w:val="EFB224D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40613A0"/>
    <w:multiLevelType w:val="hybridMultilevel"/>
    <w:tmpl w:val="480E9D4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65C46895"/>
    <w:multiLevelType w:val="hybridMultilevel"/>
    <w:tmpl w:val="12A004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9E64DE"/>
    <w:multiLevelType w:val="hybridMultilevel"/>
    <w:tmpl w:val="9E4AE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EB7680"/>
    <w:multiLevelType w:val="hybridMultilevel"/>
    <w:tmpl w:val="AFCA7EB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BAD69CB"/>
    <w:multiLevelType w:val="hybridMultilevel"/>
    <w:tmpl w:val="EDA8F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6"/>
  </w:num>
  <w:num w:numId="4">
    <w:abstractNumId w:val="1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23"/>
  </w:num>
  <w:num w:numId="9">
    <w:abstractNumId w:val="1"/>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5"/>
  </w:num>
  <w:num w:numId="14">
    <w:abstractNumId w:val="5"/>
  </w:num>
  <w:num w:numId="15">
    <w:abstractNumId w:val="15"/>
  </w:num>
  <w:num w:numId="16">
    <w:abstractNumId w:val="12"/>
  </w:num>
  <w:num w:numId="17">
    <w:abstractNumId w:val="8"/>
  </w:num>
  <w:num w:numId="18">
    <w:abstractNumId w:val="22"/>
  </w:num>
  <w:num w:numId="19">
    <w:abstractNumId w:val="24"/>
  </w:num>
  <w:num w:numId="20">
    <w:abstractNumId w:val="11"/>
  </w:num>
  <w:num w:numId="21">
    <w:abstractNumId w:val="17"/>
  </w:num>
  <w:num w:numId="22">
    <w:abstractNumId w:val="14"/>
  </w:num>
  <w:num w:numId="23">
    <w:abstractNumId w:val="3"/>
  </w:num>
  <w:num w:numId="24">
    <w:abstractNumId w:val="9"/>
  </w:num>
  <w:num w:numId="25">
    <w:abstractNumId w:val="16"/>
  </w:num>
  <w:num w:numId="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09A"/>
    <w:rsid w:val="00002CDB"/>
    <w:rsid w:val="00007DCC"/>
    <w:rsid w:val="000128B4"/>
    <w:rsid w:val="00013CCB"/>
    <w:rsid w:val="00014349"/>
    <w:rsid w:val="0001578A"/>
    <w:rsid w:val="00021055"/>
    <w:rsid w:val="000258E7"/>
    <w:rsid w:val="00030E44"/>
    <w:rsid w:val="00035CB1"/>
    <w:rsid w:val="00046555"/>
    <w:rsid w:val="0004685B"/>
    <w:rsid w:val="000529A1"/>
    <w:rsid w:val="00053714"/>
    <w:rsid w:val="00055C26"/>
    <w:rsid w:val="0005609B"/>
    <w:rsid w:val="000575DE"/>
    <w:rsid w:val="00057F45"/>
    <w:rsid w:val="00062C3C"/>
    <w:rsid w:val="00065CCF"/>
    <w:rsid w:val="0006611A"/>
    <w:rsid w:val="0006688D"/>
    <w:rsid w:val="000708C2"/>
    <w:rsid w:val="00081B73"/>
    <w:rsid w:val="00083281"/>
    <w:rsid w:val="000840A6"/>
    <w:rsid w:val="00087E45"/>
    <w:rsid w:val="00092D83"/>
    <w:rsid w:val="0009310D"/>
    <w:rsid w:val="000940F5"/>
    <w:rsid w:val="00096B44"/>
    <w:rsid w:val="000A3A46"/>
    <w:rsid w:val="000A5BE0"/>
    <w:rsid w:val="000B12A9"/>
    <w:rsid w:val="000B2551"/>
    <w:rsid w:val="000B28A5"/>
    <w:rsid w:val="000B2EFA"/>
    <w:rsid w:val="000B71B0"/>
    <w:rsid w:val="000C0138"/>
    <w:rsid w:val="000C263A"/>
    <w:rsid w:val="000C339D"/>
    <w:rsid w:val="000C5C93"/>
    <w:rsid w:val="000C6E15"/>
    <w:rsid w:val="000D0EBE"/>
    <w:rsid w:val="000D2DCE"/>
    <w:rsid w:val="000D4D84"/>
    <w:rsid w:val="000D5B29"/>
    <w:rsid w:val="000D7840"/>
    <w:rsid w:val="000E1376"/>
    <w:rsid w:val="000E1E4B"/>
    <w:rsid w:val="000E56ED"/>
    <w:rsid w:val="000E7362"/>
    <w:rsid w:val="000F201A"/>
    <w:rsid w:val="000F37BF"/>
    <w:rsid w:val="000F5CF3"/>
    <w:rsid w:val="000F69C3"/>
    <w:rsid w:val="00102697"/>
    <w:rsid w:val="00110347"/>
    <w:rsid w:val="00111312"/>
    <w:rsid w:val="0012346A"/>
    <w:rsid w:val="0012609A"/>
    <w:rsid w:val="0012669F"/>
    <w:rsid w:val="00126FC8"/>
    <w:rsid w:val="001279B8"/>
    <w:rsid w:val="001336CA"/>
    <w:rsid w:val="0014032B"/>
    <w:rsid w:val="00142948"/>
    <w:rsid w:val="00147917"/>
    <w:rsid w:val="0015048B"/>
    <w:rsid w:val="00154337"/>
    <w:rsid w:val="00155F80"/>
    <w:rsid w:val="001628EA"/>
    <w:rsid w:val="001700A6"/>
    <w:rsid w:val="00172ABA"/>
    <w:rsid w:val="0017431D"/>
    <w:rsid w:val="00175786"/>
    <w:rsid w:val="00177027"/>
    <w:rsid w:val="00180F52"/>
    <w:rsid w:val="00183CFA"/>
    <w:rsid w:val="00190AC6"/>
    <w:rsid w:val="001911A6"/>
    <w:rsid w:val="001935FA"/>
    <w:rsid w:val="001937CC"/>
    <w:rsid w:val="001A16CB"/>
    <w:rsid w:val="001A2977"/>
    <w:rsid w:val="001A3698"/>
    <w:rsid w:val="001A420D"/>
    <w:rsid w:val="001A68A2"/>
    <w:rsid w:val="001B1F7D"/>
    <w:rsid w:val="001B41B8"/>
    <w:rsid w:val="001B43A6"/>
    <w:rsid w:val="001C06B9"/>
    <w:rsid w:val="001C3C90"/>
    <w:rsid w:val="001C5E4C"/>
    <w:rsid w:val="001D1414"/>
    <w:rsid w:val="001D2C40"/>
    <w:rsid w:val="001D60DF"/>
    <w:rsid w:val="001E1A02"/>
    <w:rsid w:val="001E2D4F"/>
    <w:rsid w:val="001F3659"/>
    <w:rsid w:val="001F3EA2"/>
    <w:rsid w:val="001F52FC"/>
    <w:rsid w:val="00202B98"/>
    <w:rsid w:val="00202BC1"/>
    <w:rsid w:val="002053DE"/>
    <w:rsid w:val="0021578F"/>
    <w:rsid w:val="00230D7E"/>
    <w:rsid w:val="00233EC2"/>
    <w:rsid w:val="00241FFC"/>
    <w:rsid w:val="00243A26"/>
    <w:rsid w:val="00245877"/>
    <w:rsid w:val="002461B2"/>
    <w:rsid w:val="00247CEB"/>
    <w:rsid w:val="00250204"/>
    <w:rsid w:val="0025178B"/>
    <w:rsid w:val="00253A4A"/>
    <w:rsid w:val="002553EC"/>
    <w:rsid w:val="00262AD1"/>
    <w:rsid w:val="002633A5"/>
    <w:rsid w:val="00266FBF"/>
    <w:rsid w:val="0027028E"/>
    <w:rsid w:val="00270760"/>
    <w:rsid w:val="00271AC7"/>
    <w:rsid w:val="00276D53"/>
    <w:rsid w:val="00280080"/>
    <w:rsid w:val="00283697"/>
    <w:rsid w:val="00283C53"/>
    <w:rsid w:val="00284F26"/>
    <w:rsid w:val="00291B48"/>
    <w:rsid w:val="00294C0A"/>
    <w:rsid w:val="00294E25"/>
    <w:rsid w:val="00295EED"/>
    <w:rsid w:val="002A1820"/>
    <w:rsid w:val="002A2A2C"/>
    <w:rsid w:val="002A4B7F"/>
    <w:rsid w:val="002B13F9"/>
    <w:rsid w:val="002B1B42"/>
    <w:rsid w:val="002B2648"/>
    <w:rsid w:val="002B2A7F"/>
    <w:rsid w:val="002B39DE"/>
    <w:rsid w:val="002B3EFA"/>
    <w:rsid w:val="002B489B"/>
    <w:rsid w:val="002B4A0C"/>
    <w:rsid w:val="002B5E47"/>
    <w:rsid w:val="002B7F35"/>
    <w:rsid w:val="002C12A0"/>
    <w:rsid w:val="002C323A"/>
    <w:rsid w:val="002C3F62"/>
    <w:rsid w:val="002C4DFE"/>
    <w:rsid w:val="002D27DE"/>
    <w:rsid w:val="002D2A67"/>
    <w:rsid w:val="002D67A3"/>
    <w:rsid w:val="002D7DEF"/>
    <w:rsid w:val="002E1049"/>
    <w:rsid w:val="002F0665"/>
    <w:rsid w:val="002F5EC0"/>
    <w:rsid w:val="00301140"/>
    <w:rsid w:val="00301826"/>
    <w:rsid w:val="0030413C"/>
    <w:rsid w:val="003066C2"/>
    <w:rsid w:val="00306A2E"/>
    <w:rsid w:val="00310DB4"/>
    <w:rsid w:val="00311436"/>
    <w:rsid w:val="00311B76"/>
    <w:rsid w:val="00311B9D"/>
    <w:rsid w:val="00312085"/>
    <w:rsid w:val="003218F2"/>
    <w:rsid w:val="003230A0"/>
    <w:rsid w:val="00323240"/>
    <w:rsid w:val="00324540"/>
    <w:rsid w:val="00324708"/>
    <w:rsid w:val="003252B5"/>
    <w:rsid w:val="00333951"/>
    <w:rsid w:val="003361B4"/>
    <w:rsid w:val="00341B4E"/>
    <w:rsid w:val="00342879"/>
    <w:rsid w:val="003504DD"/>
    <w:rsid w:val="003509E3"/>
    <w:rsid w:val="00352F2F"/>
    <w:rsid w:val="0035347C"/>
    <w:rsid w:val="00357AF8"/>
    <w:rsid w:val="0036022F"/>
    <w:rsid w:val="003605E2"/>
    <w:rsid w:val="00372B78"/>
    <w:rsid w:val="00373300"/>
    <w:rsid w:val="0037640C"/>
    <w:rsid w:val="003773EC"/>
    <w:rsid w:val="003776C7"/>
    <w:rsid w:val="003819E7"/>
    <w:rsid w:val="00383DED"/>
    <w:rsid w:val="00384539"/>
    <w:rsid w:val="00386071"/>
    <w:rsid w:val="00392609"/>
    <w:rsid w:val="003926DB"/>
    <w:rsid w:val="003A4DA1"/>
    <w:rsid w:val="003A4E59"/>
    <w:rsid w:val="003A6C72"/>
    <w:rsid w:val="003B790D"/>
    <w:rsid w:val="003C0D4E"/>
    <w:rsid w:val="003C3B5C"/>
    <w:rsid w:val="003C5132"/>
    <w:rsid w:val="003C79F2"/>
    <w:rsid w:val="003D1E43"/>
    <w:rsid w:val="003D3AA8"/>
    <w:rsid w:val="003D4A38"/>
    <w:rsid w:val="003E3695"/>
    <w:rsid w:val="003E65EE"/>
    <w:rsid w:val="003E6800"/>
    <w:rsid w:val="003F2392"/>
    <w:rsid w:val="003F5EDC"/>
    <w:rsid w:val="003F6F4C"/>
    <w:rsid w:val="003F79E2"/>
    <w:rsid w:val="00401161"/>
    <w:rsid w:val="00403891"/>
    <w:rsid w:val="00404963"/>
    <w:rsid w:val="004078A2"/>
    <w:rsid w:val="00407958"/>
    <w:rsid w:val="00411BDC"/>
    <w:rsid w:val="004126F4"/>
    <w:rsid w:val="00412C56"/>
    <w:rsid w:val="004134C0"/>
    <w:rsid w:val="004164E4"/>
    <w:rsid w:val="00427913"/>
    <w:rsid w:val="00430206"/>
    <w:rsid w:val="00436B43"/>
    <w:rsid w:val="00437D8C"/>
    <w:rsid w:val="00444D48"/>
    <w:rsid w:val="00450B4A"/>
    <w:rsid w:val="004516A0"/>
    <w:rsid w:val="004522D6"/>
    <w:rsid w:val="004531F7"/>
    <w:rsid w:val="00457874"/>
    <w:rsid w:val="0046000D"/>
    <w:rsid w:val="00460E9D"/>
    <w:rsid w:val="004622C8"/>
    <w:rsid w:val="00467393"/>
    <w:rsid w:val="00467BD1"/>
    <w:rsid w:val="004727C8"/>
    <w:rsid w:val="004809B6"/>
    <w:rsid w:val="00486B6A"/>
    <w:rsid w:val="0048739F"/>
    <w:rsid w:val="00492369"/>
    <w:rsid w:val="004975B7"/>
    <w:rsid w:val="004A0104"/>
    <w:rsid w:val="004B2A12"/>
    <w:rsid w:val="004B476B"/>
    <w:rsid w:val="004B5A9E"/>
    <w:rsid w:val="004B747B"/>
    <w:rsid w:val="004B7691"/>
    <w:rsid w:val="004D309B"/>
    <w:rsid w:val="004D315B"/>
    <w:rsid w:val="004D74A2"/>
    <w:rsid w:val="004E0035"/>
    <w:rsid w:val="004E052E"/>
    <w:rsid w:val="004E0D7B"/>
    <w:rsid w:val="004E384F"/>
    <w:rsid w:val="004E6840"/>
    <w:rsid w:val="004F139A"/>
    <w:rsid w:val="004F1CAA"/>
    <w:rsid w:val="004F44EF"/>
    <w:rsid w:val="00502C46"/>
    <w:rsid w:val="00504216"/>
    <w:rsid w:val="0050445F"/>
    <w:rsid w:val="0050641F"/>
    <w:rsid w:val="00510016"/>
    <w:rsid w:val="00511C83"/>
    <w:rsid w:val="00511DCD"/>
    <w:rsid w:val="00512E30"/>
    <w:rsid w:val="00516B30"/>
    <w:rsid w:val="00517A40"/>
    <w:rsid w:val="00522B66"/>
    <w:rsid w:val="00523C6C"/>
    <w:rsid w:val="00524835"/>
    <w:rsid w:val="00526FD0"/>
    <w:rsid w:val="005277F7"/>
    <w:rsid w:val="005332DE"/>
    <w:rsid w:val="00533E46"/>
    <w:rsid w:val="00534C26"/>
    <w:rsid w:val="00537374"/>
    <w:rsid w:val="00541332"/>
    <w:rsid w:val="00543CEE"/>
    <w:rsid w:val="00550EF6"/>
    <w:rsid w:val="00561C4D"/>
    <w:rsid w:val="00562B1B"/>
    <w:rsid w:val="005861C0"/>
    <w:rsid w:val="00586C67"/>
    <w:rsid w:val="00587547"/>
    <w:rsid w:val="00587CDA"/>
    <w:rsid w:val="005901AB"/>
    <w:rsid w:val="00590EC7"/>
    <w:rsid w:val="0059128D"/>
    <w:rsid w:val="00591BE2"/>
    <w:rsid w:val="00592244"/>
    <w:rsid w:val="00592AC4"/>
    <w:rsid w:val="0059581E"/>
    <w:rsid w:val="005A3EDF"/>
    <w:rsid w:val="005A413D"/>
    <w:rsid w:val="005B0D62"/>
    <w:rsid w:val="005C4DEB"/>
    <w:rsid w:val="005D0FAB"/>
    <w:rsid w:val="005D15D4"/>
    <w:rsid w:val="005D4B49"/>
    <w:rsid w:val="005E297E"/>
    <w:rsid w:val="005F2B2E"/>
    <w:rsid w:val="005F7D3A"/>
    <w:rsid w:val="00600020"/>
    <w:rsid w:val="00601C4A"/>
    <w:rsid w:val="00606974"/>
    <w:rsid w:val="0061286D"/>
    <w:rsid w:val="006136C2"/>
    <w:rsid w:val="00617E74"/>
    <w:rsid w:val="00620777"/>
    <w:rsid w:val="00623475"/>
    <w:rsid w:val="00624B73"/>
    <w:rsid w:val="00624C80"/>
    <w:rsid w:val="006256C9"/>
    <w:rsid w:val="00625F7A"/>
    <w:rsid w:val="00642A63"/>
    <w:rsid w:val="0065030F"/>
    <w:rsid w:val="0066054E"/>
    <w:rsid w:val="0066248B"/>
    <w:rsid w:val="00662AE4"/>
    <w:rsid w:val="00666687"/>
    <w:rsid w:val="00670113"/>
    <w:rsid w:val="00671193"/>
    <w:rsid w:val="00672382"/>
    <w:rsid w:val="00672CCE"/>
    <w:rsid w:val="0067516B"/>
    <w:rsid w:val="00677033"/>
    <w:rsid w:val="0068132B"/>
    <w:rsid w:val="006816BD"/>
    <w:rsid w:val="00685B54"/>
    <w:rsid w:val="0068600E"/>
    <w:rsid w:val="00686B49"/>
    <w:rsid w:val="00687832"/>
    <w:rsid w:val="0069325D"/>
    <w:rsid w:val="0069577B"/>
    <w:rsid w:val="006973FE"/>
    <w:rsid w:val="006976EA"/>
    <w:rsid w:val="006A31AA"/>
    <w:rsid w:val="006A4FB7"/>
    <w:rsid w:val="006A51C0"/>
    <w:rsid w:val="006A6356"/>
    <w:rsid w:val="006A646E"/>
    <w:rsid w:val="006A6F6D"/>
    <w:rsid w:val="006B0A26"/>
    <w:rsid w:val="006C228E"/>
    <w:rsid w:val="006D22D7"/>
    <w:rsid w:val="006D41D3"/>
    <w:rsid w:val="006D674E"/>
    <w:rsid w:val="006E00D1"/>
    <w:rsid w:val="006E42A2"/>
    <w:rsid w:val="006F1E4C"/>
    <w:rsid w:val="006F5CC0"/>
    <w:rsid w:val="006F7F7B"/>
    <w:rsid w:val="0070527E"/>
    <w:rsid w:val="00717DF9"/>
    <w:rsid w:val="00717E3A"/>
    <w:rsid w:val="00722832"/>
    <w:rsid w:val="00726B34"/>
    <w:rsid w:val="0073383C"/>
    <w:rsid w:val="00737E06"/>
    <w:rsid w:val="00741634"/>
    <w:rsid w:val="00741D96"/>
    <w:rsid w:val="007461BE"/>
    <w:rsid w:val="007467AC"/>
    <w:rsid w:val="00746F47"/>
    <w:rsid w:val="00751A8F"/>
    <w:rsid w:val="00752EAE"/>
    <w:rsid w:val="0075437E"/>
    <w:rsid w:val="0075440C"/>
    <w:rsid w:val="00754BE6"/>
    <w:rsid w:val="0075527F"/>
    <w:rsid w:val="0075749A"/>
    <w:rsid w:val="00762A6B"/>
    <w:rsid w:val="007652FB"/>
    <w:rsid w:val="00771DAB"/>
    <w:rsid w:val="00773396"/>
    <w:rsid w:val="00775ABD"/>
    <w:rsid w:val="00786835"/>
    <w:rsid w:val="00786A0C"/>
    <w:rsid w:val="00791094"/>
    <w:rsid w:val="0079161C"/>
    <w:rsid w:val="00793494"/>
    <w:rsid w:val="0079787A"/>
    <w:rsid w:val="007A0601"/>
    <w:rsid w:val="007A2C13"/>
    <w:rsid w:val="007A7E4A"/>
    <w:rsid w:val="007B1866"/>
    <w:rsid w:val="007B4F67"/>
    <w:rsid w:val="007B5847"/>
    <w:rsid w:val="007B5D1E"/>
    <w:rsid w:val="007B665A"/>
    <w:rsid w:val="007C2E61"/>
    <w:rsid w:val="007C4AA9"/>
    <w:rsid w:val="007C5347"/>
    <w:rsid w:val="007C59C1"/>
    <w:rsid w:val="007D3614"/>
    <w:rsid w:val="007D3E7E"/>
    <w:rsid w:val="007E1328"/>
    <w:rsid w:val="007E20B3"/>
    <w:rsid w:val="007E27E5"/>
    <w:rsid w:val="007F131C"/>
    <w:rsid w:val="007F4C6B"/>
    <w:rsid w:val="007F787F"/>
    <w:rsid w:val="0080184C"/>
    <w:rsid w:val="008106C3"/>
    <w:rsid w:val="0081143A"/>
    <w:rsid w:val="0082015E"/>
    <w:rsid w:val="008206E3"/>
    <w:rsid w:val="00823416"/>
    <w:rsid w:val="00824F1E"/>
    <w:rsid w:val="00834139"/>
    <w:rsid w:val="00837126"/>
    <w:rsid w:val="0085238E"/>
    <w:rsid w:val="008640D8"/>
    <w:rsid w:val="00871B21"/>
    <w:rsid w:val="00874E9B"/>
    <w:rsid w:val="00880B43"/>
    <w:rsid w:val="00893A1C"/>
    <w:rsid w:val="008964DC"/>
    <w:rsid w:val="008A17BF"/>
    <w:rsid w:val="008A2240"/>
    <w:rsid w:val="008A7130"/>
    <w:rsid w:val="008B0147"/>
    <w:rsid w:val="008B060F"/>
    <w:rsid w:val="008B3895"/>
    <w:rsid w:val="008B7DFC"/>
    <w:rsid w:val="008C72F1"/>
    <w:rsid w:val="008D2F5C"/>
    <w:rsid w:val="008D4EDB"/>
    <w:rsid w:val="008D56DE"/>
    <w:rsid w:val="008D72AE"/>
    <w:rsid w:val="008D7B4E"/>
    <w:rsid w:val="008E25EB"/>
    <w:rsid w:val="008E4144"/>
    <w:rsid w:val="008E731A"/>
    <w:rsid w:val="008F2DCD"/>
    <w:rsid w:val="008F6458"/>
    <w:rsid w:val="0090136E"/>
    <w:rsid w:val="0090149A"/>
    <w:rsid w:val="00901CDA"/>
    <w:rsid w:val="00903FE1"/>
    <w:rsid w:val="00906E85"/>
    <w:rsid w:val="00914983"/>
    <w:rsid w:val="0092435E"/>
    <w:rsid w:val="009250BD"/>
    <w:rsid w:val="00927FC7"/>
    <w:rsid w:val="00935E54"/>
    <w:rsid w:val="00937B79"/>
    <w:rsid w:val="00950A64"/>
    <w:rsid w:val="00954FAB"/>
    <w:rsid w:val="0095518E"/>
    <w:rsid w:val="009610C9"/>
    <w:rsid w:val="0096709A"/>
    <w:rsid w:val="00972D8B"/>
    <w:rsid w:val="00975880"/>
    <w:rsid w:val="009847F0"/>
    <w:rsid w:val="00991CDF"/>
    <w:rsid w:val="00993848"/>
    <w:rsid w:val="009963E9"/>
    <w:rsid w:val="009A5B2B"/>
    <w:rsid w:val="009D23A1"/>
    <w:rsid w:val="009D3233"/>
    <w:rsid w:val="009E2387"/>
    <w:rsid w:val="009E48BE"/>
    <w:rsid w:val="009E743D"/>
    <w:rsid w:val="009F64E0"/>
    <w:rsid w:val="009F6A9F"/>
    <w:rsid w:val="009F7EE0"/>
    <w:rsid w:val="00A06016"/>
    <w:rsid w:val="00A10F2A"/>
    <w:rsid w:val="00A131AD"/>
    <w:rsid w:val="00A13DA3"/>
    <w:rsid w:val="00A14059"/>
    <w:rsid w:val="00A22138"/>
    <w:rsid w:val="00A22A38"/>
    <w:rsid w:val="00A2347F"/>
    <w:rsid w:val="00A2552D"/>
    <w:rsid w:val="00A2779F"/>
    <w:rsid w:val="00A305C2"/>
    <w:rsid w:val="00A3192C"/>
    <w:rsid w:val="00A32D67"/>
    <w:rsid w:val="00A342B4"/>
    <w:rsid w:val="00A36CA5"/>
    <w:rsid w:val="00A427D9"/>
    <w:rsid w:val="00A43683"/>
    <w:rsid w:val="00A4460F"/>
    <w:rsid w:val="00A45043"/>
    <w:rsid w:val="00A50227"/>
    <w:rsid w:val="00A5384A"/>
    <w:rsid w:val="00A569B8"/>
    <w:rsid w:val="00A56E47"/>
    <w:rsid w:val="00A5788D"/>
    <w:rsid w:val="00A57E2D"/>
    <w:rsid w:val="00A6044F"/>
    <w:rsid w:val="00A62F5B"/>
    <w:rsid w:val="00A631F9"/>
    <w:rsid w:val="00A704EE"/>
    <w:rsid w:val="00A7123B"/>
    <w:rsid w:val="00A726E5"/>
    <w:rsid w:val="00A73BD9"/>
    <w:rsid w:val="00A759F0"/>
    <w:rsid w:val="00A80006"/>
    <w:rsid w:val="00A854C0"/>
    <w:rsid w:val="00A8667B"/>
    <w:rsid w:val="00A87C61"/>
    <w:rsid w:val="00A92ED0"/>
    <w:rsid w:val="00A9479E"/>
    <w:rsid w:val="00A95E23"/>
    <w:rsid w:val="00AA0D77"/>
    <w:rsid w:val="00AA7D25"/>
    <w:rsid w:val="00AB0E1C"/>
    <w:rsid w:val="00AB7271"/>
    <w:rsid w:val="00AC4206"/>
    <w:rsid w:val="00AC46A7"/>
    <w:rsid w:val="00AC4F6E"/>
    <w:rsid w:val="00AC6D5D"/>
    <w:rsid w:val="00AC72B5"/>
    <w:rsid w:val="00AD1F07"/>
    <w:rsid w:val="00AD6501"/>
    <w:rsid w:val="00AD792C"/>
    <w:rsid w:val="00AE2EDA"/>
    <w:rsid w:val="00AE4AED"/>
    <w:rsid w:val="00AF2ACC"/>
    <w:rsid w:val="00B04616"/>
    <w:rsid w:val="00B12A58"/>
    <w:rsid w:val="00B1444F"/>
    <w:rsid w:val="00B146E8"/>
    <w:rsid w:val="00B202D8"/>
    <w:rsid w:val="00B204CB"/>
    <w:rsid w:val="00B2225A"/>
    <w:rsid w:val="00B25236"/>
    <w:rsid w:val="00B2582D"/>
    <w:rsid w:val="00B25A26"/>
    <w:rsid w:val="00B32350"/>
    <w:rsid w:val="00B3288D"/>
    <w:rsid w:val="00B355CF"/>
    <w:rsid w:val="00B378C3"/>
    <w:rsid w:val="00B37E7E"/>
    <w:rsid w:val="00B4366E"/>
    <w:rsid w:val="00B43765"/>
    <w:rsid w:val="00B46174"/>
    <w:rsid w:val="00B546B6"/>
    <w:rsid w:val="00B55935"/>
    <w:rsid w:val="00B560D0"/>
    <w:rsid w:val="00B56CE8"/>
    <w:rsid w:val="00B6001F"/>
    <w:rsid w:val="00B604B3"/>
    <w:rsid w:val="00B67F7F"/>
    <w:rsid w:val="00B71990"/>
    <w:rsid w:val="00B7387B"/>
    <w:rsid w:val="00B74B6A"/>
    <w:rsid w:val="00B74F84"/>
    <w:rsid w:val="00B807E6"/>
    <w:rsid w:val="00B81A2B"/>
    <w:rsid w:val="00B85430"/>
    <w:rsid w:val="00B95F35"/>
    <w:rsid w:val="00B97D06"/>
    <w:rsid w:val="00BA61D1"/>
    <w:rsid w:val="00BB0F79"/>
    <w:rsid w:val="00BB3160"/>
    <w:rsid w:val="00BB5A8B"/>
    <w:rsid w:val="00BB5E07"/>
    <w:rsid w:val="00BD1A28"/>
    <w:rsid w:val="00BD3246"/>
    <w:rsid w:val="00BD4229"/>
    <w:rsid w:val="00BD54DF"/>
    <w:rsid w:val="00BE0521"/>
    <w:rsid w:val="00BE1C06"/>
    <w:rsid w:val="00BE28D7"/>
    <w:rsid w:val="00BE3563"/>
    <w:rsid w:val="00BE5655"/>
    <w:rsid w:val="00C11A27"/>
    <w:rsid w:val="00C125EF"/>
    <w:rsid w:val="00C1309C"/>
    <w:rsid w:val="00C15C3A"/>
    <w:rsid w:val="00C21AF9"/>
    <w:rsid w:val="00C24C36"/>
    <w:rsid w:val="00C26E2B"/>
    <w:rsid w:val="00C33527"/>
    <w:rsid w:val="00C34F06"/>
    <w:rsid w:val="00C43421"/>
    <w:rsid w:val="00C45324"/>
    <w:rsid w:val="00C467B5"/>
    <w:rsid w:val="00C50560"/>
    <w:rsid w:val="00C52177"/>
    <w:rsid w:val="00C53EA1"/>
    <w:rsid w:val="00C60658"/>
    <w:rsid w:val="00C6196A"/>
    <w:rsid w:val="00C63C62"/>
    <w:rsid w:val="00C651BA"/>
    <w:rsid w:val="00C66EE1"/>
    <w:rsid w:val="00C70FCE"/>
    <w:rsid w:val="00C77EBB"/>
    <w:rsid w:val="00C822DB"/>
    <w:rsid w:val="00C83E85"/>
    <w:rsid w:val="00C861DA"/>
    <w:rsid w:val="00C86E15"/>
    <w:rsid w:val="00C908D6"/>
    <w:rsid w:val="00C95E91"/>
    <w:rsid w:val="00C96D1D"/>
    <w:rsid w:val="00CA5BC1"/>
    <w:rsid w:val="00CB071F"/>
    <w:rsid w:val="00CB080B"/>
    <w:rsid w:val="00CB0DE0"/>
    <w:rsid w:val="00CB1772"/>
    <w:rsid w:val="00CB5BF5"/>
    <w:rsid w:val="00CB7637"/>
    <w:rsid w:val="00CC2706"/>
    <w:rsid w:val="00CD0B48"/>
    <w:rsid w:val="00CD3604"/>
    <w:rsid w:val="00CD511A"/>
    <w:rsid w:val="00CD729D"/>
    <w:rsid w:val="00CE0186"/>
    <w:rsid w:val="00CE35D2"/>
    <w:rsid w:val="00CE6ED4"/>
    <w:rsid w:val="00CF03C8"/>
    <w:rsid w:val="00CF073C"/>
    <w:rsid w:val="00CF3D30"/>
    <w:rsid w:val="00CF430D"/>
    <w:rsid w:val="00D07EFB"/>
    <w:rsid w:val="00D13BA6"/>
    <w:rsid w:val="00D15A66"/>
    <w:rsid w:val="00D1726C"/>
    <w:rsid w:val="00D20AA3"/>
    <w:rsid w:val="00D21A46"/>
    <w:rsid w:val="00D22BBB"/>
    <w:rsid w:val="00D257E8"/>
    <w:rsid w:val="00D304A7"/>
    <w:rsid w:val="00D358A0"/>
    <w:rsid w:val="00D41A86"/>
    <w:rsid w:val="00D47537"/>
    <w:rsid w:val="00D47907"/>
    <w:rsid w:val="00D50847"/>
    <w:rsid w:val="00D5616E"/>
    <w:rsid w:val="00D61DE5"/>
    <w:rsid w:val="00D62481"/>
    <w:rsid w:val="00D62DF0"/>
    <w:rsid w:val="00D80166"/>
    <w:rsid w:val="00D8295C"/>
    <w:rsid w:val="00D83848"/>
    <w:rsid w:val="00D84E86"/>
    <w:rsid w:val="00D87458"/>
    <w:rsid w:val="00D878AE"/>
    <w:rsid w:val="00D908B2"/>
    <w:rsid w:val="00D90AA5"/>
    <w:rsid w:val="00D9295A"/>
    <w:rsid w:val="00D9437B"/>
    <w:rsid w:val="00DA261F"/>
    <w:rsid w:val="00DA3256"/>
    <w:rsid w:val="00DA519D"/>
    <w:rsid w:val="00DA6463"/>
    <w:rsid w:val="00DB0101"/>
    <w:rsid w:val="00DB02A0"/>
    <w:rsid w:val="00DB05E6"/>
    <w:rsid w:val="00DB1AC2"/>
    <w:rsid w:val="00DB1B71"/>
    <w:rsid w:val="00DB3434"/>
    <w:rsid w:val="00DB5236"/>
    <w:rsid w:val="00DC5182"/>
    <w:rsid w:val="00DC5AF8"/>
    <w:rsid w:val="00DC7D46"/>
    <w:rsid w:val="00DD6BE7"/>
    <w:rsid w:val="00DE178E"/>
    <w:rsid w:val="00DE2289"/>
    <w:rsid w:val="00DF3062"/>
    <w:rsid w:val="00DF56EA"/>
    <w:rsid w:val="00DF5CCD"/>
    <w:rsid w:val="00E05270"/>
    <w:rsid w:val="00E06F29"/>
    <w:rsid w:val="00E07511"/>
    <w:rsid w:val="00E10857"/>
    <w:rsid w:val="00E146BA"/>
    <w:rsid w:val="00E176BB"/>
    <w:rsid w:val="00E267E7"/>
    <w:rsid w:val="00E31193"/>
    <w:rsid w:val="00E42AAC"/>
    <w:rsid w:val="00E44127"/>
    <w:rsid w:val="00E47052"/>
    <w:rsid w:val="00E512FE"/>
    <w:rsid w:val="00E558FA"/>
    <w:rsid w:val="00E572FB"/>
    <w:rsid w:val="00E61F0C"/>
    <w:rsid w:val="00E670B6"/>
    <w:rsid w:val="00E67339"/>
    <w:rsid w:val="00E72414"/>
    <w:rsid w:val="00E73346"/>
    <w:rsid w:val="00E82C44"/>
    <w:rsid w:val="00E83961"/>
    <w:rsid w:val="00E85560"/>
    <w:rsid w:val="00E85606"/>
    <w:rsid w:val="00E87324"/>
    <w:rsid w:val="00E8761D"/>
    <w:rsid w:val="00EA088E"/>
    <w:rsid w:val="00EA0F30"/>
    <w:rsid w:val="00EA4E8B"/>
    <w:rsid w:val="00EA6011"/>
    <w:rsid w:val="00EA7C7B"/>
    <w:rsid w:val="00EB1E56"/>
    <w:rsid w:val="00EB6B07"/>
    <w:rsid w:val="00EB7CC7"/>
    <w:rsid w:val="00EC077A"/>
    <w:rsid w:val="00EC1A09"/>
    <w:rsid w:val="00EC3AE5"/>
    <w:rsid w:val="00EC6842"/>
    <w:rsid w:val="00ED0E94"/>
    <w:rsid w:val="00ED3C83"/>
    <w:rsid w:val="00EE12F4"/>
    <w:rsid w:val="00EE27B1"/>
    <w:rsid w:val="00EE2CB7"/>
    <w:rsid w:val="00EE5188"/>
    <w:rsid w:val="00EF4C1C"/>
    <w:rsid w:val="00F02826"/>
    <w:rsid w:val="00F0369C"/>
    <w:rsid w:val="00F0769C"/>
    <w:rsid w:val="00F13BC4"/>
    <w:rsid w:val="00F1615A"/>
    <w:rsid w:val="00F203A0"/>
    <w:rsid w:val="00F2242B"/>
    <w:rsid w:val="00F30AE6"/>
    <w:rsid w:val="00F30FA1"/>
    <w:rsid w:val="00F311A8"/>
    <w:rsid w:val="00F37348"/>
    <w:rsid w:val="00F40211"/>
    <w:rsid w:val="00F515B4"/>
    <w:rsid w:val="00F55573"/>
    <w:rsid w:val="00F6067A"/>
    <w:rsid w:val="00F63E87"/>
    <w:rsid w:val="00F70893"/>
    <w:rsid w:val="00F70FD4"/>
    <w:rsid w:val="00F73DC1"/>
    <w:rsid w:val="00F74B00"/>
    <w:rsid w:val="00F751CC"/>
    <w:rsid w:val="00F7663C"/>
    <w:rsid w:val="00F76CE1"/>
    <w:rsid w:val="00F807AE"/>
    <w:rsid w:val="00F81231"/>
    <w:rsid w:val="00F81BD5"/>
    <w:rsid w:val="00F83CAD"/>
    <w:rsid w:val="00F8495E"/>
    <w:rsid w:val="00F940D8"/>
    <w:rsid w:val="00F96BBB"/>
    <w:rsid w:val="00FA3644"/>
    <w:rsid w:val="00FA70F5"/>
    <w:rsid w:val="00FB3114"/>
    <w:rsid w:val="00FB4656"/>
    <w:rsid w:val="00FB57C7"/>
    <w:rsid w:val="00FB5903"/>
    <w:rsid w:val="00FB638C"/>
    <w:rsid w:val="00FC4A7E"/>
    <w:rsid w:val="00FD4C13"/>
    <w:rsid w:val="00FD5591"/>
    <w:rsid w:val="00FE3B0D"/>
    <w:rsid w:val="00FE5038"/>
    <w:rsid w:val="00FE5D56"/>
    <w:rsid w:val="00FF418A"/>
    <w:rsid w:val="00FF4365"/>
    <w:rsid w:val="00FF6D6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B8CF96F-3C3D-47CC-886E-64F3344E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09A"/>
    <w:pPr>
      <w:spacing w:after="0" w:line="240" w:lineRule="auto"/>
      <w:jc w:val="both"/>
    </w:pPr>
    <w:rPr>
      <w:rFonts w:ascii="Calibri" w:eastAsia="Times New Roman" w:hAnsi="Calibri" w:cs="Times New Roman"/>
      <w:lang w:val="en-GB"/>
    </w:rPr>
  </w:style>
  <w:style w:type="paragraph" w:styleId="Heading1">
    <w:name w:val="heading 1"/>
    <w:basedOn w:val="Normal"/>
    <w:next w:val="Normal"/>
    <w:link w:val="Heading1Char"/>
    <w:autoRedefine/>
    <w:qFormat/>
    <w:rsid w:val="0012609A"/>
    <w:pPr>
      <w:keepNext/>
      <w:spacing w:before="360" w:after="120"/>
      <w:jc w:val="left"/>
      <w:outlineLvl w:val="0"/>
    </w:pPr>
    <w:rPr>
      <w:b/>
      <w:sz w:val="28"/>
      <w:szCs w:val="20"/>
      <w:lang w:val="bs-Latn-BA"/>
    </w:rPr>
  </w:style>
  <w:style w:type="paragraph" w:styleId="Heading2">
    <w:name w:val="heading 2"/>
    <w:basedOn w:val="Normal"/>
    <w:next w:val="Normal"/>
    <w:link w:val="Heading2Char"/>
    <w:unhideWhenUsed/>
    <w:qFormat/>
    <w:rsid w:val="003733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22A3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DB1B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A22A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30413C"/>
    <w:pPr>
      <w:spacing w:before="240" w:after="60"/>
      <w:outlineLvl w:val="5"/>
    </w:pPr>
    <w:rPr>
      <w:rFonts w:ascii="Times New Roman" w:hAnsi="Times New Roman"/>
      <w:b/>
      <w:bCs/>
    </w:rPr>
  </w:style>
  <w:style w:type="paragraph" w:styleId="Heading7">
    <w:name w:val="heading 7"/>
    <w:basedOn w:val="Normal"/>
    <w:next w:val="Normal"/>
    <w:link w:val="Heading7Char"/>
    <w:qFormat/>
    <w:rsid w:val="0030413C"/>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30413C"/>
    <w:pPr>
      <w:spacing w:before="240" w:after="60"/>
      <w:jc w:val="left"/>
      <w:outlineLvl w:val="7"/>
    </w:pPr>
    <w:rPr>
      <w:rFonts w:ascii="Times New Roman" w:hAnsi="Times New Roman"/>
      <w:i/>
      <w:sz w:val="24"/>
      <w:szCs w:val="20"/>
    </w:rPr>
  </w:style>
  <w:style w:type="paragraph" w:styleId="Heading9">
    <w:name w:val="heading 9"/>
    <w:basedOn w:val="Normal"/>
    <w:next w:val="Normal"/>
    <w:link w:val="Heading9Char"/>
    <w:unhideWhenUsed/>
    <w:qFormat/>
    <w:rsid w:val="009243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09A"/>
    <w:rPr>
      <w:rFonts w:ascii="Calibri" w:eastAsia="Times New Roman" w:hAnsi="Calibri" w:cs="Times New Roman"/>
      <w:b/>
      <w:sz w:val="28"/>
      <w:szCs w:val="20"/>
    </w:rPr>
  </w:style>
  <w:style w:type="character" w:styleId="Hyperlink">
    <w:name w:val="Hyperlink"/>
    <w:uiPriority w:val="99"/>
    <w:unhideWhenUsed/>
    <w:rsid w:val="0012609A"/>
    <w:rPr>
      <w:color w:val="0000FF"/>
      <w:u w:val="single"/>
    </w:rPr>
  </w:style>
  <w:style w:type="character" w:styleId="Strong">
    <w:name w:val="Strong"/>
    <w:qFormat/>
    <w:rsid w:val="0012609A"/>
    <w:rPr>
      <w:rFonts w:ascii="Times New Roman" w:hAnsi="Times New Roman" w:cs="Times New Roman" w:hint="default"/>
      <w:b/>
      <w:bCs/>
    </w:rPr>
  </w:style>
  <w:style w:type="paragraph" w:styleId="TOC1">
    <w:name w:val="toc 1"/>
    <w:basedOn w:val="Normal"/>
    <w:next w:val="Normal"/>
    <w:autoRedefine/>
    <w:uiPriority w:val="39"/>
    <w:unhideWhenUsed/>
    <w:rsid w:val="0012609A"/>
    <w:pPr>
      <w:tabs>
        <w:tab w:val="right" w:leader="dot" w:pos="9017"/>
      </w:tabs>
      <w:spacing w:before="120" w:after="120"/>
      <w:jc w:val="left"/>
    </w:pPr>
    <w:rPr>
      <w:b/>
      <w:bCs/>
      <w:caps/>
      <w:noProof/>
      <w:sz w:val="20"/>
      <w:szCs w:val="24"/>
    </w:rPr>
  </w:style>
  <w:style w:type="paragraph" w:styleId="TOC2">
    <w:name w:val="toc 2"/>
    <w:basedOn w:val="Normal"/>
    <w:next w:val="Normal"/>
    <w:autoRedefine/>
    <w:uiPriority w:val="39"/>
    <w:unhideWhenUsed/>
    <w:rsid w:val="0012609A"/>
    <w:pPr>
      <w:ind w:left="220"/>
      <w:jc w:val="left"/>
    </w:pPr>
    <w:rPr>
      <w:rFonts w:ascii="Times New Roman" w:hAnsi="Times New Roman"/>
      <w:smallCaps/>
      <w:sz w:val="20"/>
      <w:szCs w:val="24"/>
    </w:rPr>
  </w:style>
  <w:style w:type="paragraph" w:styleId="TOC3">
    <w:name w:val="toc 3"/>
    <w:basedOn w:val="Normal"/>
    <w:next w:val="Normal"/>
    <w:autoRedefine/>
    <w:uiPriority w:val="39"/>
    <w:unhideWhenUsed/>
    <w:rsid w:val="0012609A"/>
    <w:pPr>
      <w:ind w:left="440"/>
      <w:jc w:val="left"/>
    </w:pPr>
    <w:rPr>
      <w:rFonts w:ascii="Times New Roman" w:hAnsi="Times New Roman"/>
      <w:i/>
      <w:iCs/>
      <w:sz w:val="20"/>
      <w:szCs w:val="24"/>
    </w:rPr>
  </w:style>
  <w:style w:type="paragraph" w:customStyle="1" w:styleId="TEKST">
    <w:name w:val="TEKST"/>
    <w:basedOn w:val="Normal"/>
    <w:link w:val="TEKSTChar"/>
    <w:autoRedefine/>
    <w:rsid w:val="00250204"/>
    <w:pPr>
      <w:tabs>
        <w:tab w:val="left" w:pos="550"/>
      </w:tabs>
      <w:spacing w:before="120" w:line="276" w:lineRule="auto"/>
    </w:pPr>
    <w:rPr>
      <w:rFonts w:ascii="Times New Roman" w:hAnsi="Times New Roman"/>
      <w:noProof/>
      <w:lang w:val="hr-HR" w:eastAsia="de-DE"/>
    </w:rPr>
  </w:style>
  <w:style w:type="paragraph" w:styleId="ListParagraph">
    <w:name w:val="List Paragraph"/>
    <w:basedOn w:val="Normal"/>
    <w:link w:val="ListParagraphChar"/>
    <w:uiPriority w:val="34"/>
    <w:qFormat/>
    <w:rsid w:val="006F7F7B"/>
    <w:pPr>
      <w:ind w:left="720"/>
      <w:contextualSpacing/>
    </w:pPr>
  </w:style>
  <w:style w:type="character" w:customStyle="1" w:styleId="Heading3Char">
    <w:name w:val="Heading 3 Char"/>
    <w:basedOn w:val="DefaultParagraphFont"/>
    <w:link w:val="Heading3"/>
    <w:rsid w:val="00A22A38"/>
    <w:rPr>
      <w:rFonts w:asciiTheme="majorHAnsi" w:eastAsiaTheme="majorEastAsia" w:hAnsiTheme="majorHAnsi" w:cstheme="majorBidi"/>
      <w:color w:val="1F4D78" w:themeColor="accent1" w:themeShade="7F"/>
      <w:sz w:val="24"/>
      <w:szCs w:val="24"/>
      <w:lang w:val="en-GB"/>
    </w:rPr>
  </w:style>
  <w:style w:type="character" w:customStyle="1" w:styleId="Heading5Char">
    <w:name w:val="Heading 5 Char"/>
    <w:basedOn w:val="DefaultParagraphFont"/>
    <w:link w:val="Heading5"/>
    <w:uiPriority w:val="9"/>
    <w:semiHidden/>
    <w:rsid w:val="00A22A38"/>
    <w:rPr>
      <w:rFonts w:asciiTheme="majorHAnsi" w:eastAsiaTheme="majorEastAsia" w:hAnsiTheme="majorHAnsi" w:cstheme="majorBidi"/>
      <w:color w:val="2E74B5" w:themeColor="accent1" w:themeShade="BF"/>
      <w:lang w:val="en-GB"/>
    </w:rPr>
  </w:style>
  <w:style w:type="paragraph" w:styleId="NormalWeb">
    <w:name w:val="Normal (Web)"/>
    <w:basedOn w:val="Normal"/>
    <w:unhideWhenUsed/>
    <w:rsid w:val="00B546B6"/>
    <w:pPr>
      <w:spacing w:before="100" w:beforeAutospacing="1" w:after="100" w:afterAutospacing="1"/>
      <w:jc w:val="left"/>
    </w:pPr>
    <w:rPr>
      <w:rFonts w:ascii="Times New Roman" w:hAnsi="Times New Roman"/>
      <w:sz w:val="24"/>
      <w:szCs w:val="24"/>
      <w:lang w:val="en-US"/>
    </w:rPr>
  </w:style>
  <w:style w:type="character" w:customStyle="1" w:styleId="Heading2Char">
    <w:name w:val="Heading 2 Char"/>
    <w:basedOn w:val="DefaultParagraphFont"/>
    <w:link w:val="Heading2"/>
    <w:rsid w:val="00373300"/>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sid w:val="00373300"/>
    <w:pPr>
      <w:jc w:val="left"/>
    </w:pPr>
    <w:rPr>
      <w:rFonts w:ascii="Times New Roman" w:hAnsi="Times New Roman"/>
      <w:noProof/>
      <w:sz w:val="20"/>
      <w:szCs w:val="20"/>
      <w:lang w:val="hr-HR"/>
    </w:rPr>
  </w:style>
  <w:style w:type="character" w:customStyle="1" w:styleId="CommentTextChar">
    <w:name w:val="Comment Text Char"/>
    <w:basedOn w:val="DefaultParagraphFont"/>
    <w:link w:val="CommentText"/>
    <w:semiHidden/>
    <w:rsid w:val="00373300"/>
    <w:rPr>
      <w:rFonts w:ascii="Times New Roman" w:eastAsia="Times New Roman" w:hAnsi="Times New Roman" w:cs="Times New Roman"/>
      <w:noProof/>
      <w:sz w:val="20"/>
      <w:szCs w:val="20"/>
      <w:lang w:val="hr-HR"/>
    </w:rPr>
  </w:style>
  <w:style w:type="paragraph" w:styleId="Header">
    <w:name w:val="header"/>
    <w:basedOn w:val="Normal"/>
    <w:link w:val="HeaderChar"/>
    <w:unhideWhenUsed/>
    <w:rsid w:val="00373300"/>
    <w:pPr>
      <w:tabs>
        <w:tab w:val="center" w:pos="4320"/>
        <w:tab w:val="right" w:pos="8640"/>
      </w:tabs>
      <w:jc w:val="left"/>
    </w:pPr>
    <w:rPr>
      <w:rFonts w:ascii="Times New Roman" w:hAnsi="Times New Roman"/>
      <w:noProof/>
      <w:sz w:val="20"/>
      <w:szCs w:val="20"/>
      <w:lang w:val="hr-HR"/>
    </w:rPr>
  </w:style>
  <w:style w:type="character" w:customStyle="1" w:styleId="HeaderChar">
    <w:name w:val="Header Char"/>
    <w:basedOn w:val="DefaultParagraphFont"/>
    <w:link w:val="Header"/>
    <w:uiPriority w:val="99"/>
    <w:semiHidden/>
    <w:rsid w:val="00373300"/>
    <w:rPr>
      <w:rFonts w:ascii="Times New Roman" w:eastAsia="Times New Roman" w:hAnsi="Times New Roman" w:cs="Times New Roman"/>
      <w:noProof/>
      <w:sz w:val="20"/>
      <w:szCs w:val="20"/>
      <w:lang w:val="hr-HR"/>
    </w:rPr>
  </w:style>
  <w:style w:type="paragraph" w:styleId="Caption">
    <w:name w:val="caption"/>
    <w:basedOn w:val="Normal"/>
    <w:next w:val="Normal"/>
    <w:unhideWhenUsed/>
    <w:qFormat/>
    <w:rsid w:val="00373300"/>
    <w:rPr>
      <w:rFonts w:ascii="Arial" w:hAnsi="Arial" w:cs="Arial"/>
      <w:b/>
      <w:bCs/>
      <w:noProof/>
      <w:sz w:val="24"/>
      <w:szCs w:val="20"/>
      <w:lang w:val="hr-HR"/>
    </w:rPr>
  </w:style>
  <w:style w:type="character" w:customStyle="1" w:styleId="BodyTextIndent2Char">
    <w:name w:val="Body Text Indent 2 Char"/>
    <w:aliases w:val="uvlaka 2 Char"/>
    <w:basedOn w:val="DefaultParagraphFont"/>
    <w:link w:val="BodyTextIndent2"/>
    <w:semiHidden/>
    <w:locked/>
    <w:rsid w:val="00373300"/>
    <w:rPr>
      <w:rFonts w:ascii="Times New Roman" w:eastAsia="Times New Roman" w:hAnsi="Times New Roman" w:cs="Times New Roman"/>
      <w:noProof/>
      <w:sz w:val="24"/>
      <w:lang w:val="hr-HR"/>
    </w:rPr>
  </w:style>
  <w:style w:type="paragraph" w:styleId="BodyTextIndent2">
    <w:name w:val="Body Text Indent 2"/>
    <w:aliases w:val="uvlaka 2"/>
    <w:basedOn w:val="Normal"/>
    <w:link w:val="BodyTextIndent2Char"/>
    <w:unhideWhenUsed/>
    <w:rsid w:val="00373300"/>
    <w:pPr>
      <w:ind w:firstLine="993"/>
    </w:pPr>
    <w:rPr>
      <w:rFonts w:ascii="Times New Roman" w:hAnsi="Times New Roman"/>
      <w:noProof/>
      <w:sz w:val="24"/>
      <w:lang w:val="hr-HR"/>
    </w:rPr>
  </w:style>
  <w:style w:type="character" w:customStyle="1" w:styleId="BodyTextIndent2Char1">
    <w:name w:val="Body Text Indent 2 Char1"/>
    <w:basedOn w:val="DefaultParagraphFont"/>
    <w:uiPriority w:val="99"/>
    <w:semiHidden/>
    <w:rsid w:val="00373300"/>
    <w:rPr>
      <w:rFonts w:ascii="Calibri" w:eastAsia="Times New Roman" w:hAnsi="Calibri" w:cs="Times New Roman"/>
      <w:lang w:val="en-GB"/>
    </w:rPr>
  </w:style>
  <w:style w:type="paragraph" w:customStyle="1" w:styleId="Tekst0">
    <w:name w:val="Tekst"/>
    <w:basedOn w:val="NormalWeb"/>
    <w:rsid w:val="00373300"/>
    <w:pPr>
      <w:spacing w:before="120" w:beforeAutospacing="0" w:after="0" w:afterAutospacing="0"/>
      <w:jc w:val="both"/>
    </w:pPr>
    <w:rPr>
      <w:noProof/>
      <w:lang w:val="sl-SI"/>
    </w:rPr>
  </w:style>
  <w:style w:type="paragraph" w:customStyle="1" w:styleId="nabrajanjecrta">
    <w:name w:val="nabrajanje crta"/>
    <w:basedOn w:val="NormalWeb"/>
    <w:semiHidden/>
    <w:rsid w:val="00373300"/>
    <w:pPr>
      <w:numPr>
        <w:numId w:val="4"/>
      </w:numPr>
      <w:spacing w:before="120" w:beforeAutospacing="0" w:after="0" w:afterAutospacing="0"/>
      <w:ind w:left="714" w:hanging="357"/>
      <w:jc w:val="both"/>
    </w:pPr>
    <w:rPr>
      <w:noProof/>
      <w:color w:val="0A153E"/>
      <w:lang w:val="sl-SI"/>
    </w:rPr>
  </w:style>
  <w:style w:type="character" w:customStyle="1" w:styleId="hps">
    <w:name w:val="hps"/>
    <w:basedOn w:val="DefaultParagraphFont"/>
    <w:rsid w:val="00373300"/>
  </w:style>
  <w:style w:type="paragraph" w:styleId="BalloonText">
    <w:name w:val="Balloon Text"/>
    <w:basedOn w:val="Normal"/>
    <w:link w:val="BalloonTextChar"/>
    <w:uiPriority w:val="99"/>
    <w:semiHidden/>
    <w:unhideWhenUsed/>
    <w:rsid w:val="00DB1B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B71"/>
    <w:rPr>
      <w:rFonts w:ascii="Segoe UI" w:eastAsia="Times New Roman" w:hAnsi="Segoe UI" w:cs="Segoe UI"/>
      <w:sz w:val="18"/>
      <w:szCs w:val="18"/>
      <w:lang w:val="en-GB"/>
    </w:rPr>
  </w:style>
  <w:style w:type="character" w:customStyle="1" w:styleId="Heading4Char">
    <w:name w:val="Heading 4 Char"/>
    <w:basedOn w:val="DefaultParagraphFont"/>
    <w:link w:val="Heading4"/>
    <w:uiPriority w:val="9"/>
    <w:semiHidden/>
    <w:rsid w:val="00DB1B71"/>
    <w:rPr>
      <w:rFonts w:asciiTheme="majorHAnsi" w:eastAsiaTheme="majorEastAsia" w:hAnsiTheme="majorHAnsi" w:cstheme="majorBidi"/>
      <w:i/>
      <w:iCs/>
      <w:color w:val="2E74B5" w:themeColor="accent1" w:themeShade="BF"/>
      <w:lang w:val="en-GB"/>
    </w:rPr>
  </w:style>
  <w:style w:type="paragraph" w:customStyle="1" w:styleId="grafikon">
    <w:name w:val="grafikon"/>
    <w:basedOn w:val="Normal"/>
    <w:autoRedefine/>
    <w:rsid w:val="003066C2"/>
    <w:pPr>
      <w:spacing w:before="240" w:line="276" w:lineRule="auto"/>
      <w:ind w:right="-40"/>
      <w:jc w:val="left"/>
    </w:pPr>
    <w:rPr>
      <w:rFonts w:ascii="Times New Roman" w:hAnsi="Times New Roman"/>
      <w:iCs/>
      <w:noProof/>
      <w:sz w:val="20"/>
      <w:szCs w:val="20"/>
      <w:lang w:val="bs-Latn-BA" w:eastAsia="bs-Latn-BA"/>
    </w:rPr>
  </w:style>
  <w:style w:type="paragraph" w:customStyle="1" w:styleId="Tabele">
    <w:name w:val="Tabele"/>
    <w:basedOn w:val="Normal"/>
    <w:autoRedefine/>
    <w:rsid w:val="00DB1B71"/>
    <w:pPr>
      <w:spacing w:before="240" w:after="120"/>
      <w:jc w:val="left"/>
    </w:pPr>
    <w:rPr>
      <w:rFonts w:cs="Arial"/>
      <w:bCs/>
      <w:i/>
      <w:szCs w:val="20"/>
      <w:lang w:val="hr-HR"/>
    </w:rPr>
  </w:style>
  <w:style w:type="paragraph" w:styleId="BodyText">
    <w:name w:val="Body Text"/>
    <w:basedOn w:val="Normal"/>
    <w:link w:val="BodyTextChar"/>
    <w:unhideWhenUsed/>
    <w:rsid w:val="008E25EB"/>
    <w:pPr>
      <w:spacing w:after="120"/>
    </w:pPr>
  </w:style>
  <w:style w:type="character" w:customStyle="1" w:styleId="BodyTextChar">
    <w:name w:val="Body Text Char"/>
    <w:basedOn w:val="DefaultParagraphFont"/>
    <w:link w:val="BodyText"/>
    <w:uiPriority w:val="99"/>
    <w:semiHidden/>
    <w:rsid w:val="008E25EB"/>
    <w:rPr>
      <w:rFonts w:ascii="Calibri" w:eastAsia="Times New Roman" w:hAnsi="Calibri" w:cs="Times New Roman"/>
      <w:lang w:val="en-GB"/>
    </w:rPr>
  </w:style>
  <w:style w:type="character" w:styleId="Emphasis">
    <w:name w:val="Emphasis"/>
    <w:basedOn w:val="DefaultParagraphFont"/>
    <w:qFormat/>
    <w:rsid w:val="007C4AA9"/>
    <w:rPr>
      <w:i/>
      <w:iCs/>
    </w:rPr>
  </w:style>
  <w:style w:type="character" w:customStyle="1" w:styleId="longtext">
    <w:name w:val="long_text"/>
    <w:rsid w:val="007C4AA9"/>
  </w:style>
  <w:style w:type="table" w:styleId="TableGrid">
    <w:name w:val="Table Grid"/>
    <w:basedOn w:val="TableNormal"/>
    <w:rsid w:val="007C4AA9"/>
    <w:pPr>
      <w:spacing w:after="200" w:line="276" w:lineRule="auto"/>
    </w:pPr>
    <w:rPr>
      <w:rFonts w:ascii="Times New Roman" w:eastAsia="Times New Roman" w:hAnsi="Times New Roman" w:cs="Times New Roman"/>
      <w:sz w:val="20"/>
      <w:szCs w:val="20"/>
      <w:lang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73F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34"/>
    <w:locked/>
    <w:rsid w:val="00B6001F"/>
    <w:rPr>
      <w:rFonts w:ascii="Calibri" w:eastAsia="Times New Roman" w:hAnsi="Calibri" w:cs="Times New Roman"/>
      <w:lang w:val="en-GB"/>
    </w:rPr>
  </w:style>
  <w:style w:type="character" w:customStyle="1" w:styleId="mtext">
    <w:name w:val="mtext"/>
    <w:basedOn w:val="DefaultParagraphFont"/>
    <w:rsid w:val="00B6001F"/>
    <w:rPr>
      <w:rFonts w:cs="Times New Roman"/>
    </w:rPr>
  </w:style>
  <w:style w:type="paragraph" w:customStyle="1" w:styleId="tabele0">
    <w:name w:val="tabele"/>
    <w:basedOn w:val="Normal"/>
    <w:rsid w:val="00B6001F"/>
    <w:pPr>
      <w:ind w:left="1134" w:hanging="1134"/>
      <w:jc w:val="left"/>
    </w:pPr>
    <w:rPr>
      <w:rFonts w:ascii="Times New Roman" w:eastAsia="Calibri" w:hAnsi="Times New Roman"/>
      <w:i/>
      <w:iCs/>
      <w:lang w:val="en-US" w:eastAsia="hr-HR"/>
    </w:rPr>
  </w:style>
  <w:style w:type="character" w:customStyle="1" w:styleId="Heading9Char">
    <w:name w:val="Heading 9 Char"/>
    <w:basedOn w:val="DefaultParagraphFont"/>
    <w:link w:val="Heading9"/>
    <w:uiPriority w:val="9"/>
    <w:semiHidden/>
    <w:rsid w:val="0092435E"/>
    <w:rPr>
      <w:rFonts w:asciiTheme="majorHAnsi" w:eastAsiaTheme="majorEastAsia" w:hAnsiTheme="majorHAnsi" w:cstheme="majorBidi"/>
      <w:i/>
      <w:iCs/>
      <w:color w:val="272727" w:themeColor="text1" w:themeTint="D8"/>
      <w:sz w:val="21"/>
      <w:szCs w:val="21"/>
      <w:lang w:val="en-GB"/>
    </w:rPr>
  </w:style>
  <w:style w:type="table" w:styleId="LightList-Accent5">
    <w:name w:val="Light List Accent 5"/>
    <w:basedOn w:val="TableNormal"/>
    <w:uiPriority w:val="61"/>
    <w:rsid w:val="0092435E"/>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TEKSTChar">
    <w:name w:val="TEKST Char"/>
    <w:link w:val="TEKST"/>
    <w:rsid w:val="00250204"/>
    <w:rPr>
      <w:rFonts w:ascii="Times New Roman" w:eastAsia="Times New Roman" w:hAnsi="Times New Roman" w:cs="Times New Roman"/>
      <w:noProof/>
      <w:lang w:val="hr-HR" w:eastAsia="de-DE"/>
    </w:rPr>
  </w:style>
  <w:style w:type="paragraph" w:styleId="EndnoteText">
    <w:name w:val="endnote text"/>
    <w:basedOn w:val="Normal"/>
    <w:link w:val="EndnoteTextChar"/>
    <w:uiPriority w:val="99"/>
    <w:unhideWhenUsed/>
    <w:rsid w:val="0092435E"/>
    <w:pPr>
      <w:jc w:val="left"/>
    </w:pPr>
    <w:rPr>
      <w:rFonts w:ascii="Times New Roman" w:hAnsi="Times New Roman"/>
      <w:sz w:val="20"/>
      <w:szCs w:val="20"/>
      <w:lang w:val="en-US" w:eastAsia="hr-HR"/>
    </w:rPr>
  </w:style>
  <w:style w:type="character" w:customStyle="1" w:styleId="EndnoteTextChar">
    <w:name w:val="Endnote Text Char"/>
    <w:basedOn w:val="DefaultParagraphFont"/>
    <w:link w:val="EndnoteText"/>
    <w:uiPriority w:val="99"/>
    <w:rsid w:val="0092435E"/>
    <w:rPr>
      <w:rFonts w:ascii="Times New Roman" w:eastAsia="Times New Roman" w:hAnsi="Times New Roman" w:cs="Times New Roman"/>
      <w:sz w:val="20"/>
      <w:szCs w:val="20"/>
      <w:lang w:val="en-US" w:eastAsia="hr-HR"/>
    </w:rPr>
  </w:style>
  <w:style w:type="paragraph" w:styleId="FootnoteText">
    <w:name w:val="footnote text"/>
    <w:basedOn w:val="Normal"/>
    <w:link w:val="FootnoteTextChar"/>
    <w:semiHidden/>
    <w:rsid w:val="0092435E"/>
    <w:pPr>
      <w:jc w:val="left"/>
    </w:pPr>
    <w:rPr>
      <w:rFonts w:ascii="4D Times Roman" w:hAnsi="4D Times Roman"/>
      <w:sz w:val="20"/>
      <w:szCs w:val="20"/>
      <w:lang w:eastAsia="hr-HR"/>
    </w:rPr>
  </w:style>
  <w:style w:type="character" w:customStyle="1" w:styleId="FootnoteTextChar">
    <w:name w:val="Footnote Text Char"/>
    <w:basedOn w:val="DefaultParagraphFont"/>
    <w:link w:val="FootnoteText"/>
    <w:semiHidden/>
    <w:rsid w:val="0092435E"/>
    <w:rPr>
      <w:rFonts w:ascii="4D Times Roman" w:eastAsia="Times New Roman" w:hAnsi="4D Times Roman" w:cs="Times New Roman"/>
      <w:sz w:val="20"/>
      <w:szCs w:val="20"/>
      <w:lang w:val="en-GB" w:eastAsia="hr-HR"/>
    </w:rPr>
  </w:style>
  <w:style w:type="character" w:styleId="FootnoteReference">
    <w:name w:val="footnote reference"/>
    <w:basedOn w:val="DefaultParagraphFont"/>
    <w:semiHidden/>
    <w:rsid w:val="0092435E"/>
    <w:rPr>
      <w:vertAlign w:val="superscript"/>
    </w:rPr>
  </w:style>
  <w:style w:type="paragraph" w:customStyle="1" w:styleId="Grafikoni">
    <w:name w:val="Grafikoni"/>
    <w:basedOn w:val="Normal"/>
    <w:autoRedefine/>
    <w:rsid w:val="004B747B"/>
    <w:pPr>
      <w:keepNext/>
      <w:widowControl w:val="0"/>
      <w:spacing w:before="240" w:after="120"/>
      <w:jc w:val="left"/>
    </w:pPr>
    <w:rPr>
      <w:rFonts w:ascii="Times New Roman" w:hAnsi="Times New Roman"/>
      <w:bCs/>
      <w:i/>
      <w:lang w:val="hr-HR" w:eastAsia="bs-Latn-BA"/>
    </w:rPr>
  </w:style>
  <w:style w:type="table" w:styleId="MediumGrid3-Accent1">
    <w:name w:val="Medium Grid 3 Accent 1"/>
    <w:basedOn w:val="TableNormal"/>
    <w:uiPriority w:val="69"/>
    <w:rsid w:val="0092435E"/>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NoSpacing">
    <w:name w:val="No Spacing"/>
    <w:link w:val="NoSpacingChar"/>
    <w:uiPriority w:val="1"/>
    <w:qFormat/>
    <w:rsid w:val="0030413C"/>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uiPriority w:val="1"/>
    <w:rsid w:val="0030413C"/>
    <w:rPr>
      <w:rFonts w:ascii="Times New Roman" w:eastAsia="Times New Roman" w:hAnsi="Times New Roman" w:cs="Times New Roman"/>
      <w:sz w:val="24"/>
      <w:szCs w:val="24"/>
      <w:lang w:val="en-GB"/>
    </w:rPr>
  </w:style>
  <w:style w:type="paragraph" w:customStyle="1" w:styleId="TekstCharChar1">
    <w:name w:val="Tekst Char Char1"/>
    <w:basedOn w:val="Normal"/>
    <w:link w:val="TekstCharChar1Char"/>
    <w:rsid w:val="0030413C"/>
    <w:pPr>
      <w:spacing w:before="120"/>
    </w:pPr>
    <w:rPr>
      <w:szCs w:val="24"/>
      <w:lang w:val="hr-HR"/>
    </w:rPr>
  </w:style>
  <w:style w:type="character" w:customStyle="1" w:styleId="TekstCharChar1Char">
    <w:name w:val="Tekst Char Char1 Char"/>
    <w:basedOn w:val="DefaultParagraphFont"/>
    <w:link w:val="TekstCharChar1"/>
    <w:locked/>
    <w:rsid w:val="0030413C"/>
    <w:rPr>
      <w:rFonts w:ascii="Calibri" w:eastAsia="Times New Roman" w:hAnsi="Calibri" w:cs="Times New Roman"/>
      <w:szCs w:val="24"/>
      <w:lang w:val="hr-HR"/>
    </w:rPr>
  </w:style>
  <w:style w:type="paragraph" w:styleId="Footer">
    <w:name w:val="footer"/>
    <w:basedOn w:val="Normal"/>
    <w:link w:val="FooterChar"/>
    <w:uiPriority w:val="99"/>
    <w:unhideWhenUsed/>
    <w:rsid w:val="0030413C"/>
    <w:pPr>
      <w:tabs>
        <w:tab w:val="center" w:pos="4680"/>
        <w:tab w:val="right" w:pos="9360"/>
      </w:tabs>
    </w:pPr>
  </w:style>
  <w:style w:type="character" w:customStyle="1" w:styleId="FooterChar">
    <w:name w:val="Footer Char"/>
    <w:basedOn w:val="DefaultParagraphFont"/>
    <w:link w:val="Footer"/>
    <w:uiPriority w:val="99"/>
    <w:rsid w:val="0030413C"/>
    <w:rPr>
      <w:rFonts w:ascii="Calibri" w:eastAsia="Times New Roman" w:hAnsi="Calibri" w:cs="Times New Roman"/>
      <w:lang w:val="en-GB"/>
    </w:rPr>
  </w:style>
  <w:style w:type="character" w:customStyle="1" w:styleId="Heading6Char">
    <w:name w:val="Heading 6 Char"/>
    <w:basedOn w:val="DefaultParagraphFont"/>
    <w:link w:val="Heading6"/>
    <w:rsid w:val="0030413C"/>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30413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30413C"/>
    <w:rPr>
      <w:rFonts w:ascii="Times New Roman" w:eastAsia="Times New Roman" w:hAnsi="Times New Roman" w:cs="Times New Roman"/>
      <w:i/>
      <w:sz w:val="24"/>
      <w:szCs w:val="20"/>
      <w:lang w:val="en-GB"/>
    </w:rPr>
  </w:style>
  <w:style w:type="character" w:customStyle="1" w:styleId="Heading2CharCharChar">
    <w:name w:val="Heading 2 Char Char Char"/>
    <w:rsid w:val="0030413C"/>
    <w:rPr>
      <w:bCs/>
      <w:iCs/>
      <w:sz w:val="22"/>
      <w:szCs w:val="22"/>
      <w:lang w:val="bs-Latn-BA" w:eastAsia="en-US" w:bidi="ar-SA"/>
    </w:rPr>
  </w:style>
  <w:style w:type="paragraph" w:styleId="BodyText2">
    <w:name w:val="Body Text 2"/>
    <w:basedOn w:val="Normal"/>
    <w:link w:val="BodyText2Char"/>
    <w:rsid w:val="0030413C"/>
    <w:pPr>
      <w:spacing w:after="120" w:line="480" w:lineRule="auto"/>
    </w:pPr>
    <w:rPr>
      <w:rFonts w:ascii="Times New Roman" w:hAnsi="Times New Roman"/>
    </w:rPr>
  </w:style>
  <w:style w:type="character" w:customStyle="1" w:styleId="BodyText2Char">
    <w:name w:val="Body Text 2 Char"/>
    <w:basedOn w:val="DefaultParagraphFont"/>
    <w:link w:val="BodyText2"/>
    <w:rsid w:val="0030413C"/>
    <w:rPr>
      <w:rFonts w:ascii="Times New Roman" w:eastAsia="Times New Roman" w:hAnsi="Times New Roman" w:cs="Times New Roman"/>
      <w:lang w:val="en-GB"/>
    </w:rPr>
  </w:style>
  <w:style w:type="paragraph" w:customStyle="1" w:styleId="tekstCharCharChar">
    <w:name w:val="tekst Char Char Char"/>
    <w:basedOn w:val="Normal"/>
    <w:rsid w:val="0030413C"/>
    <w:pPr>
      <w:spacing w:before="120"/>
      <w:ind w:firstLine="720"/>
    </w:pPr>
    <w:rPr>
      <w:rFonts w:ascii="Times New Roman" w:hAnsi="Times New Roman"/>
      <w:sz w:val="24"/>
      <w:szCs w:val="24"/>
      <w:lang w:val="hr-HR"/>
    </w:rPr>
  </w:style>
  <w:style w:type="character" w:customStyle="1" w:styleId="tekstCharCharCharChar">
    <w:name w:val="tekst Char Char Char Char"/>
    <w:rsid w:val="0030413C"/>
    <w:rPr>
      <w:sz w:val="24"/>
      <w:szCs w:val="24"/>
      <w:lang w:val="hr-HR" w:eastAsia="en-US" w:bidi="ar-SA"/>
    </w:rPr>
  </w:style>
  <w:style w:type="paragraph" w:styleId="BodyTextIndent">
    <w:name w:val="Body Text Indent"/>
    <w:basedOn w:val="Normal"/>
    <w:link w:val="BodyTextIndentChar"/>
    <w:rsid w:val="0030413C"/>
    <w:pPr>
      <w:spacing w:after="120"/>
      <w:ind w:left="283"/>
    </w:pPr>
    <w:rPr>
      <w:rFonts w:ascii="Times New Roman" w:hAnsi="Times New Roman"/>
    </w:rPr>
  </w:style>
  <w:style w:type="character" w:customStyle="1" w:styleId="BodyTextIndentChar">
    <w:name w:val="Body Text Indent Char"/>
    <w:basedOn w:val="DefaultParagraphFont"/>
    <w:link w:val="BodyTextIndent"/>
    <w:rsid w:val="0030413C"/>
    <w:rPr>
      <w:rFonts w:ascii="Times New Roman" w:eastAsia="Times New Roman" w:hAnsi="Times New Roman" w:cs="Times New Roman"/>
      <w:lang w:val="en-GB"/>
    </w:rPr>
  </w:style>
  <w:style w:type="paragraph" w:styleId="BodyText3">
    <w:name w:val="Body Text 3"/>
    <w:basedOn w:val="Normal"/>
    <w:link w:val="BodyText3Char"/>
    <w:rsid w:val="0030413C"/>
    <w:pPr>
      <w:spacing w:line="360" w:lineRule="auto"/>
    </w:pPr>
    <w:rPr>
      <w:rFonts w:ascii="Arial Narrow" w:hAnsi="Arial Narrow"/>
      <w:szCs w:val="20"/>
      <w:lang w:val="en-US"/>
    </w:rPr>
  </w:style>
  <w:style w:type="character" w:customStyle="1" w:styleId="BodyText3Char">
    <w:name w:val="Body Text 3 Char"/>
    <w:basedOn w:val="DefaultParagraphFont"/>
    <w:link w:val="BodyText3"/>
    <w:rsid w:val="0030413C"/>
    <w:rPr>
      <w:rFonts w:ascii="Arial Narrow" w:eastAsia="Times New Roman" w:hAnsi="Arial Narrow" w:cs="Times New Roman"/>
      <w:szCs w:val="20"/>
      <w:lang w:val="en-US"/>
    </w:rPr>
  </w:style>
  <w:style w:type="paragraph" w:customStyle="1" w:styleId="BodyTextuvlaka3">
    <w:name w:val="Body Text.uvlaka 3"/>
    <w:basedOn w:val="Normal"/>
    <w:rsid w:val="0030413C"/>
    <w:rPr>
      <w:rFonts w:ascii="Arial" w:hAnsi="Arial"/>
      <w:sz w:val="24"/>
      <w:szCs w:val="20"/>
      <w:lang w:val="en-US"/>
    </w:rPr>
  </w:style>
  <w:style w:type="paragraph" w:styleId="Salutation">
    <w:name w:val="Salutation"/>
    <w:basedOn w:val="Normal"/>
    <w:next w:val="Normal"/>
    <w:link w:val="SalutationChar"/>
    <w:rsid w:val="0030413C"/>
    <w:pPr>
      <w:spacing w:before="220" w:after="220" w:line="220" w:lineRule="atLeast"/>
      <w:jc w:val="left"/>
    </w:pPr>
    <w:rPr>
      <w:rFonts w:ascii="Arial" w:hAnsi="Arial"/>
      <w:spacing w:val="-5"/>
      <w:sz w:val="20"/>
      <w:szCs w:val="20"/>
      <w:lang w:val="en-US"/>
    </w:rPr>
  </w:style>
  <w:style w:type="character" w:customStyle="1" w:styleId="SalutationChar">
    <w:name w:val="Salutation Char"/>
    <w:basedOn w:val="DefaultParagraphFont"/>
    <w:link w:val="Salutation"/>
    <w:rsid w:val="0030413C"/>
    <w:rPr>
      <w:rFonts w:ascii="Arial" w:eastAsia="Times New Roman" w:hAnsi="Arial" w:cs="Times New Roman"/>
      <w:spacing w:val="-5"/>
      <w:sz w:val="20"/>
      <w:szCs w:val="20"/>
      <w:lang w:val="en-US"/>
    </w:rPr>
  </w:style>
  <w:style w:type="paragraph" w:customStyle="1" w:styleId="TekstCharChar">
    <w:name w:val="Tekst Char Char"/>
    <w:basedOn w:val="tekstCharCharChar"/>
    <w:rsid w:val="0030413C"/>
    <w:pPr>
      <w:ind w:firstLine="0"/>
    </w:pPr>
    <w:rPr>
      <w:sz w:val="22"/>
    </w:rPr>
  </w:style>
  <w:style w:type="character" w:customStyle="1" w:styleId="TekstCharCharChar0">
    <w:name w:val="Tekst Char Char Char"/>
    <w:rsid w:val="0030413C"/>
    <w:rPr>
      <w:sz w:val="22"/>
      <w:szCs w:val="24"/>
      <w:lang w:val="hr-HR" w:eastAsia="en-US" w:bidi="ar-SA"/>
    </w:rPr>
  </w:style>
  <w:style w:type="character" w:styleId="PageNumber">
    <w:name w:val="page number"/>
    <w:basedOn w:val="DefaultParagraphFont"/>
    <w:rsid w:val="0030413C"/>
  </w:style>
  <w:style w:type="paragraph" w:styleId="Title">
    <w:name w:val="Title"/>
    <w:basedOn w:val="Normal"/>
    <w:link w:val="TitleChar"/>
    <w:qFormat/>
    <w:rsid w:val="0030413C"/>
    <w:pPr>
      <w:jc w:val="center"/>
    </w:pPr>
    <w:rPr>
      <w:rFonts w:ascii="Times New Roman" w:hAnsi="Times New Roman"/>
      <w:b/>
      <w:bCs/>
      <w:i/>
      <w:iCs/>
      <w:sz w:val="24"/>
      <w:szCs w:val="24"/>
      <w:lang w:val="hr-HR"/>
    </w:rPr>
  </w:style>
  <w:style w:type="character" w:customStyle="1" w:styleId="TitleChar">
    <w:name w:val="Title Char"/>
    <w:basedOn w:val="DefaultParagraphFont"/>
    <w:link w:val="Title"/>
    <w:rsid w:val="0030413C"/>
    <w:rPr>
      <w:rFonts w:ascii="Times New Roman" w:eastAsia="Times New Roman" w:hAnsi="Times New Roman" w:cs="Times New Roman"/>
      <w:b/>
      <w:bCs/>
      <w:i/>
      <w:iCs/>
      <w:sz w:val="24"/>
      <w:szCs w:val="24"/>
      <w:lang w:val="hr-HR"/>
    </w:rPr>
  </w:style>
  <w:style w:type="paragraph" w:styleId="BodyTextIndent3">
    <w:name w:val="Body Text Indent 3"/>
    <w:basedOn w:val="Normal"/>
    <w:link w:val="BodyTextIndent3Char"/>
    <w:rsid w:val="0030413C"/>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30413C"/>
    <w:rPr>
      <w:rFonts w:ascii="Times New Roman" w:eastAsia="Times New Roman" w:hAnsi="Times New Roman" w:cs="Times New Roman"/>
      <w:sz w:val="16"/>
      <w:szCs w:val="16"/>
      <w:lang w:val="en-GB"/>
    </w:rPr>
  </w:style>
  <w:style w:type="paragraph" w:customStyle="1" w:styleId="tekstChar0">
    <w:name w:val="tekst Char"/>
    <w:basedOn w:val="Normal"/>
    <w:rsid w:val="0030413C"/>
    <w:pPr>
      <w:spacing w:before="120"/>
      <w:ind w:firstLine="720"/>
    </w:pPr>
    <w:rPr>
      <w:rFonts w:ascii="Times New Roman" w:hAnsi="Times New Roman"/>
      <w:sz w:val="24"/>
      <w:szCs w:val="24"/>
      <w:lang w:val="hr-HR"/>
    </w:rPr>
  </w:style>
  <w:style w:type="character" w:customStyle="1" w:styleId="TekstCharCharChar1">
    <w:name w:val="Tekst Char Char Char1"/>
    <w:rsid w:val="0030413C"/>
    <w:rPr>
      <w:sz w:val="22"/>
      <w:szCs w:val="24"/>
      <w:lang w:val="hr-HR" w:eastAsia="en-US" w:bidi="ar-SA"/>
    </w:rPr>
  </w:style>
  <w:style w:type="paragraph" w:customStyle="1" w:styleId="grafikoni0">
    <w:name w:val="grafikoni"/>
    <w:basedOn w:val="Normal"/>
    <w:rsid w:val="0030413C"/>
    <w:pPr>
      <w:jc w:val="right"/>
    </w:pPr>
    <w:rPr>
      <w:rFonts w:ascii="Times New Roman" w:hAnsi="Times New Roman"/>
      <w:i/>
      <w:sz w:val="20"/>
      <w:szCs w:val="20"/>
      <w:lang w:val="hr-HR"/>
    </w:rPr>
  </w:style>
  <w:style w:type="character" w:customStyle="1" w:styleId="grafikoniChar">
    <w:name w:val="grafikoni Char"/>
    <w:rsid w:val="0030413C"/>
    <w:rPr>
      <w:i/>
      <w:lang w:val="hr-HR" w:eastAsia="en-US" w:bidi="ar-SA"/>
    </w:rPr>
  </w:style>
  <w:style w:type="character" w:customStyle="1" w:styleId="tekstCharChar0">
    <w:name w:val="tekst Char Char"/>
    <w:rsid w:val="0030413C"/>
    <w:rPr>
      <w:sz w:val="24"/>
      <w:szCs w:val="24"/>
      <w:lang w:val="hr-HR" w:eastAsia="en-US" w:bidi="ar-SA"/>
    </w:rPr>
  </w:style>
  <w:style w:type="character" w:customStyle="1" w:styleId="TekstCharCharCharChar0">
    <w:name w:val="Tekst Char Char Char Char"/>
    <w:rsid w:val="0030413C"/>
    <w:rPr>
      <w:sz w:val="22"/>
      <w:szCs w:val="24"/>
      <w:lang w:val="hr-HR" w:eastAsia="en-US" w:bidi="ar-SA"/>
    </w:rPr>
  </w:style>
  <w:style w:type="character" w:customStyle="1" w:styleId="grafikoniCharChar">
    <w:name w:val="grafikoni Char Char"/>
    <w:rsid w:val="0030413C"/>
    <w:rPr>
      <w:i/>
      <w:sz w:val="22"/>
      <w:szCs w:val="22"/>
      <w:lang w:val="hr-HR" w:eastAsia="en-US" w:bidi="ar-SA"/>
    </w:rPr>
  </w:style>
  <w:style w:type="paragraph" w:customStyle="1" w:styleId="TekstChar1">
    <w:name w:val="Tekst Char"/>
    <w:basedOn w:val="Normal"/>
    <w:rsid w:val="0030413C"/>
    <w:pPr>
      <w:spacing w:before="120"/>
    </w:pPr>
    <w:rPr>
      <w:rFonts w:ascii="Times New Roman" w:hAnsi="Times New Roman"/>
      <w:szCs w:val="24"/>
      <w:lang w:val="hr-HR"/>
    </w:rPr>
  </w:style>
  <w:style w:type="paragraph" w:styleId="BlockText">
    <w:name w:val="Block Text"/>
    <w:basedOn w:val="Normal"/>
    <w:rsid w:val="0030413C"/>
    <w:pPr>
      <w:widowControl w:val="0"/>
      <w:autoSpaceDE w:val="0"/>
      <w:autoSpaceDN w:val="0"/>
      <w:adjustRightInd w:val="0"/>
      <w:ind w:left="214" w:right="-20"/>
      <w:jc w:val="left"/>
    </w:pPr>
    <w:rPr>
      <w:rFonts w:ascii="Times New Roman" w:hAnsi="Times New Roman"/>
      <w:w w:val="103"/>
      <w:sz w:val="20"/>
      <w:szCs w:val="20"/>
    </w:rPr>
  </w:style>
  <w:style w:type="paragraph" w:customStyle="1" w:styleId="xl29">
    <w:name w:val="xl29"/>
    <w:basedOn w:val="Normal"/>
    <w:rsid w:val="0030413C"/>
    <w:pPr>
      <w:pBdr>
        <w:bottom w:val="single" w:sz="4" w:space="0" w:color="auto"/>
      </w:pBdr>
      <w:spacing w:before="100" w:after="100"/>
      <w:jc w:val="left"/>
    </w:pPr>
    <w:rPr>
      <w:rFonts w:ascii="Arial" w:hAnsi="Arial"/>
      <w:i/>
      <w:sz w:val="17"/>
      <w:szCs w:val="20"/>
      <w:lang w:eastAsia="bs-Latn-BA"/>
    </w:rPr>
  </w:style>
  <w:style w:type="paragraph" w:customStyle="1" w:styleId="Poglavlje2">
    <w:name w:val="Poglavlje 2"/>
    <w:basedOn w:val="Heading2"/>
    <w:link w:val="Poglavlje2Char"/>
    <w:qFormat/>
    <w:rsid w:val="00D1726C"/>
    <w:rPr>
      <w:rFonts w:ascii="Times New Roman" w:hAnsi="Times New Roman"/>
      <w:b/>
      <w:color w:val="auto"/>
      <w:sz w:val="22"/>
    </w:rPr>
  </w:style>
  <w:style w:type="paragraph" w:customStyle="1" w:styleId="Poglavlje1">
    <w:name w:val="Poglavlje 1"/>
    <w:basedOn w:val="Heading1"/>
    <w:link w:val="Poglavlje1Char"/>
    <w:qFormat/>
    <w:rsid w:val="00A131AD"/>
    <w:pPr>
      <w:numPr>
        <w:numId w:val="3"/>
      </w:numPr>
    </w:pPr>
    <w:rPr>
      <w:rFonts w:ascii="Times New Roman" w:hAnsi="Times New Roman"/>
      <w:sz w:val="22"/>
    </w:rPr>
  </w:style>
  <w:style w:type="character" w:customStyle="1" w:styleId="Poglavlje2Char">
    <w:name w:val="Poglavlje 2 Char"/>
    <w:basedOn w:val="Heading2Char"/>
    <w:link w:val="Poglavlje2"/>
    <w:rsid w:val="00D1726C"/>
    <w:rPr>
      <w:rFonts w:ascii="Times New Roman" w:eastAsiaTheme="majorEastAsia" w:hAnsi="Times New Roman" w:cstheme="majorBidi"/>
      <w:b/>
      <w:color w:val="2E74B5" w:themeColor="accent1" w:themeShade="BF"/>
      <w:sz w:val="26"/>
      <w:szCs w:val="26"/>
      <w:lang w:val="en-GB"/>
    </w:rPr>
  </w:style>
  <w:style w:type="paragraph" w:customStyle="1" w:styleId="Poglavlje3">
    <w:name w:val="Poglavlje 3"/>
    <w:basedOn w:val="Heading3"/>
    <w:link w:val="Poglavlje3Char"/>
    <w:qFormat/>
    <w:rsid w:val="000E1376"/>
    <w:rPr>
      <w:rFonts w:ascii="Times New Roman" w:hAnsi="Times New Roman" w:cs="Times New Roman"/>
      <w:b/>
      <w:bCs/>
      <w:i/>
      <w:iCs/>
      <w:color w:val="auto"/>
      <w:sz w:val="22"/>
      <w:szCs w:val="22"/>
    </w:rPr>
  </w:style>
  <w:style w:type="character" w:customStyle="1" w:styleId="Poglavlje1Char">
    <w:name w:val="Poglavlje 1 Char"/>
    <w:basedOn w:val="Heading1Char"/>
    <w:link w:val="Poglavlje1"/>
    <w:rsid w:val="00A131AD"/>
    <w:rPr>
      <w:rFonts w:ascii="Times New Roman" w:eastAsia="Times New Roman" w:hAnsi="Times New Roman" w:cs="Times New Roman"/>
      <w:b/>
      <w:sz w:val="28"/>
      <w:szCs w:val="20"/>
    </w:rPr>
  </w:style>
  <w:style w:type="paragraph" w:customStyle="1" w:styleId="Poglavlje4">
    <w:name w:val="Poglavlje 4"/>
    <w:basedOn w:val="Heading4"/>
    <w:link w:val="Poglavlje4Char"/>
    <w:qFormat/>
    <w:rsid w:val="007B665A"/>
    <w:pPr>
      <w:spacing w:after="160" w:line="259" w:lineRule="auto"/>
    </w:pPr>
    <w:rPr>
      <w:rFonts w:ascii="Times New Roman" w:eastAsiaTheme="minorHAnsi" w:hAnsi="Times New Roman"/>
      <w:b/>
      <w:color w:val="auto"/>
      <w:lang w:val="bs-Latn-BA"/>
    </w:rPr>
  </w:style>
  <w:style w:type="character" w:customStyle="1" w:styleId="Poglavlje3Char">
    <w:name w:val="Poglavlje 3 Char"/>
    <w:basedOn w:val="Heading3Char"/>
    <w:link w:val="Poglavlje3"/>
    <w:rsid w:val="000E1376"/>
    <w:rPr>
      <w:rFonts w:ascii="Times New Roman" w:eastAsiaTheme="majorEastAsia" w:hAnsi="Times New Roman" w:cs="Times New Roman"/>
      <w:b/>
      <w:bCs/>
      <w:i/>
      <w:iCs/>
      <w:color w:val="1F4D78" w:themeColor="accent1" w:themeShade="7F"/>
      <w:sz w:val="24"/>
      <w:szCs w:val="24"/>
      <w:lang w:val="en-GB"/>
    </w:rPr>
  </w:style>
  <w:style w:type="paragraph" w:customStyle="1" w:styleId="Poglavlje5">
    <w:name w:val="Poglavlje 5"/>
    <w:basedOn w:val="Heading5"/>
    <w:link w:val="Poglavlje5Char"/>
    <w:qFormat/>
    <w:rsid w:val="00771DAB"/>
    <w:pPr>
      <w:spacing w:after="160" w:line="259" w:lineRule="auto"/>
    </w:pPr>
    <w:rPr>
      <w:rFonts w:ascii="Times New Roman" w:eastAsiaTheme="minorHAnsi" w:hAnsi="Times New Roman"/>
      <w:b/>
      <w:color w:val="auto"/>
      <w:lang w:val="bs-Latn-BA"/>
    </w:rPr>
  </w:style>
  <w:style w:type="character" w:customStyle="1" w:styleId="Poglavlje4Char">
    <w:name w:val="Poglavlje 4 Char"/>
    <w:basedOn w:val="Heading4Char"/>
    <w:link w:val="Poglavlje4"/>
    <w:rsid w:val="007B665A"/>
    <w:rPr>
      <w:rFonts w:ascii="Times New Roman" w:eastAsiaTheme="majorEastAsia" w:hAnsi="Times New Roman" w:cstheme="majorBidi"/>
      <w:b/>
      <w:i/>
      <w:iCs/>
      <w:color w:val="2E74B5" w:themeColor="accent1" w:themeShade="BF"/>
      <w:lang w:val="en-GB"/>
    </w:rPr>
  </w:style>
  <w:style w:type="paragraph" w:styleId="TOCHeading">
    <w:name w:val="TOC Heading"/>
    <w:basedOn w:val="Heading1"/>
    <w:next w:val="Normal"/>
    <w:uiPriority w:val="39"/>
    <w:unhideWhenUsed/>
    <w:qFormat/>
    <w:rsid w:val="00DE178E"/>
    <w:pPr>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character" w:customStyle="1" w:styleId="Poglavlje5Char">
    <w:name w:val="Poglavlje 5 Char"/>
    <w:basedOn w:val="Heading5Char"/>
    <w:link w:val="Poglavlje5"/>
    <w:rsid w:val="00771DAB"/>
    <w:rPr>
      <w:rFonts w:ascii="Times New Roman" w:eastAsiaTheme="majorEastAsia" w:hAnsi="Times New Roman" w:cstheme="majorBidi"/>
      <w:b/>
      <w:color w:val="2E74B5" w:themeColor="accent1" w:themeShade="BF"/>
      <w:lang w:val="en-GB"/>
    </w:rPr>
  </w:style>
  <w:style w:type="paragraph" w:styleId="TOC4">
    <w:name w:val="toc 4"/>
    <w:basedOn w:val="Normal"/>
    <w:next w:val="Normal"/>
    <w:autoRedefine/>
    <w:uiPriority w:val="39"/>
    <w:unhideWhenUsed/>
    <w:rsid w:val="00DE178E"/>
    <w:pPr>
      <w:spacing w:after="100" w:line="259" w:lineRule="auto"/>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DE178E"/>
    <w:pPr>
      <w:spacing w:after="100" w:line="259" w:lineRule="auto"/>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DE178E"/>
    <w:pPr>
      <w:spacing w:after="100" w:line="259" w:lineRule="auto"/>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DE178E"/>
    <w:pPr>
      <w:spacing w:after="100" w:line="259" w:lineRule="auto"/>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DE178E"/>
    <w:pPr>
      <w:spacing w:after="100" w:line="259" w:lineRule="auto"/>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DE178E"/>
    <w:pPr>
      <w:spacing w:after="100" w:line="259" w:lineRule="auto"/>
      <w:ind w:left="1760"/>
      <w:jc w:val="left"/>
    </w:pPr>
    <w:rPr>
      <w:rFonts w:asciiTheme="minorHAnsi" w:eastAsiaTheme="minorEastAsia" w:hAnsiTheme="minorHAnsi" w:cstheme="minorBidi"/>
      <w:lang w:eastAsia="en-GB"/>
    </w:rPr>
  </w:style>
  <w:style w:type="paragraph" w:customStyle="1" w:styleId="refererere">
    <w:name w:val="refererere"/>
    <w:basedOn w:val="Normal"/>
    <w:link w:val="refererereChar"/>
    <w:qFormat/>
    <w:rsid w:val="00EB7CC7"/>
    <w:pPr>
      <w:spacing w:line="276" w:lineRule="auto"/>
    </w:pPr>
    <w:rPr>
      <w:rFonts w:ascii="Times New Roman" w:hAnsi="Times New Roman"/>
      <w:sz w:val="20"/>
      <w:szCs w:val="20"/>
    </w:rPr>
  </w:style>
  <w:style w:type="character" w:customStyle="1" w:styleId="refererereChar">
    <w:name w:val="refererere Char"/>
    <w:basedOn w:val="DefaultParagraphFont"/>
    <w:link w:val="refererere"/>
    <w:rsid w:val="00EB7CC7"/>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39"/>
    <w:rsid w:val="000C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30112">
      <w:bodyDiv w:val="1"/>
      <w:marLeft w:val="0"/>
      <w:marRight w:val="0"/>
      <w:marTop w:val="0"/>
      <w:marBottom w:val="0"/>
      <w:divBdr>
        <w:top w:val="none" w:sz="0" w:space="0" w:color="auto"/>
        <w:left w:val="none" w:sz="0" w:space="0" w:color="auto"/>
        <w:bottom w:val="none" w:sz="0" w:space="0" w:color="auto"/>
        <w:right w:val="none" w:sz="0" w:space="0" w:color="auto"/>
      </w:divBdr>
    </w:div>
    <w:div w:id="229927952">
      <w:bodyDiv w:val="1"/>
      <w:marLeft w:val="0"/>
      <w:marRight w:val="0"/>
      <w:marTop w:val="0"/>
      <w:marBottom w:val="0"/>
      <w:divBdr>
        <w:top w:val="none" w:sz="0" w:space="0" w:color="auto"/>
        <w:left w:val="none" w:sz="0" w:space="0" w:color="auto"/>
        <w:bottom w:val="none" w:sz="0" w:space="0" w:color="auto"/>
        <w:right w:val="none" w:sz="0" w:space="0" w:color="auto"/>
      </w:divBdr>
    </w:div>
    <w:div w:id="1021475955">
      <w:bodyDiv w:val="1"/>
      <w:marLeft w:val="0"/>
      <w:marRight w:val="0"/>
      <w:marTop w:val="0"/>
      <w:marBottom w:val="0"/>
      <w:divBdr>
        <w:top w:val="none" w:sz="0" w:space="0" w:color="auto"/>
        <w:left w:val="none" w:sz="0" w:space="0" w:color="auto"/>
        <w:bottom w:val="none" w:sz="0" w:space="0" w:color="auto"/>
        <w:right w:val="none" w:sz="0" w:space="0" w:color="auto"/>
      </w:divBdr>
    </w:div>
    <w:div w:id="1194463118">
      <w:bodyDiv w:val="1"/>
      <w:marLeft w:val="0"/>
      <w:marRight w:val="0"/>
      <w:marTop w:val="0"/>
      <w:marBottom w:val="0"/>
      <w:divBdr>
        <w:top w:val="none" w:sz="0" w:space="0" w:color="auto"/>
        <w:left w:val="none" w:sz="0" w:space="0" w:color="auto"/>
        <w:bottom w:val="none" w:sz="0" w:space="0" w:color="auto"/>
        <w:right w:val="none" w:sz="0" w:space="0" w:color="auto"/>
      </w:divBdr>
    </w:div>
    <w:div w:id="1325933005">
      <w:bodyDiv w:val="1"/>
      <w:marLeft w:val="0"/>
      <w:marRight w:val="0"/>
      <w:marTop w:val="0"/>
      <w:marBottom w:val="0"/>
      <w:divBdr>
        <w:top w:val="none" w:sz="0" w:space="0" w:color="auto"/>
        <w:left w:val="none" w:sz="0" w:space="0" w:color="auto"/>
        <w:bottom w:val="none" w:sz="0" w:space="0" w:color="auto"/>
        <w:right w:val="none" w:sz="0" w:space="0" w:color="auto"/>
      </w:divBdr>
    </w:div>
    <w:div w:id="1799299793">
      <w:bodyDiv w:val="1"/>
      <w:marLeft w:val="0"/>
      <w:marRight w:val="0"/>
      <w:marTop w:val="0"/>
      <w:marBottom w:val="0"/>
      <w:divBdr>
        <w:top w:val="none" w:sz="0" w:space="0" w:color="auto"/>
        <w:left w:val="none" w:sz="0" w:space="0" w:color="auto"/>
        <w:bottom w:val="none" w:sz="0" w:space="0" w:color="auto"/>
        <w:right w:val="none" w:sz="0" w:space="0" w:color="auto"/>
      </w:divBdr>
    </w:div>
    <w:div w:id="1983387945">
      <w:bodyDiv w:val="1"/>
      <w:marLeft w:val="0"/>
      <w:marRight w:val="0"/>
      <w:marTop w:val="0"/>
      <w:marBottom w:val="0"/>
      <w:divBdr>
        <w:top w:val="none" w:sz="0" w:space="0" w:color="auto"/>
        <w:left w:val="none" w:sz="0" w:space="0" w:color="auto"/>
        <w:bottom w:val="none" w:sz="0" w:space="0" w:color="auto"/>
        <w:right w:val="none" w:sz="0" w:space="0" w:color="auto"/>
      </w:divBdr>
    </w:div>
    <w:div w:id="2084522733">
      <w:bodyDiv w:val="1"/>
      <w:marLeft w:val="0"/>
      <w:marRight w:val="0"/>
      <w:marTop w:val="0"/>
      <w:marBottom w:val="0"/>
      <w:divBdr>
        <w:top w:val="none" w:sz="0" w:space="0" w:color="auto"/>
        <w:left w:val="none" w:sz="0" w:space="0" w:color="auto"/>
        <w:bottom w:val="none" w:sz="0" w:space="0" w:color="auto"/>
        <w:right w:val="none" w:sz="0" w:space="0" w:color="auto"/>
      </w:divBdr>
    </w:div>
    <w:div w:id="20849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117" Type="http://schemas.openxmlformats.org/officeDocument/2006/relationships/chart" Target="charts/chart83.xml"/><Relationship Id="rId21" Type="http://schemas.openxmlformats.org/officeDocument/2006/relationships/chart" Target="charts/chart10.xml"/><Relationship Id="rId42" Type="http://schemas.openxmlformats.org/officeDocument/2006/relationships/image" Target="media/image7.png"/><Relationship Id="rId47" Type="http://schemas.openxmlformats.org/officeDocument/2006/relationships/image" Target="media/image12.png"/><Relationship Id="rId63" Type="http://schemas.openxmlformats.org/officeDocument/2006/relationships/chart" Target="charts/chart39.xml"/><Relationship Id="rId68" Type="http://schemas.openxmlformats.org/officeDocument/2006/relationships/chart" Target="charts/chart43.xml"/><Relationship Id="rId84" Type="http://schemas.openxmlformats.org/officeDocument/2006/relationships/chart" Target="charts/chart57.xml"/><Relationship Id="rId89" Type="http://schemas.openxmlformats.org/officeDocument/2006/relationships/image" Target="media/image22.png"/><Relationship Id="rId112" Type="http://schemas.openxmlformats.org/officeDocument/2006/relationships/chart" Target="charts/chart78.xml"/><Relationship Id="rId133" Type="http://schemas.openxmlformats.org/officeDocument/2006/relationships/image" Target="media/image29.jpeg"/><Relationship Id="rId138" Type="http://schemas.openxmlformats.org/officeDocument/2006/relationships/image" Target="media/image34.jpeg"/><Relationship Id="rId16" Type="http://schemas.openxmlformats.org/officeDocument/2006/relationships/chart" Target="charts/chart5.xml"/><Relationship Id="rId107" Type="http://schemas.openxmlformats.org/officeDocument/2006/relationships/chart" Target="charts/chart73.xml"/><Relationship Id="rId11" Type="http://schemas.openxmlformats.org/officeDocument/2006/relationships/image" Target="media/image3.png"/><Relationship Id="rId32" Type="http://schemas.openxmlformats.org/officeDocument/2006/relationships/chart" Target="charts/chart21.xml"/><Relationship Id="rId37" Type="http://schemas.openxmlformats.org/officeDocument/2006/relationships/chart" Target="charts/chart26.xml"/><Relationship Id="rId53" Type="http://schemas.openxmlformats.org/officeDocument/2006/relationships/image" Target="media/image13.png"/><Relationship Id="rId58" Type="http://schemas.openxmlformats.org/officeDocument/2006/relationships/chart" Target="charts/chart34.xml"/><Relationship Id="rId74" Type="http://schemas.openxmlformats.org/officeDocument/2006/relationships/chart" Target="charts/chart49.xml"/><Relationship Id="rId79" Type="http://schemas.openxmlformats.org/officeDocument/2006/relationships/hyperlink" Target="http://ihmeuw.org./3s0j" TargetMode="External"/><Relationship Id="rId102" Type="http://schemas.openxmlformats.org/officeDocument/2006/relationships/chart" Target="charts/chart68.xml"/><Relationship Id="rId123" Type="http://schemas.openxmlformats.org/officeDocument/2006/relationships/chart" Target="charts/chart89.xml"/><Relationship Id="rId128" Type="http://schemas.openxmlformats.org/officeDocument/2006/relationships/chart" Target="charts/chart94.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chart" Target="charts/chart59.xml"/><Relationship Id="rId95" Type="http://schemas.openxmlformats.org/officeDocument/2006/relationships/chart" Target="charts/chart64.xml"/><Relationship Id="rId22" Type="http://schemas.openxmlformats.org/officeDocument/2006/relationships/chart" Target="charts/chart11.xml"/><Relationship Id="rId27" Type="http://schemas.openxmlformats.org/officeDocument/2006/relationships/chart" Target="charts/chart16.xml"/><Relationship Id="rId43" Type="http://schemas.openxmlformats.org/officeDocument/2006/relationships/image" Target="media/image8.png"/><Relationship Id="rId48" Type="http://schemas.openxmlformats.org/officeDocument/2006/relationships/chart" Target="charts/chart29.xml"/><Relationship Id="rId64" Type="http://schemas.openxmlformats.org/officeDocument/2006/relationships/chart" Target="charts/chart40.xml"/><Relationship Id="rId69" Type="http://schemas.openxmlformats.org/officeDocument/2006/relationships/chart" Target="charts/chart44.xml"/><Relationship Id="rId113" Type="http://schemas.openxmlformats.org/officeDocument/2006/relationships/chart" Target="charts/chart79.xml"/><Relationship Id="rId118" Type="http://schemas.openxmlformats.org/officeDocument/2006/relationships/chart" Target="charts/chart84.xml"/><Relationship Id="rId134" Type="http://schemas.openxmlformats.org/officeDocument/2006/relationships/image" Target="media/image30.jpeg"/><Relationship Id="rId139" Type="http://schemas.openxmlformats.org/officeDocument/2006/relationships/hyperlink" Target="http://www.fzs.ba" TargetMode="External"/><Relationship Id="rId8" Type="http://schemas.openxmlformats.org/officeDocument/2006/relationships/image" Target="media/image1.wmf"/><Relationship Id="rId51" Type="http://schemas.openxmlformats.org/officeDocument/2006/relationships/chart" Target="charts/chart32.xml"/><Relationship Id="rId72" Type="http://schemas.openxmlformats.org/officeDocument/2006/relationships/chart" Target="charts/chart47.xml"/><Relationship Id="rId80" Type="http://schemas.openxmlformats.org/officeDocument/2006/relationships/chart" Target="charts/chart53.xml"/><Relationship Id="rId85" Type="http://schemas.openxmlformats.org/officeDocument/2006/relationships/chart" Target="charts/chart58.xml"/><Relationship Id="rId93" Type="http://schemas.openxmlformats.org/officeDocument/2006/relationships/chart" Target="charts/chart62.xml"/><Relationship Id="rId98" Type="http://schemas.openxmlformats.org/officeDocument/2006/relationships/image" Target="media/image23.png"/><Relationship Id="rId121" Type="http://schemas.openxmlformats.org/officeDocument/2006/relationships/chart" Target="charts/chart87.xml"/><Relationship Id="rId142"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image" Target="media/image11.png"/><Relationship Id="rId59" Type="http://schemas.openxmlformats.org/officeDocument/2006/relationships/chart" Target="charts/chart35.xml"/><Relationship Id="rId67" Type="http://schemas.openxmlformats.org/officeDocument/2006/relationships/chart" Target="charts/chart42.xml"/><Relationship Id="rId103" Type="http://schemas.openxmlformats.org/officeDocument/2006/relationships/chart" Target="charts/chart69.xml"/><Relationship Id="rId108" Type="http://schemas.openxmlformats.org/officeDocument/2006/relationships/chart" Target="charts/chart74.xml"/><Relationship Id="rId116" Type="http://schemas.openxmlformats.org/officeDocument/2006/relationships/chart" Target="charts/chart82.xml"/><Relationship Id="rId124" Type="http://schemas.openxmlformats.org/officeDocument/2006/relationships/chart" Target="charts/chart90.xml"/><Relationship Id="rId129" Type="http://schemas.openxmlformats.org/officeDocument/2006/relationships/image" Target="media/image25.jpeg"/><Relationship Id="rId137" Type="http://schemas.openxmlformats.org/officeDocument/2006/relationships/image" Target="media/image33.jpeg"/><Relationship Id="rId20" Type="http://schemas.openxmlformats.org/officeDocument/2006/relationships/chart" Target="charts/chart9.xml"/><Relationship Id="rId41" Type="http://schemas.openxmlformats.org/officeDocument/2006/relationships/image" Target="media/image6.png"/><Relationship Id="rId54" Type="http://schemas.openxmlformats.org/officeDocument/2006/relationships/image" Target="media/image14.wmf"/><Relationship Id="rId62" Type="http://schemas.openxmlformats.org/officeDocument/2006/relationships/chart" Target="charts/chart38.xml"/><Relationship Id="rId70" Type="http://schemas.openxmlformats.org/officeDocument/2006/relationships/chart" Target="charts/chart45.xml"/><Relationship Id="rId75" Type="http://schemas.openxmlformats.org/officeDocument/2006/relationships/chart" Target="charts/chart50.xml"/><Relationship Id="rId83" Type="http://schemas.openxmlformats.org/officeDocument/2006/relationships/chart" Target="charts/chart56.xml"/><Relationship Id="rId88" Type="http://schemas.openxmlformats.org/officeDocument/2006/relationships/image" Target="media/image21.png"/><Relationship Id="rId91" Type="http://schemas.openxmlformats.org/officeDocument/2006/relationships/chart" Target="charts/chart60.xml"/><Relationship Id="rId96" Type="http://schemas.openxmlformats.org/officeDocument/2006/relationships/chart" Target="charts/chart65.xml"/><Relationship Id="rId111" Type="http://schemas.openxmlformats.org/officeDocument/2006/relationships/chart" Target="charts/chart77.xml"/><Relationship Id="rId132" Type="http://schemas.openxmlformats.org/officeDocument/2006/relationships/image" Target="media/image28.jpeg"/><Relationship Id="rId140" Type="http://schemas.openxmlformats.org/officeDocument/2006/relationships/hyperlink" Target="http://www.who.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0.xml"/><Relationship Id="rId57" Type="http://schemas.openxmlformats.org/officeDocument/2006/relationships/image" Target="media/image16.png"/><Relationship Id="rId106" Type="http://schemas.openxmlformats.org/officeDocument/2006/relationships/chart" Target="charts/chart72.xml"/><Relationship Id="rId114" Type="http://schemas.openxmlformats.org/officeDocument/2006/relationships/chart" Target="charts/chart80.xml"/><Relationship Id="rId119" Type="http://schemas.openxmlformats.org/officeDocument/2006/relationships/chart" Target="charts/chart85.xml"/><Relationship Id="rId127" Type="http://schemas.openxmlformats.org/officeDocument/2006/relationships/chart" Target="charts/chart93.xml"/><Relationship Id="rId10" Type="http://schemas.openxmlformats.org/officeDocument/2006/relationships/chart" Target="charts/chart1.xml"/><Relationship Id="rId31" Type="http://schemas.openxmlformats.org/officeDocument/2006/relationships/chart" Target="charts/chart20.xml"/><Relationship Id="rId44" Type="http://schemas.openxmlformats.org/officeDocument/2006/relationships/image" Target="media/image9.png"/><Relationship Id="rId52" Type="http://schemas.openxmlformats.org/officeDocument/2006/relationships/chart" Target="charts/chart33.xml"/><Relationship Id="rId60" Type="http://schemas.openxmlformats.org/officeDocument/2006/relationships/chart" Target="charts/chart36.xml"/><Relationship Id="rId65" Type="http://schemas.openxmlformats.org/officeDocument/2006/relationships/image" Target="media/image17.emf"/><Relationship Id="rId73" Type="http://schemas.openxmlformats.org/officeDocument/2006/relationships/chart" Target="charts/chart48.xml"/><Relationship Id="rId78" Type="http://schemas.openxmlformats.org/officeDocument/2006/relationships/image" Target="media/image18.jpeg"/><Relationship Id="rId81" Type="http://schemas.openxmlformats.org/officeDocument/2006/relationships/chart" Target="charts/chart54.xml"/><Relationship Id="rId86" Type="http://schemas.openxmlformats.org/officeDocument/2006/relationships/image" Target="media/image19.png"/><Relationship Id="rId94" Type="http://schemas.openxmlformats.org/officeDocument/2006/relationships/chart" Target="charts/chart63.xml"/><Relationship Id="rId99" Type="http://schemas.openxmlformats.org/officeDocument/2006/relationships/image" Target="media/image24.png"/><Relationship Id="rId101" Type="http://schemas.openxmlformats.org/officeDocument/2006/relationships/chart" Target="charts/chart67.xml"/><Relationship Id="rId122" Type="http://schemas.openxmlformats.org/officeDocument/2006/relationships/chart" Target="charts/chart88.xml"/><Relationship Id="rId130" Type="http://schemas.openxmlformats.org/officeDocument/2006/relationships/image" Target="media/image26.jpeg"/><Relationship Id="rId135" Type="http://schemas.openxmlformats.org/officeDocument/2006/relationships/image" Target="media/image31.jpe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7.xml"/><Relationship Id="rId39" Type="http://schemas.openxmlformats.org/officeDocument/2006/relationships/chart" Target="charts/chart28.xml"/><Relationship Id="rId109" Type="http://schemas.openxmlformats.org/officeDocument/2006/relationships/chart" Target="charts/chart75.xml"/><Relationship Id="rId34" Type="http://schemas.openxmlformats.org/officeDocument/2006/relationships/chart" Target="charts/chart23.xml"/><Relationship Id="rId50" Type="http://schemas.openxmlformats.org/officeDocument/2006/relationships/chart" Target="charts/chart31.xml"/><Relationship Id="rId55" Type="http://schemas.openxmlformats.org/officeDocument/2006/relationships/image" Target="media/image15.png"/><Relationship Id="rId76" Type="http://schemas.openxmlformats.org/officeDocument/2006/relationships/chart" Target="charts/chart51.xml"/><Relationship Id="rId97" Type="http://schemas.openxmlformats.org/officeDocument/2006/relationships/chart" Target="charts/chart66.xml"/><Relationship Id="rId104" Type="http://schemas.openxmlformats.org/officeDocument/2006/relationships/chart" Target="charts/chart70.xml"/><Relationship Id="rId120" Type="http://schemas.openxmlformats.org/officeDocument/2006/relationships/chart" Target="charts/chart86.xml"/><Relationship Id="rId125" Type="http://schemas.openxmlformats.org/officeDocument/2006/relationships/chart" Target="charts/chart91.xml"/><Relationship Id="rId141" Type="http://schemas.openxmlformats.org/officeDocument/2006/relationships/hyperlink" Target="http://www.bhas.ba/ankete/ARS-2015" TargetMode="External"/><Relationship Id="rId7" Type="http://schemas.openxmlformats.org/officeDocument/2006/relationships/endnotes" Target="endnotes.xml"/><Relationship Id="rId71" Type="http://schemas.openxmlformats.org/officeDocument/2006/relationships/chart" Target="charts/chart46.xml"/><Relationship Id="rId92" Type="http://schemas.openxmlformats.org/officeDocument/2006/relationships/chart" Target="charts/chart61.xml"/><Relationship Id="rId2" Type="http://schemas.openxmlformats.org/officeDocument/2006/relationships/numbering" Target="numbering.xml"/><Relationship Id="rId29" Type="http://schemas.openxmlformats.org/officeDocument/2006/relationships/chart" Target="charts/chart18.xml"/><Relationship Id="rId24" Type="http://schemas.openxmlformats.org/officeDocument/2006/relationships/chart" Target="charts/chart13.xml"/><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chart" Target="charts/chart41.xml"/><Relationship Id="rId87" Type="http://schemas.openxmlformats.org/officeDocument/2006/relationships/image" Target="media/image20.png"/><Relationship Id="rId110" Type="http://schemas.openxmlformats.org/officeDocument/2006/relationships/chart" Target="charts/chart76.xml"/><Relationship Id="rId115" Type="http://schemas.openxmlformats.org/officeDocument/2006/relationships/chart" Target="charts/chart81.xml"/><Relationship Id="rId131" Type="http://schemas.openxmlformats.org/officeDocument/2006/relationships/image" Target="media/image27.jpeg"/><Relationship Id="rId136" Type="http://schemas.openxmlformats.org/officeDocument/2006/relationships/image" Target="media/image32.jpeg"/><Relationship Id="rId61" Type="http://schemas.openxmlformats.org/officeDocument/2006/relationships/chart" Target="charts/chart37.xml"/><Relationship Id="rId82" Type="http://schemas.openxmlformats.org/officeDocument/2006/relationships/chart" Target="charts/chart55.xml"/><Relationship Id="rId19" Type="http://schemas.openxmlformats.org/officeDocument/2006/relationships/chart" Target="charts/chart8.xml"/><Relationship Id="rId14" Type="http://schemas.openxmlformats.org/officeDocument/2006/relationships/chart" Target="charts/chart4.xml"/><Relationship Id="rId30" Type="http://schemas.openxmlformats.org/officeDocument/2006/relationships/chart" Target="charts/chart19.xml"/><Relationship Id="rId35" Type="http://schemas.openxmlformats.org/officeDocument/2006/relationships/chart" Target="charts/chart24.xml"/><Relationship Id="rId56" Type="http://schemas.openxmlformats.org/officeDocument/2006/relationships/image" Target="cid:image001.png@01D16E1D.D4458D90" TargetMode="External"/><Relationship Id="rId77" Type="http://schemas.openxmlformats.org/officeDocument/2006/relationships/chart" Target="charts/chart52.xml"/><Relationship Id="rId100" Type="http://schemas.openxmlformats.org/officeDocument/2006/relationships/image" Target="media/image24.emf"/><Relationship Id="rId105" Type="http://schemas.openxmlformats.org/officeDocument/2006/relationships/chart" Target="charts/chart71.xml"/><Relationship Id="rId126" Type="http://schemas.openxmlformats.org/officeDocument/2006/relationships/chart" Target="charts/chart92.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6.xml.rels><?xml version="1.0" encoding="UTF-8" standalone="yes"?>
<Relationships xmlns="http://schemas.openxmlformats.org/package/2006/relationships"><Relationship Id="rId1" Type="http://schemas.openxmlformats.org/officeDocument/2006/relationships/oleObject" Target="file:///C:\Users\Korisnik\Desktop\ZDR.%20ELMA%2024.06\Zdr.stanje%20GRAFIKONI%2024.06.2015.xlsx" TargetMode="Externa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1.xlsx"/></Relationships>
</file>

<file path=word/charts/_rels/chart3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xml"/></Relationships>
</file>

<file path=word/charts/_rels/chart4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4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6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7.xml"/></Relationships>
</file>

<file path=word/charts/_rels/chart6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8.xml"/></Relationships>
</file>

<file path=word/charts/_rels/chart6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68.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5.8696412948381731E-3"/>
                  <c:y val="-3.8340988626421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573709536307997"/>
                  <c:y val="-0.10861548556430446"/>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1571959755030651E-2"/>
                  <c:y val="-3.6743948673082658E-2"/>
                </c:manualLayout>
              </c:layout>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'starosne skupine'!$A$18:$A$20</c:f>
              <c:strCache>
                <c:ptCount val="3"/>
                <c:pt idx="0">
                  <c:v>0-14</c:v>
                </c:pt>
                <c:pt idx="1">
                  <c:v>15-64</c:v>
                </c:pt>
                <c:pt idx="2">
                  <c:v>65+</c:v>
                </c:pt>
              </c:strCache>
            </c:strRef>
          </c:cat>
          <c:val>
            <c:numRef>
              <c:f>'starosne skupine'!$C$18:$C$20</c:f>
              <c:numCache>
                <c:formatCode>0.0%</c:formatCode>
                <c:ptCount val="3"/>
                <c:pt idx="0">
                  <c:v>0.18100000000000024</c:v>
                </c:pt>
                <c:pt idx="1">
                  <c:v>0.67800000000000138</c:v>
                </c:pt>
                <c:pt idx="2">
                  <c:v>0.14100000000000001</c:v>
                </c:pt>
              </c:numCache>
            </c:numRef>
          </c:val>
        </c:ser>
        <c:dLbls>
          <c:showLegendKey val="0"/>
          <c:showVal val="0"/>
          <c:showCatName val="0"/>
          <c:showSerName val="0"/>
          <c:showPercent val="0"/>
          <c:showBubbleSize val="0"/>
          <c:showLeaderLines val="1"/>
        </c:dLbls>
      </c:pie3DChart>
    </c:plotArea>
    <c:legend>
      <c:legendPos val="b"/>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grafikon!$C$12</c:f>
              <c:strCache>
                <c:ptCount val="1"/>
                <c:pt idx="0">
                  <c:v>Kardio vaskularne bolesti</c:v>
                </c:pt>
              </c:strCache>
            </c:strRef>
          </c:tx>
          <c:cat>
            <c:strRef>
              <c:f>grafikon!$B$13:$B$18</c:f>
              <c:strCache>
                <c:ptCount val="6"/>
                <c:pt idx="0">
                  <c:v>2010.</c:v>
                </c:pt>
                <c:pt idx="1">
                  <c:v>2011.</c:v>
                </c:pt>
                <c:pt idx="2">
                  <c:v>2012.</c:v>
                </c:pt>
                <c:pt idx="3">
                  <c:v>2013.</c:v>
                </c:pt>
                <c:pt idx="4">
                  <c:v>2014.</c:v>
                </c:pt>
                <c:pt idx="5">
                  <c:v>2015.</c:v>
                </c:pt>
              </c:strCache>
            </c:strRef>
          </c:cat>
          <c:val>
            <c:numRef>
              <c:f>grafikon!$C$13:$C$18</c:f>
              <c:numCache>
                <c:formatCode>General</c:formatCode>
                <c:ptCount val="6"/>
                <c:pt idx="0">
                  <c:v>335.2</c:v>
                </c:pt>
                <c:pt idx="1">
                  <c:v>370.2</c:v>
                </c:pt>
                <c:pt idx="2">
                  <c:v>381.4</c:v>
                </c:pt>
                <c:pt idx="3">
                  <c:v>380.9</c:v>
                </c:pt>
                <c:pt idx="4" formatCode="0.0">
                  <c:v>361</c:v>
                </c:pt>
                <c:pt idx="5">
                  <c:v>400.9</c:v>
                </c:pt>
              </c:numCache>
            </c:numRef>
          </c:val>
          <c:smooth val="0"/>
        </c:ser>
        <c:ser>
          <c:idx val="1"/>
          <c:order val="1"/>
          <c:tx>
            <c:strRef>
              <c:f>grafikon!$D$12</c:f>
              <c:strCache>
                <c:ptCount val="1"/>
                <c:pt idx="0">
                  <c:v>Maligne noplazme</c:v>
                </c:pt>
              </c:strCache>
            </c:strRef>
          </c:tx>
          <c:cat>
            <c:strRef>
              <c:f>grafikon!$B$13:$B$18</c:f>
              <c:strCache>
                <c:ptCount val="6"/>
                <c:pt idx="0">
                  <c:v>2010.</c:v>
                </c:pt>
                <c:pt idx="1">
                  <c:v>2011.</c:v>
                </c:pt>
                <c:pt idx="2">
                  <c:v>2012.</c:v>
                </c:pt>
                <c:pt idx="3">
                  <c:v>2013.</c:v>
                </c:pt>
                <c:pt idx="4">
                  <c:v>2014.</c:v>
                </c:pt>
                <c:pt idx="5">
                  <c:v>2015.</c:v>
                </c:pt>
              </c:strCache>
            </c:strRef>
          </c:cat>
          <c:val>
            <c:numRef>
              <c:f>grafikon!$D$13:$D$18</c:f>
              <c:numCache>
                <c:formatCode>General</c:formatCode>
                <c:ptCount val="6"/>
                <c:pt idx="0">
                  <c:v>151.5</c:v>
                </c:pt>
                <c:pt idx="1">
                  <c:v>154.6</c:v>
                </c:pt>
                <c:pt idx="2">
                  <c:v>162.6</c:v>
                </c:pt>
                <c:pt idx="3">
                  <c:v>153.6</c:v>
                </c:pt>
                <c:pt idx="4">
                  <c:v>159.6</c:v>
                </c:pt>
                <c:pt idx="5">
                  <c:v>164.1</c:v>
                </c:pt>
              </c:numCache>
            </c:numRef>
          </c:val>
          <c:smooth val="0"/>
        </c:ser>
        <c:ser>
          <c:idx val="2"/>
          <c:order val="2"/>
          <c:tx>
            <c:strRef>
              <c:f>grafikon!$E$12</c:f>
              <c:strCache>
                <c:ptCount val="1"/>
                <c:pt idx="0">
                  <c:v>Diabetes mellitus</c:v>
                </c:pt>
              </c:strCache>
            </c:strRef>
          </c:tx>
          <c:cat>
            <c:strRef>
              <c:f>grafikon!$B$13:$B$18</c:f>
              <c:strCache>
                <c:ptCount val="6"/>
                <c:pt idx="0">
                  <c:v>2010.</c:v>
                </c:pt>
                <c:pt idx="1">
                  <c:v>2011.</c:v>
                </c:pt>
                <c:pt idx="2">
                  <c:v>2012.</c:v>
                </c:pt>
                <c:pt idx="3">
                  <c:v>2013.</c:v>
                </c:pt>
                <c:pt idx="4">
                  <c:v>2014.</c:v>
                </c:pt>
                <c:pt idx="5">
                  <c:v>2015.</c:v>
                </c:pt>
              </c:strCache>
            </c:strRef>
          </c:cat>
          <c:val>
            <c:numRef>
              <c:f>grafikon!$E$13:$E$18</c:f>
              <c:numCache>
                <c:formatCode>General</c:formatCode>
                <c:ptCount val="6"/>
                <c:pt idx="0">
                  <c:v>39.9</c:v>
                </c:pt>
                <c:pt idx="1">
                  <c:v>41.9</c:v>
                </c:pt>
                <c:pt idx="2">
                  <c:v>44.6</c:v>
                </c:pt>
                <c:pt idx="3">
                  <c:v>38.1</c:v>
                </c:pt>
                <c:pt idx="4">
                  <c:v>43.8</c:v>
                </c:pt>
                <c:pt idx="5">
                  <c:v>40.300000000000004</c:v>
                </c:pt>
              </c:numCache>
            </c:numRef>
          </c:val>
          <c:smooth val="0"/>
        </c:ser>
        <c:ser>
          <c:idx val="3"/>
          <c:order val="3"/>
          <c:tx>
            <c:strRef>
              <c:f>grafikon!$F$12</c:f>
              <c:strCache>
                <c:ptCount val="1"/>
                <c:pt idx="0">
                  <c:v>Hronične respiratorne bolesti</c:v>
                </c:pt>
              </c:strCache>
            </c:strRef>
          </c:tx>
          <c:cat>
            <c:strRef>
              <c:f>grafikon!$B$13:$B$18</c:f>
              <c:strCache>
                <c:ptCount val="6"/>
                <c:pt idx="0">
                  <c:v>2010.</c:v>
                </c:pt>
                <c:pt idx="1">
                  <c:v>2011.</c:v>
                </c:pt>
                <c:pt idx="2">
                  <c:v>2012.</c:v>
                </c:pt>
                <c:pt idx="3">
                  <c:v>2013.</c:v>
                </c:pt>
                <c:pt idx="4">
                  <c:v>2014.</c:v>
                </c:pt>
                <c:pt idx="5">
                  <c:v>2015.</c:v>
                </c:pt>
              </c:strCache>
            </c:strRef>
          </c:cat>
          <c:val>
            <c:numRef>
              <c:f>grafikon!$F$13:$F$18</c:f>
              <c:numCache>
                <c:formatCode>General</c:formatCode>
                <c:ptCount val="6"/>
                <c:pt idx="0">
                  <c:v>10.200000000000001</c:v>
                </c:pt>
                <c:pt idx="1">
                  <c:v>12.3</c:v>
                </c:pt>
                <c:pt idx="2">
                  <c:v>16.2</c:v>
                </c:pt>
                <c:pt idx="3">
                  <c:v>17.7</c:v>
                </c:pt>
                <c:pt idx="4">
                  <c:v>15.9</c:v>
                </c:pt>
                <c:pt idx="5">
                  <c:v>25.4</c:v>
                </c:pt>
              </c:numCache>
            </c:numRef>
          </c:val>
          <c:smooth val="0"/>
        </c:ser>
        <c:dLbls>
          <c:showLegendKey val="0"/>
          <c:showVal val="0"/>
          <c:showCatName val="0"/>
          <c:showSerName val="0"/>
          <c:showPercent val="0"/>
          <c:showBubbleSize val="0"/>
        </c:dLbls>
        <c:marker val="1"/>
        <c:smooth val="0"/>
        <c:axId val="262606688"/>
        <c:axId val="262610608"/>
      </c:lineChart>
      <c:catAx>
        <c:axId val="262606688"/>
        <c:scaling>
          <c:orientation val="minMax"/>
        </c:scaling>
        <c:delete val="0"/>
        <c:axPos val="b"/>
        <c:numFmt formatCode="General" sourceLinked="0"/>
        <c:majorTickMark val="out"/>
        <c:minorTickMark val="none"/>
        <c:tickLblPos val="nextTo"/>
        <c:txPr>
          <a:bodyPr/>
          <a:lstStyle/>
          <a:p>
            <a:pPr>
              <a:defRPr lang="en-US"/>
            </a:pPr>
            <a:endParaRPr lang="en-US"/>
          </a:p>
        </c:txPr>
        <c:crossAx val="262610608"/>
        <c:crosses val="autoZero"/>
        <c:auto val="1"/>
        <c:lblAlgn val="ctr"/>
        <c:lblOffset val="100"/>
        <c:noMultiLvlLbl val="0"/>
      </c:catAx>
      <c:valAx>
        <c:axId val="262610608"/>
        <c:scaling>
          <c:orientation val="minMax"/>
        </c:scaling>
        <c:delete val="0"/>
        <c:axPos val="l"/>
        <c:numFmt formatCode="General" sourceLinked="1"/>
        <c:majorTickMark val="out"/>
        <c:minorTickMark val="none"/>
        <c:tickLblPos val="nextTo"/>
        <c:txPr>
          <a:bodyPr/>
          <a:lstStyle/>
          <a:p>
            <a:pPr>
              <a:defRPr lang="en-US"/>
            </a:pPr>
            <a:endParaRPr lang="en-US"/>
          </a:p>
        </c:txPr>
        <c:crossAx val="26260668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Sheet1!$B$53</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Sheet1!$C$53:$D$53</c:f>
              <c:numCache>
                <c:formatCode>0.0</c:formatCode>
                <c:ptCount val="2"/>
                <c:pt idx="0">
                  <c:v>89.918978807867688</c:v>
                </c:pt>
                <c:pt idx="1">
                  <c:v>93.430799520894055</c:v>
                </c:pt>
              </c:numCache>
            </c:numRef>
          </c:val>
        </c:ser>
        <c:ser>
          <c:idx val="1"/>
          <c:order val="1"/>
          <c:tx>
            <c:strRef>
              <c:f>Sheet1!$B$54</c:f>
              <c:strCache>
                <c:ptCount val="1"/>
                <c:pt idx="0">
                  <c:v>Kardiomiopatija (I42)</c:v>
                </c:pt>
              </c:strCache>
            </c:strRef>
          </c:tx>
          <c:invertIfNegative val="0"/>
          <c:dLbls>
            <c:dLbl>
              <c:idx val="0"/>
              <c:layout>
                <c:manualLayout>
                  <c:x val="4.2941492216854475E-3"/>
                  <c:y val="0.231481481481481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574074074074079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Sheet1!$C$54:$D$54</c:f>
              <c:numCache>
                <c:formatCode>0.0</c:formatCode>
                <c:ptCount val="2"/>
                <c:pt idx="0">
                  <c:v>78.711189822300966</c:v>
                </c:pt>
                <c:pt idx="1">
                  <c:v>64.043578763749011</c:v>
                </c:pt>
              </c:numCache>
            </c:numRef>
          </c:val>
        </c:ser>
        <c:ser>
          <c:idx val="2"/>
          <c:order val="2"/>
          <c:tx>
            <c:strRef>
              <c:f>Sheet1!$B$55</c:f>
              <c:strCache>
                <c:ptCount val="1"/>
                <c:pt idx="0">
                  <c:v>Srčani zastoj (I46)</c:v>
                </c:pt>
              </c:strCache>
            </c:strRef>
          </c:tx>
          <c:invertIfNegative val="0"/>
          <c:dLbls>
            <c:dLbl>
              <c:idx val="0"/>
              <c:layout>
                <c:manualLayout>
                  <c:x val="4.2941492216854735E-3"/>
                  <c:y val="0.3194444444444449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941492216854475E-3"/>
                  <c:y val="0.2870370370370370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Sheet1!$C$55:$D$55</c:f>
              <c:numCache>
                <c:formatCode>0.0</c:formatCode>
                <c:ptCount val="2"/>
                <c:pt idx="0">
                  <c:v>75.6739645628533</c:v>
                </c:pt>
                <c:pt idx="1">
                  <c:v>69.826778183886461</c:v>
                </c:pt>
              </c:numCache>
            </c:numRef>
          </c:val>
        </c:ser>
        <c:ser>
          <c:idx val="3"/>
          <c:order val="3"/>
          <c:tx>
            <c:strRef>
              <c:f>Sheet1!$B$56</c:f>
              <c:strCache>
                <c:ptCount val="1"/>
                <c:pt idx="0">
                  <c:v>Akutni infarkt miokarda (I21)</c:v>
                </c:pt>
              </c:strCache>
            </c:strRef>
          </c:tx>
          <c:invertIfNegative val="0"/>
          <c:dLbls>
            <c:dLbl>
              <c:idx val="0"/>
              <c:layout>
                <c:manualLayout>
                  <c:x val="1.9681289906118014E-17"/>
                  <c:y val="0.3796296296296303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941492216854475E-3"/>
                  <c:y val="0.2453700058326042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Sheet1!$C$56:$D$56</c:f>
              <c:numCache>
                <c:formatCode>0.0</c:formatCode>
                <c:ptCount val="2"/>
                <c:pt idx="0">
                  <c:v>69.214513658958367</c:v>
                </c:pt>
                <c:pt idx="1">
                  <c:v>89.532494726578889</c:v>
                </c:pt>
              </c:numCache>
            </c:numRef>
          </c:val>
        </c:ser>
        <c:ser>
          <c:idx val="4"/>
          <c:order val="4"/>
          <c:tx>
            <c:strRef>
              <c:f>Sheet1!$B$57</c:f>
              <c:strCache>
                <c:ptCount val="1"/>
                <c:pt idx="0">
                  <c:v>Maligne neoplazme bronha i pluća (C34)</c:v>
                </c:pt>
              </c:strCache>
            </c:strRef>
          </c:tx>
          <c:invertIfNegative val="0"/>
          <c:dLbls>
            <c:dLbl>
              <c:idx val="0"/>
              <c:layout>
                <c:manualLayout>
                  <c:x val="3.0059044551798191E-2"/>
                  <c:y val="-3.6453776611257058E-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Sheet1!$C$57:$D$57</c:f>
              <c:numCache>
                <c:formatCode>General</c:formatCode>
                <c:ptCount val="2"/>
                <c:pt idx="0" formatCode="0.0">
                  <c:v>43.804488248932614</c:v>
                </c:pt>
              </c:numCache>
            </c:numRef>
          </c:val>
        </c:ser>
        <c:ser>
          <c:idx val="5"/>
          <c:order val="5"/>
          <c:tx>
            <c:strRef>
              <c:f>Sheet1!$B$58</c:f>
              <c:strCache>
                <c:ptCount val="1"/>
                <c:pt idx="0">
                  <c:v>Esencijalna hipertenzija (I10)</c:v>
                </c:pt>
              </c:strCache>
            </c:strRef>
          </c:tx>
          <c:invertIfNegative val="0"/>
          <c:dLbls>
            <c:dLbl>
              <c:idx val="1"/>
              <c:layout>
                <c:manualLayout>
                  <c:x val="1.9323671497584575E-2"/>
                  <c:y val="-4.629629629629590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Sheet1!$C$58:$D$58</c:f>
              <c:numCache>
                <c:formatCode>0.0</c:formatCode>
                <c:ptCount val="2"/>
                <c:pt idx="1">
                  <c:v>45.151793991298533</c:v>
                </c:pt>
              </c:numCache>
            </c:numRef>
          </c:val>
        </c:ser>
        <c:dLbls>
          <c:showLegendKey val="0"/>
          <c:showVal val="0"/>
          <c:showCatName val="0"/>
          <c:showSerName val="0"/>
          <c:showPercent val="0"/>
          <c:showBubbleSize val="0"/>
        </c:dLbls>
        <c:gapWidth val="150"/>
        <c:shape val="box"/>
        <c:axId val="262611392"/>
        <c:axId val="262612960"/>
        <c:axId val="0"/>
      </c:bar3DChart>
      <c:catAx>
        <c:axId val="262611392"/>
        <c:scaling>
          <c:orientation val="minMax"/>
        </c:scaling>
        <c:delete val="0"/>
        <c:axPos val="b"/>
        <c:numFmt formatCode="General" sourceLinked="0"/>
        <c:majorTickMark val="out"/>
        <c:minorTickMark val="none"/>
        <c:tickLblPos val="nextTo"/>
        <c:txPr>
          <a:bodyPr rot="0" vert="horz"/>
          <a:lstStyle/>
          <a:p>
            <a:pPr>
              <a:defRPr/>
            </a:pPr>
            <a:endParaRPr lang="en-US"/>
          </a:p>
        </c:txPr>
        <c:crossAx val="262612960"/>
        <c:crosses val="autoZero"/>
        <c:auto val="1"/>
        <c:lblAlgn val="ctr"/>
        <c:lblOffset val="100"/>
        <c:noMultiLvlLbl val="0"/>
      </c:catAx>
      <c:valAx>
        <c:axId val="262612960"/>
        <c:scaling>
          <c:orientation val="minMax"/>
        </c:scaling>
        <c:delete val="1"/>
        <c:axPos val="l"/>
        <c:numFmt formatCode="0.0" sourceLinked="1"/>
        <c:majorTickMark val="out"/>
        <c:minorTickMark val="none"/>
        <c:tickLblPos val="nextTo"/>
        <c:crossAx val="262611392"/>
        <c:crosses val="autoZero"/>
        <c:crossBetween val="between"/>
      </c:valAx>
    </c:plotArea>
    <c:legend>
      <c:legendPos val="r"/>
      <c:overlay val="0"/>
      <c:txPr>
        <a:bodyPr/>
        <a:lstStyle/>
        <a:p>
          <a:pPr>
            <a:defRPr sz="800"/>
          </a:pPr>
          <a:endParaRPr lang="en-US"/>
        </a:p>
      </c:txPr>
    </c:legend>
    <c:plotVisOnly val="1"/>
    <c:dispBlanksAs val="gap"/>
    <c:showDLblsOverMax val="0"/>
  </c:chart>
  <c:spPr>
    <a:ln>
      <a:solidFill>
        <a:schemeClr val="tx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Sheet1!$B$122</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Sheet1!$C$122:$D$122</c:f>
              <c:numCache>
                <c:formatCode>0.0</c:formatCode>
                <c:ptCount val="2"/>
                <c:pt idx="0">
                  <c:v>96.081274538629629</c:v>
                </c:pt>
                <c:pt idx="1">
                  <c:v>105</c:v>
                </c:pt>
              </c:numCache>
            </c:numRef>
          </c:val>
        </c:ser>
        <c:ser>
          <c:idx val="1"/>
          <c:order val="1"/>
          <c:tx>
            <c:strRef>
              <c:f>Sheet1!$B$123</c:f>
              <c:strCache>
                <c:ptCount val="1"/>
                <c:pt idx="0">
                  <c:v>Kardiomiopatija (I42)</c:v>
                </c:pt>
              </c:strCache>
            </c:strRef>
          </c:tx>
          <c:invertIfNegative val="0"/>
          <c:dLbls>
            <c:dLbl>
              <c:idx val="0"/>
              <c:layout>
                <c:manualLayout>
                  <c:x val="-2.1680216802168048E-3"/>
                  <c:y val="0.180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8888888888888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Sheet1!$C$123:$D$123</c:f>
              <c:numCache>
                <c:formatCode>0.0</c:formatCode>
                <c:ptCount val="2"/>
                <c:pt idx="0">
                  <c:v>85.526574807272013</c:v>
                </c:pt>
                <c:pt idx="1">
                  <c:v>75.099999999999994</c:v>
                </c:pt>
              </c:numCache>
            </c:numRef>
          </c:val>
        </c:ser>
        <c:ser>
          <c:idx val="2"/>
          <c:order val="2"/>
          <c:tx>
            <c:strRef>
              <c:f>Sheet1!$B$124</c:f>
              <c:strCache>
                <c:ptCount val="1"/>
                <c:pt idx="0">
                  <c:v>Srčani zastoj (I46)</c:v>
                </c:pt>
              </c:strCache>
            </c:strRef>
          </c:tx>
          <c:invertIfNegative val="0"/>
          <c:dLbls>
            <c:dLbl>
              <c:idx val="0"/>
              <c:layout>
                <c:manualLayout>
                  <c:x val="-4.3360433604336139E-3"/>
                  <c:y val="0.2361111111111112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Sheet1!$C$124:$D$124</c:f>
              <c:numCache>
                <c:formatCode>0.0</c:formatCode>
                <c:ptCount val="2"/>
                <c:pt idx="0">
                  <c:v>82.008341563485786</c:v>
                </c:pt>
                <c:pt idx="1">
                  <c:v>74.099999999999994</c:v>
                </c:pt>
              </c:numCache>
            </c:numRef>
          </c:val>
        </c:ser>
        <c:ser>
          <c:idx val="3"/>
          <c:order val="3"/>
          <c:tx>
            <c:strRef>
              <c:f>Sheet1!$B$125</c:f>
              <c:strCache>
                <c:ptCount val="1"/>
                <c:pt idx="0">
                  <c:v>Akutni infarkt miokarda (I21)</c:v>
                </c:pt>
              </c:strCache>
            </c:strRef>
          </c:tx>
          <c:invertIfNegative val="0"/>
          <c:dLbls>
            <c:dLbl>
              <c:idx val="0"/>
              <c:layout>
                <c:manualLayout>
                  <c:x val="-2.1680216802168048E-3"/>
                  <c:y val="0.1666666666666666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916666666666670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Sheet1!$C$125:$D$125</c:f>
              <c:numCache>
                <c:formatCode>0.0</c:formatCode>
                <c:ptCount val="2"/>
                <c:pt idx="0">
                  <c:v>55.705359693277082</c:v>
                </c:pt>
                <c:pt idx="1">
                  <c:v>75</c:v>
                </c:pt>
              </c:numCache>
            </c:numRef>
          </c:val>
        </c:ser>
        <c:ser>
          <c:idx val="4"/>
          <c:order val="4"/>
          <c:tx>
            <c:strRef>
              <c:f>Sheet1!$B$126</c:f>
              <c:strCache>
                <c:ptCount val="1"/>
                <c:pt idx="0">
                  <c:v>Inzulin-ovisni diabetes mellitus (E10)</c:v>
                </c:pt>
              </c:strCache>
            </c:strRef>
          </c:tx>
          <c:invertIfNegative val="0"/>
          <c:dLbls>
            <c:dLbl>
              <c:idx val="0"/>
              <c:layout>
                <c:manualLayout>
                  <c:x val="0"/>
                  <c:y val="0.1296296296296293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Sheet1!$C$126:$D$126</c:f>
              <c:numCache>
                <c:formatCode>General</c:formatCode>
                <c:ptCount val="2"/>
                <c:pt idx="0" formatCode="0.0">
                  <c:v>34.093355481449279</c:v>
                </c:pt>
              </c:numCache>
            </c:numRef>
          </c:val>
        </c:ser>
        <c:ser>
          <c:idx val="5"/>
          <c:order val="5"/>
          <c:tx>
            <c:strRef>
              <c:f>Sheet1!$B$127</c:f>
              <c:strCache>
                <c:ptCount val="1"/>
                <c:pt idx="0">
                  <c:v>Esencijalna hipertenzija (I10)</c:v>
                </c:pt>
              </c:strCache>
            </c:strRef>
          </c:tx>
          <c:invertIfNegative val="0"/>
          <c:dLbls>
            <c:dLbl>
              <c:idx val="1"/>
              <c:layout>
                <c:manualLayout>
                  <c:x val="4.3360433604336139E-3"/>
                  <c:y val="0.157407407407407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Sheet1!$C$127:$D$127</c:f>
              <c:numCache>
                <c:formatCode>0.0</c:formatCode>
                <c:ptCount val="2"/>
                <c:pt idx="1">
                  <c:v>55.1</c:v>
                </c:pt>
              </c:numCache>
            </c:numRef>
          </c:val>
        </c:ser>
        <c:dLbls>
          <c:showLegendKey val="0"/>
          <c:showVal val="0"/>
          <c:showCatName val="0"/>
          <c:showSerName val="0"/>
          <c:showPercent val="0"/>
          <c:showBubbleSize val="0"/>
        </c:dLbls>
        <c:gapWidth val="150"/>
        <c:shape val="box"/>
        <c:axId val="262819800"/>
        <c:axId val="262820976"/>
        <c:axId val="0"/>
      </c:bar3DChart>
      <c:catAx>
        <c:axId val="262819800"/>
        <c:scaling>
          <c:orientation val="minMax"/>
        </c:scaling>
        <c:delete val="0"/>
        <c:axPos val="b"/>
        <c:numFmt formatCode="General" sourceLinked="0"/>
        <c:majorTickMark val="out"/>
        <c:minorTickMark val="none"/>
        <c:tickLblPos val="nextTo"/>
        <c:txPr>
          <a:bodyPr rot="0" vert="horz"/>
          <a:lstStyle/>
          <a:p>
            <a:pPr>
              <a:defRPr/>
            </a:pPr>
            <a:endParaRPr lang="en-US"/>
          </a:p>
        </c:txPr>
        <c:crossAx val="262820976"/>
        <c:crosses val="autoZero"/>
        <c:auto val="1"/>
        <c:lblAlgn val="ctr"/>
        <c:lblOffset val="100"/>
        <c:noMultiLvlLbl val="0"/>
      </c:catAx>
      <c:valAx>
        <c:axId val="262820976"/>
        <c:scaling>
          <c:orientation val="minMax"/>
        </c:scaling>
        <c:delete val="1"/>
        <c:axPos val="l"/>
        <c:numFmt formatCode="0.0" sourceLinked="1"/>
        <c:majorTickMark val="out"/>
        <c:minorTickMark val="none"/>
        <c:tickLblPos val="nextTo"/>
        <c:crossAx val="26281980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Sheet1!$B$84</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Sheet1!$C$84:$D$84</c:f>
              <c:numCache>
                <c:formatCode>0.0</c:formatCode>
                <c:ptCount val="2"/>
                <c:pt idx="0">
                  <c:v>83.487851424844763</c:v>
                </c:pt>
                <c:pt idx="1">
                  <c:v>66.301891157848559</c:v>
                </c:pt>
              </c:numCache>
            </c:numRef>
          </c:val>
        </c:ser>
        <c:ser>
          <c:idx val="1"/>
          <c:order val="1"/>
          <c:tx>
            <c:strRef>
              <c:f>Sheet1!$B$85</c:f>
              <c:strCache>
                <c:ptCount val="1"/>
                <c:pt idx="0">
                  <c:v>Akutni infarkt miokarda (I21)</c:v>
                </c:pt>
              </c:strCache>
            </c:strRef>
          </c:tx>
          <c:invertIfNegative val="0"/>
          <c:dLbls>
            <c:dLbl>
              <c:idx val="0"/>
              <c:layout>
                <c:manualLayout>
                  <c:x val="-8.771929824561403E-3"/>
                  <c:y val="0.1207894135184321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Sheet1!$C$85:$D$85</c:f>
              <c:numCache>
                <c:formatCode>0.0</c:formatCode>
                <c:ptCount val="2"/>
                <c:pt idx="0">
                  <c:v>83.313007756939172</c:v>
                </c:pt>
                <c:pt idx="1">
                  <c:v>104.28734963369931</c:v>
                </c:pt>
              </c:numCache>
            </c:numRef>
          </c:val>
        </c:ser>
        <c:ser>
          <c:idx val="2"/>
          <c:order val="2"/>
          <c:tx>
            <c:strRef>
              <c:f>Sheet1!$B$86</c:f>
              <c:strCache>
                <c:ptCount val="1"/>
                <c:pt idx="0">
                  <c:v>Kardiomiopatija (I42)</c:v>
                </c:pt>
              </c:strCache>
            </c:strRef>
          </c:tx>
          <c:invertIfNegative val="0"/>
          <c:dLbls>
            <c:dLbl>
              <c:idx val="0"/>
              <c:layout>
                <c:manualLayout>
                  <c:x val="2.1929824561403512E-3"/>
                  <c:y val="0.1579558652729385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929824561403512E-3"/>
                  <c:y val="0.1579558652729388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Sheet1!$C$86:$D$86</c:f>
              <c:numCache>
                <c:formatCode>0.0</c:formatCode>
                <c:ptCount val="2"/>
                <c:pt idx="0">
                  <c:v>71.598482007275251</c:v>
                </c:pt>
                <c:pt idx="1">
                  <c:v>52.834319516410574</c:v>
                </c:pt>
              </c:numCache>
            </c:numRef>
          </c:val>
        </c:ser>
        <c:ser>
          <c:idx val="3"/>
          <c:order val="3"/>
          <c:tx>
            <c:strRef>
              <c:f>Sheet1!$B$87</c:f>
              <c:strCache>
                <c:ptCount val="1"/>
                <c:pt idx="0">
                  <c:v>Maligne neoplazme bronha i pluća (C34)</c:v>
                </c:pt>
              </c:strCache>
            </c:strRef>
          </c:tx>
          <c:invertIfNegative val="0"/>
          <c:dLbls>
            <c:dLbl>
              <c:idx val="0"/>
              <c:layout>
                <c:manualLayout>
                  <c:x val="2.1929824561403512E-3"/>
                  <c:y val="0.2276422764227642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00813008130081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Sheet1!$C$87:$D$87</c:f>
              <c:numCache>
                <c:formatCode>0.0</c:formatCode>
                <c:ptCount val="2"/>
                <c:pt idx="0">
                  <c:v>70.024888996126066</c:v>
                </c:pt>
                <c:pt idx="1">
                  <c:v>66.301891157848559</c:v>
                </c:pt>
              </c:numCache>
            </c:numRef>
          </c:val>
        </c:ser>
        <c:ser>
          <c:idx val="4"/>
          <c:order val="4"/>
          <c:tx>
            <c:strRef>
              <c:f>Sheet1!$B$88</c:f>
              <c:strCache>
                <c:ptCount val="1"/>
                <c:pt idx="0">
                  <c:v>Srčani zastoj (I46)</c:v>
                </c:pt>
              </c:strCache>
            </c:strRef>
          </c:tx>
          <c:invertIfNegative val="0"/>
          <c:dLbls>
            <c:dLbl>
              <c:idx val="0"/>
              <c:layout>
                <c:manualLayout>
                  <c:x val="2.1929824561403512E-3"/>
                  <c:y val="0.3112659698025558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5789473684210523E-3"/>
                  <c:y val="0.2462253193960512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Sheet1!$C$88:$D$88</c:f>
              <c:numCache>
                <c:formatCode>0.0</c:formatCode>
                <c:ptCount val="2"/>
                <c:pt idx="0">
                  <c:v>69.063248822646358</c:v>
                </c:pt>
                <c:pt idx="1">
                  <c:v>65.4385852833976</c:v>
                </c:pt>
              </c:numCache>
            </c:numRef>
          </c:val>
        </c:ser>
        <c:dLbls>
          <c:showLegendKey val="0"/>
          <c:showVal val="0"/>
          <c:showCatName val="0"/>
          <c:showSerName val="0"/>
          <c:showPercent val="0"/>
          <c:showBubbleSize val="0"/>
        </c:dLbls>
        <c:gapWidth val="150"/>
        <c:shape val="box"/>
        <c:axId val="262822936"/>
        <c:axId val="262824112"/>
        <c:axId val="0"/>
      </c:bar3DChart>
      <c:catAx>
        <c:axId val="262822936"/>
        <c:scaling>
          <c:orientation val="minMax"/>
        </c:scaling>
        <c:delete val="0"/>
        <c:axPos val="b"/>
        <c:numFmt formatCode="General" sourceLinked="0"/>
        <c:majorTickMark val="out"/>
        <c:minorTickMark val="none"/>
        <c:tickLblPos val="nextTo"/>
        <c:txPr>
          <a:bodyPr rot="0" vert="horz"/>
          <a:lstStyle/>
          <a:p>
            <a:pPr>
              <a:defRPr/>
            </a:pPr>
            <a:endParaRPr lang="en-US"/>
          </a:p>
        </c:txPr>
        <c:crossAx val="262824112"/>
        <c:crosses val="autoZero"/>
        <c:auto val="1"/>
        <c:lblAlgn val="ctr"/>
        <c:lblOffset val="100"/>
        <c:noMultiLvlLbl val="0"/>
      </c:catAx>
      <c:valAx>
        <c:axId val="262824112"/>
        <c:scaling>
          <c:orientation val="minMax"/>
        </c:scaling>
        <c:delete val="1"/>
        <c:axPos val="l"/>
        <c:numFmt formatCode="0.0" sourceLinked="1"/>
        <c:majorTickMark val="out"/>
        <c:minorTickMark val="none"/>
        <c:tickLblPos val="nextTo"/>
        <c:crossAx val="262822936"/>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ukupno!$B$19</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ukupno!$C$19:$D$19</c:f>
              <c:numCache>
                <c:formatCode>0.0</c:formatCode>
                <c:ptCount val="2"/>
                <c:pt idx="0" formatCode="General">
                  <c:v>89.9</c:v>
                </c:pt>
                <c:pt idx="1">
                  <c:v>93.430799520894055</c:v>
                </c:pt>
              </c:numCache>
            </c:numRef>
          </c:val>
        </c:ser>
        <c:ser>
          <c:idx val="1"/>
          <c:order val="1"/>
          <c:tx>
            <c:strRef>
              <c:f>ukupno!$B$20</c:f>
              <c:strCache>
                <c:ptCount val="1"/>
                <c:pt idx="0">
                  <c:v>Kardiomiopatija (I42)</c:v>
                </c:pt>
              </c:strCache>
            </c:strRef>
          </c:tx>
          <c:invertIfNegative val="0"/>
          <c:dLbls>
            <c:dLbl>
              <c:idx val="0"/>
              <c:layout>
                <c:manualLayout>
                  <c:x val="0"/>
                  <c:y val="0.157407407407407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3931905546403084E-3"/>
                  <c:y val="0.2175925925925928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ukupno!$C$20:$D$20</c:f>
              <c:numCache>
                <c:formatCode>0.0</c:formatCode>
                <c:ptCount val="2"/>
                <c:pt idx="0" formatCode="General">
                  <c:v>78.7</c:v>
                </c:pt>
                <c:pt idx="1">
                  <c:v>64.043578763749011</c:v>
                </c:pt>
              </c:numCache>
            </c:numRef>
          </c:val>
        </c:ser>
        <c:ser>
          <c:idx val="2"/>
          <c:order val="2"/>
          <c:tx>
            <c:strRef>
              <c:f>ukupno!$B$21</c:f>
              <c:strCache>
                <c:ptCount val="1"/>
                <c:pt idx="0">
                  <c:v>Srčani zastoj (I46)</c:v>
                </c:pt>
              </c:strCache>
            </c:strRef>
          </c:tx>
          <c:invertIfNegative val="0"/>
          <c:dLbls>
            <c:dLbl>
              <c:idx val="0"/>
              <c:layout>
                <c:manualLayout>
                  <c:x val="6.5897858319604614E-3"/>
                  <c:y val="0.1898148148148149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ukupno!$C$21:$D$21</c:f>
              <c:numCache>
                <c:formatCode>0.0</c:formatCode>
                <c:ptCount val="2"/>
                <c:pt idx="0" formatCode="General">
                  <c:v>75.7</c:v>
                </c:pt>
                <c:pt idx="1">
                  <c:v>69.826778183886617</c:v>
                </c:pt>
              </c:numCache>
            </c:numRef>
          </c:val>
        </c:ser>
        <c:ser>
          <c:idx val="3"/>
          <c:order val="3"/>
          <c:tx>
            <c:strRef>
              <c:f>ukupno!$B$22</c:f>
              <c:strCache>
                <c:ptCount val="1"/>
                <c:pt idx="0">
                  <c:v>Akutni infarkt miokarda (I21)</c:v>
                </c:pt>
              </c:strCache>
            </c:strRef>
          </c:tx>
          <c:invertIfNegative val="0"/>
          <c:dLbls>
            <c:dLbl>
              <c:idx val="0"/>
              <c:layout>
                <c:manualLayout>
                  <c:x val="6.5897858319604614E-3"/>
                  <c:y val="0.2268518518518517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965952773201577E-3"/>
                  <c:y val="0.1203703703703704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ukupno!$C$22:$D$22</c:f>
              <c:numCache>
                <c:formatCode>0.0</c:formatCode>
                <c:ptCount val="2"/>
                <c:pt idx="0" formatCode="General">
                  <c:v>69.2</c:v>
                </c:pt>
                <c:pt idx="1">
                  <c:v>89.532494726578889</c:v>
                </c:pt>
              </c:numCache>
            </c:numRef>
          </c:val>
        </c:ser>
        <c:ser>
          <c:idx val="4"/>
          <c:order val="4"/>
          <c:tx>
            <c:strRef>
              <c:f>ukupno!$B$23</c:f>
              <c:strCache>
                <c:ptCount val="1"/>
                <c:pt idx="0">
                  <c:v>Hipertenzija (I10)</c:v>
                </c:pt>
              </c:strCache>
            </c:strRef>
          </c:tx>
          <c:invertIfNegative val="0"/>
          <c:dLbls>
            <c:dLbl>
              <c:idx val="0"/>
              <c:layout>
                <c:manualLayout>
                  <c:x val="0"/>
                  <c:y val="0.1342592592592593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435185185185185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ukupno!$C$23:$D$23</c:f>
              <c:numCache>
                <c:formatCode>0.0</c:formatCode>
                <c:ptCount val="2"/>
                <c:pt idx="0" formatCode="General">
                  <c:v>24.5</c:v>
                </c:pt>
                <c:pt idx="1">
                  <c:v>45.151793991298568</c:v>
                </c:pt>
              </c:numCache>
            </c:numRef>
          </c:val>
        </c:ser>
        <c:dLbls>
          <c:showLegendKey val="0"/>
          <c:showVal val="0"/>
          <c:showCatName val="0"/>
          <c:showSerName val="0"/>
          <c:showPercent val="0"/>
          <c:showBubbleSize val="0"/>
        </c:dLbls>
        <c:gapWidth val="150"/>
        <c:shape val="box"/>
        <c:axId val="262821760"/>
        <c:axId val="262824504"/>
        <c:axId val="0"/>
      </c:bar3DChart>
      <c:catAx>
        <c:axId val="262821760"/>
        <c:scaling>
          <c:orientation val="minMax"/>
        </c:scaling>
        <c:delete val="0"/>
        <c:axPos val="b"/>
        <c:numFmt formatCode="General" sourceLinked="0"/>
        <c:majorTickMark val="out"/>
        <c:minorTickMark val="none"/>
        <c:tickLblPos val="nextTo"/>
        <c:crossAx val="262824504"/>
        <c:crosses val="autoZero"/>
        <c:auto val="1"/>
        <c:lblAlgn val="ctr"/>
        <c:lblOffset val="100"/>
        <c:noMultiLvlLbl val="0"/>
      </c:catAx>
      <c:valAx>
        <c:axId val="262824504"/>
        <c:scaling>
          <c:orientation val="minMax"/>
        </c:scaling>
        <c:delete val="1"/>
        <c:axPos val="l"/>
        <c:numFmt formatCode="General" sourceLinked="1"/>
        <c:majorTickMark val="out"/>
        <c:minorTickMark val="none"/>
        <c:tickLblPos val="nextTo"/>
        <c:crossAx val="26282176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'vodeći po polu'!$C$46</c:f>
              <c:strCache>
                <c:ptCount val="1"/>
                <c:pt idx="0">
                  <c:v>Muškarci</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'vodeći po polu'!$B$47:$B$51</c:f>
              <c:strCache>
                <c:ptCount val="5"/>
                <c:pt idx="0">
                  <c:v>Akutni infarkt miokarda (I21)</c:v>
                </c:pt>
                <c:pt idx="1">
                  <c:v>Moždani udar (I63)</c:v>
                </c:pt>
                <c:pt idx="2">
                  <c:v>Srčani zastoj (I46)</c:v>
                </c:pt>
                <c:pt idx="3">
                  <c:v>Kardiomiopatija (I42)</c:v>
                </c:pt>
                <c:pt idx="4">
                  <c:v>Hipertenzija (I10)</c:v>
                </c:pt>
              </c:strCache>
            </c:strRef>
          </c:cat>
          <c:val>
            <c:numRef>
              <c:f>'vodeći po polu'!$C$47:$C$51</c:f>
              <c:numCache>
                <c:formatCode>0.0</c:formatCode>
                <c:ptCount val="5"/>
                <c:pt idx="0">
                  <c:v>104.28734963369932</c:v>
                </c:pt>
                <c:pt idx="1">
                  <c:v>80.891760436073056</c:v>
                </c:pt>
                <c:pt idx="2">
                  <c:v>65.438585283397416</c:v>
                </c:pt>
                <c:pt idx="3">
                  <c:v>52.834319516410581</c:v>
                </c:pt>
                <c:pt idx="4">
                  <c:v>35.050218502716824</c:v>
                </c:pt>
              </c:numCache>
            </c:numRef>
          </c:val>
        </c:ser>
        <c:ser>
          <c:idx val="1"/>
          <c:order val="1"/>
          <c:tx>
            <c:strRef>
              <c:f>'vodeći po polu'!$D$46</c:f>
              <c:strCache>
                <c:ptCount val="1"/>
                <c:pt idx="0">
                  <c:v>Žene</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'vodeći po polu'!$B$47:$B$51</c:f>
              <c:strCache>
                <c:ptCount val="5"/>
                <c:pt idx="0">
                  <c:v>Akutni infarkt miokarda (I21)</c:v>
                </c:pt>
                <c:pt idx="1">
                  <c:v>Moždani udar (I63)</c:v>
                </c:pt>
                <c:pt idx="2">
                  <c:v>Srčani zastoj (I46)</c:v>
                </c:pt>
                <c:pt idx="3">
                  <c:v>Kardiomiopatija (I42)</c:v>
                </c:pt>
                <c:pt idx="4">
                  <c:v>Hipertenzija (I10)</c:v>
                </c:pt>
              </c:strCache>
            </c:strRef>
          </c:cat>
          <c:val>
            <c:numRef>
              <c:f>'vodeći po polu'!$D$47:$D$51</c:f>
              <c:numCache>
                <c:formatCode>0.0</c:formatCode>
                <c:ptCount val="5"/>
                <c:pt idx="0">
                  <c:v>74.999362250320999</c:v>
                </c:pt>
                <c:pt idx="1">
                  <c:v>105.78141342335525</c:v>
                </c:pt>
                <c:pt idx="2">
                  <c:v>74.149029344988563</c:v>
                </c:pt>
                <c:pt idx="3">
                  <c:v>75.084395540854246</c:v>
                </c:pt>
                <c:pt idx="4">
                  <c:v>55.101572265541961</c:v>
                </c:pt>
              </c:numCache>
            </c:numRef>
          </c:val>
        </c:ser>
        <c:dLbls>
          <c:showLegendKey val="0"/>
          <c:showVal val="0"/>
          <c:showCatName val="0"/>
          <c:showSerName val="0"/>
          <c:showPercent val="0"/>
          <c:showBubbleSize val="0"/>
        </c:dLbls>
        <c:gapWidth val="150"/>
        <c:axId val="262823328"/>
        <c:axId val="262823720"/>
      </c:barChart>
      <c:catAx>
        <c:axId val="262823328"/>
        <c:scaling>
          <c:orientation val="minMax"/>
        </c:scaling>
        <c:delete val="0"/>
        <c:axPos val="b"/>
        <c:numFmt formatCode="General" sourceLinked="0"/>
        <c:majorTickMark val="out"/>
        <c:minorTickMark val="none"/>
        <c:tickLblPos val="nextTo"/>
        <c:txPr>
          <a:bodyPr rot="0" vert="horz"/>
          <a:lstStyle/>
          <a:p>
            <a:pPr>
              <a:defRPr lang="en-US"/>
            </a:pPr>
            <a:endParaRPr lang="en-US"/>
          </a:p>
        </c:txPr>
        <c:crossAx val="262823720"/>
        <c:crosses val="autoZero"/>
        <c:auto val="1"/>
        <c:lblAlgn val="ctr"/>
        <c:lblOffset val="100"/>
        <c:noMultiLvlLbl val="0"/>
      </c:catAx>
      <c:valAx>
        <c:axId val="262823720"/>
        <c:scaling>
          <c:orientation val="minMax"/>
        </c:scaling>
        <c:delete val="0"/>
        <c:axPos val="l"/>
        <c:majorGridlines/>
        <c:numFmt formatCode="0.0" sourceLinked="1"/>
        <c:majorTickMark val="out"/>
        <c:minorTickMark val="none"/>
        <c:tickLblPos val="nextTo"/>
        <c:txPr>
          <a:bodyPr/>
          <a:lstStyle/>
          <a:p>
            <a:pPr>
              <a:defRPr lang="en-US"/>
            </a:pPr>
            <a:endParaRPr lang="en-US"/>
          </a:p>
        </c:txPr>
        <c:crossAx val="26282332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'SDR M.N'!$B$16:$B$21</c:f>
              <c:strCache>
                <c:ptCount val="6"/>
                <c:pt idx="0">
                  <c:v>2010.</c:v>
                </c:pt>
                <c:pt idx="1">
                  <c:v>2011.</c:v>
                </c:pt>
                <c:pt idx="2">
                  <c:v>2012.</c:v>
                </c:pt>
                <c:pt idx="3">
                  <c:v>2013.</c:v>
                </c:pt>
                <c:pt idx="4">
                  <c:v>2014.</c:v>
                </c:pt>
                <c:pt idx="5">
                  <c:v>2015.</c:v>
                </c:pt>
              </c:strCache>
            </c:strRef>
          </c:cat>
          <c:val>
            <c:numRef>
              <c:f>'SDR M.N'!$C$16:$C$21</c:f>
              <c:numCache>
                <c:formatCode>General</c:formatCode>
                <c:ptCount val="6"/>
                <c:pt idx="0">
                  <c:v>151.5</c:v>
                </c:pt>
                <c:pt idx="1">
                  <c:v>154.6</c:v>
                </c:pt>
                <c:pt idx="2">
                  <c:v>162.6</c:v>
                </c:pt>
                <c:pt idx="3">
                  <c:v>153.6</c:v>
                </c:pt>
                <c:pt idx="4">
                  <c:v>159.6</c:v>
                </c:pt>
                <c:pt idx="5">
                  <c:v>164.1</c:v>
                </c:pt>
              </c:numCache>
            </c:numRef>
          </c:val>
          <c:smooth val="0"/>
        </c:ser>
        <c:dLbls>
          <c:showLegendKey val="0"/>
          <c:showVal val="0"/>
          <c:showCatName val="0"/>
          <c:showSerName val="0"/>
          <c:showPercent val="0"/>
          <c:showBubbleSize val="0"/>
        </c:dLbls>
        <c:marker val="1"/>
        <c:smooth val="0"/>
        <c:axId val="262820192"/>
        <c:axId val="262825288"/>
      </c:lineChart>
      <c:catAx>
        <c:axId val="262820192"/>
        <c:scaling>
          <c:orientation val="minMax"/>
        </c:scaling>
        <c:delete val="0"/>
        <c:axPos val="b"/>
        <c:numFmt formatCode="General" sourceLinked="0"/>
        <c:majorTickMark val="out"/>
        <c:minorTickMark val="none"/>
        <c:tickLblPos val="nextTo"/>
        <c:crossAx val="262825288"/>
        <c:crosses val="autoZero"/>
        <c:auto val="1"/>
        <c:lblAlgn val="ctr"/>
        <c:lblOffset val="100"/>
        <c:noMultiLvlLbl val="0"/>
      </c:catAx>
      <c:valAx>
        <c:axId val="262825288"/>
        <c:scaling>
          <c:orientation val="minMax"/>
        </c:scaling>
        <c:delete val="0"/>
        <c:axPos val="l"/>
        <c:numFmt formatCode="General" sourceLinked="1"/>
        <c:majorTickMark val="out"/>
        <c:minorTickMark val="none"/>
        <c:tickLblPos val="nextTo"/>
        <c:crossAx val="262820192"/>
        <c:crosses val="autoZero"/>
        <c:crossBetween val="between"/>
      </c:valAx>
    </c:plotArea>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ukupno!$B$23</c:f>
              <c:strCache>
                <c:ptCount val="1"/>
                <c:pt idx="0">
                  <c:v>Bronha i pluća (C34)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ukupno!$C$23:$D$23</c:f>
              <c:numCache>
                <c:formatCode>0.0</c:formatCode>
                <c:ptCount val="2"/>
                <c:pt idx="0" formatCode="General">
                  <c:v>24.8</c:v>
                </c:pt>
                <c:pt idx="1">
                  <c:v>22.527472527472533</c:v>
                </c:pt>
              </c:numCache>
            </c:numRef>
          </c:val>
        </c:ser>
        <c:ser>
          <c:idx val="1"/>
          <c:order val="1"/>
          <c:tx>
            <c:strRef>
              <c:f>ukupno!$B$24</c:f>
              <c:strCache>
                <c:ptCount val="1"/>
                <c:pt idx="0">
                  <c:v>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ukupno!$C$24:$D$24</c:f>
              <c:numCache>
                <c:formatCode>0.0</c:formatCode>
                <c:ptCount val="2"/>
                <c:pt idx="0" formatCode="General">
                  <c:v>7.1</c:v>
                </c:pt>
                <c:pt idx="1">
                  <c:v>7.4065934065934114</c:v>
                </c:pt>
              </c:numCache>
            </c:numRef>
          </c:val>
        </c:ser>
        <c:ser>
          <c:idx val="2"/>
          <c:order val="2"/>
          <c:tx>
            <c:strRef>
              <c:f>ukupno!$B$25</c:f>
              <c:strCache>
                <c:ptCount val="1"/>
                <c:pt idx="0">
                  <c:v>Dojke (C50)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ukupno!$C$25:$D$25</c:f>
              <c:numCache>
                <c:formatCode>0.0</c:formatCode>
                <c:ptCount val="2"/>
                <c:pt idx="0" formatCode="General">
                  <c:v>6.1</c:v>
                </c:pt>
                <c:pt idx="1">
                  <c:v>6.6373626373626404</c:v>
                </c:pt>
              </c:numCache>
            </c:numRef>
          </c:val>
        </c:ser>
        <c:ser>
          <c:idx val="3"/>
          <c:order val="3"/>
          <c:tx>
            <c:strRef>
              <c:f>ukupno!$B$26</c:f>
              <c:strCache>
                <c:ptCount val="1"/>
                <c:pt idx="0">
                  <c:v>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ukupno!$C$26:$D$26</c:f>
              <c:numCache>
                <c:formatCode>0.0</c:formatCode>
                <c:ptCount val="2"/>
                <c:pt idx="0" formatCode="General">
                  <c:v>5.9</c:v>
                </c:pt>
                <c:pt idx="1">
                  <c:v>7.0329670329670328</c:v>
                </c:pt>
              </c:numCache>
            </c:numRef>
          </c:val>
        </c:ser>
        <c:ser>
          <c:idx val="4"/>
          <c:order val="4"/>
          <c:tx>
            <c:strRef>
              <c:f>ukupno!$B$27</c:f>
              <c:strCache>
                <c:ptCount val="1"/>
                <c:pt idx="0">
                  <c:v>Pankreasa (C25)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ukupno!$C$27:$D$27</c:f>
              <c:numCache>
                <c:formatCode>General</c:formatCode>
                <c:ptCount val="2"/>
                <c:pt idx="0">
                  <c:v>5.5</c:v>
                </c:pt>
              </c:numCache>
            </c:numRef>
          </c:val>
        </c:ser>
        <c:ser>
          <c:idx val="5"/>
          <c:order val="5"/>
          <c:tx>
            <c:strRef>
              <c:f>ukupno!$B$28</c:f>
              <c:strCache>
                <c:ptCount val="1"/>
                <c:pt idx="0">
                  <c:v>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ukupno!$C$28:$D$28</c:f>
              <c:numCache>
                <c:formatCode>0.0</c:formatCode>
                <c:ptCount val="2"/>
                <c:pt idx="1">
                  <c:v>6.197802197802198</c:v>
                </c:pt>
              </c:numCache>
            </c:numRef>
          </c:val>
        </c:ser>
        <c:dLbls>
          <c:showLegendKey val="0"/>
          <c:showVal val="0"/>
          <c:showCatName val="0"/>
          <c:showSerName val="0"/>
          <c:showPercent val="0"/>
          <c:showBubbleSize val="0"/>
        </c:dLbls>
        <c:gapWidth val="150"/>
        <c:axId val="262818624"/>
        <c:axId val="262819016"/>
      </c:barChart>
      <c:catAx>
        <c:axId val="262818624"/>
        <c:scaling>
          <c:orientation val="minMax"/>
        </c:scaling>
        <c:delete val="0"/>
        <c:axPos val="b"/>
        <c:numFmt formatCode="General" sourceLinked="0"/>
        <c:majorTickMark val="out"/>
        <c:minorTickMark val="none"/>
        <c:tickLblPos val="nextTo"/>
        <c:crossAx val="262819016"/>
        <c:crosses val="autoZero"/>
        <c:auto val="1"/>
        <c:lblAlgn val="ctr"/>
        <c:lblOffset val="100"/>
        <c:noMultiLvlLbl val="0"/>
      </c:catAx>
      <c:valAx>
        <c:axId val="262819016"/>
        <c:scaling>
          <c:orientation val="minMax"/>
        </c:scaling>
        <c:delete val="0"/>
        <c:axPos val="l"/>
        <c:numFmt formatCode="General" sourceLinked="1"/>
        <c:majorTickMark val="out"/>
        <c:minorTickMark val="none"/>
        <c:tickLblPos val="nextTo"/>
        <c:crossAx val="262818624"/>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'm.n. muškarci'!$B$17</c:f>
              <c:strCache>
                <c:ptCount val="1"/>
                <c:pt idx="0">
                  <c:v>Maligna neoplazma bronha i pluća (C34)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muškarci'!$C$17:$D$17</c:f>
              <c:numCache>
                <c:formatCode>0.0</c:formatCode>
                <c:ptCount val="2"/>
                <c:pt idx="0" formatCode="General">
                  <c:v>33.800000000000004</c:v>
                </c:pt>
                <c:pt idx="1">
                  <c:v>29.618202853837236</c:v>
                </c:pt>
              </c:numCache>
            </c:numRef>
          </c:val>
        </c:ser>
        <c:ser>
          <c:idx val="1"/>
          <c:order val="1"/>
          <c:tx>
            <c:strRef>
              <c:f>'m.n. muškarci'!$B$18</c:f>
              <c:strCache>
                <c:ptCount val="1"/>
                <c:pt idx="0">
                  <c:v>Maligna neoplazma prostate (C61)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muškarci'!$C$18:$D$18</c:f>
              <c:numCache>
                <c:formatCode>0.0</c:formatCode>
                <c:ptCount val="2"/>
                <c:pt idx="0" formatCode="General">
                  <c:v>7.7</c:v>
                </c:pt>
                <c:pt idx="1">
                  <c:v>9.0242961820285359</c:v>
                </c:pt>
              </c:numCache>
            </c:numRef>
          </c:val>
        </c:ser>
        <c:ser>
          <c:idx val="2"/>
          <c:order val="2"/>
          <c:tx>
            <c:strRef>
              <c:f>'m.n. muškarci'!$B$19</c:f>
              <c:strCache>
                <c:ptCount val="1"/>
                <c:pt idx="0">
                  <c:v>Maligna neoplazma 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muškarci'!$C$19:$D$19</c:f>
              <c:numCache>
                <c:formatCode>0.0</c:formatCode>
                <c:ptCount val="2"/>
                <c:pt idx="0">
                  <c:v>7</c:v>
                </c:pt>
                <c:pt idx="1">
                  <c:v>8.1372927111453937</c:v>
                </c:pt>
              </c:numCache>
            </c:numRef>
          </c:val>
        </c:ser>
        <c:ser>
          <c:idx val="3"/>
          <c:order val="3"/>
          <c:tx>
            <c:strRef>
              <c:f>'m.n. muškarci'!$B$20</c:f>
              <c:strCache>
                <c:ptCount val="1"/>
                <c:pt idx="0">
                  <c:v>Maligna neoplazma 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muškarci'!$C$20:$D$20</c:f>
              <c:numCache>
                <c:formatCode>0.0</c:formatCode>
                <c:ptCount val="2"/>
                <c:pt idx="0" formatCode="General">
                  <c:v>5.9</c:v>
                </c:pt>
                <c:pt idx="1">
                  <c:v>6.5946779791746986</c:v>
                </c:pt>
              </c:numCache>
            </c:numRef>
          </c:val>
        </c:ser>
        <c:ser>
          <c:idx val="4"/>
          <c:order val="4"/>
          <c:tx>
            <c:strRef>
              <c:f>'m.n. muškarci'!$B$21</c:f>
              <c:strCache>
                <c:ptCount val="1"/>
                <c:pt idx="0">
                  <c:v>Maligna neoplazma 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muškarci'!$C$21:$D$21</c:f>
              <c:numCache>
                <c:formatCode>0.0</c:formatCode>
                <c:ptCount val="2"/>
                <c:pt idx="0" formatCode="General">
                  <c:v>5.4</c:v>
                </c:pt>
                <c:pt idx="1">
                  <c:v>6.0547628229849595</c:v>
                </c:pt>
              </c:numCache>
            </c:numRef>
          </c:val>
        </c:ser>
        <c:dLbls>
          <c:showLegendKey val="0"/>
          <c:showVal val="0"/>
          <c:showCatName val="0"/>
          <c:showSerName val="0"/>
          <c:showPercent val="0"/>
          <c:showBubbleSize val="0"/>
        </c:dLbls>
        <c:gapWidth val="150"/>
        <c:axId val="262820584"/>
        <c:axId val="263340872"/>
      </c:barChart>
      <c:catAx>
        <c:axId val="262820584"/>
        <c:scaling>
          <c:orientation val="minMax"/>
        </c:scaling>
        <c:delete val="0"/>
        <c:axPos val="b"/>
        <c:numFmt formatCode="General" sourceLinked="0"/>
        <c:majorTickMark val="out"/>
        <c:minorTickMark val="none"/>
        <c:tickLblPos val="nextTo"/>
        <c:crossAx val="263340872"/>
        <c:crosses val="autoZero"/>
        <c:auto val="1"/>
        <c:lblAlgn val="ctr"/>
        <c:lblOffset val="100"/>
        <c:noMultiLvlLbl val="0"/>
      </c:catAx>
      <c:valAx>
        <c:axId val="263340872"/>
        <c:scaling>
          <c:orientation val="minMax"/>
        </c:scaling>
        <c:delete val="0"/>
        <c:axPos val="l"/>
        <c:numFmt formatCode="General" sourceLinked="1"/>
        <c:majorTickMark val="out"/>
        <c:minorTickMark val="none"/>
        <c:tickLblPos val="nextTo"/>
        <c:crossAx val="26282058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m.n.žene!$B$20</c:f>
              <c:strCache>
                <c:ptCount val="1"/>
                <c:pt idx="0">
                  <c:v>Maligna neoplazma dojke žene (C50)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m.n.žene!$C$20:$D$20</c:f>
              <c:numCache>
                <c:formatCode>0.0</c:formatCode>
                <c:ptCount val="2"/>
                <c:pt idx="0" formatCode="General">
                  <c:v>14.1</c:v>
                </c:pt>
                <c:pt idx="1">
                  <c:v>15.125191619826275</c:v>
                </c:pt>
              </c:numCache>
            </c:numRef>
          </c:val>
        </c:ser>
        <c:ser>
          <c:idx val="1"/>
          <c:order val="1"/>
          <c:tx>
            <c:strRef>
              <c:f>m.n.žene!$B$21</c:f>
              <c:strCache>
                <c:ptCount val="1"/>
                <c:pt idx="0">
                  <c:v>Maligna neoplazma bronha i pluća (C34)</c:v>
                </c:pt>
              </c:strCache>
            </c:strRef>
          </c:tx>
          <c:invertIfNegative val="0"/>
          <c:dLbls>
            <c:dLbl>
              <c:idx val="0"/>
              <c:layout>
                <c:manualLayout>
                  <c:x val="1.1111111111111125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94E-2"/>
                  <c:y val="3.252032520325188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m.n.žene!$C$21:$D$21</c:f>
              <c:numCache>
                <c:formatCode>0.0</c:formatCode>
                <c:ptCount val="2"/>
                <c:pt idx="0" formatCode="General">
                  <c:v>12.8</c:v>
                </c:pt>
                <c:pt idx="1">
                  <c:v>13.132345426673467</c:v>
                </c:pt>
              </c:numCache>
            </c:numRef>
          </c:val>
        </c:ser>
        <c:ser>
          <c:idx val="2"/>
          <c:order val="2"/>
          <c:tx>
            <c:strRef>
              <c:f>m.n.žene!$B$22</c:f>
              <c:strCache>
                <c:ptCount val="1"/>
                <c:pt idx="0">
                  <c:v>Maligna neoplazma 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m.n.žene!$C$22:$D$22</c:f>
              <c:numCache>
                <c:formatCode>0.0</c:formatCode>
                <c:ptCount val="2"/>
                <c:pt idx="0" formatCode="General">
                  <c:v>7.3</c:v>
                </c:pt>
                <c:pt idx="1">
                  <c:v>6.4384261624936192</c:v>
                </c:pt>
              </c:numCache>
            </c:numRef>
          </c:val>
        </c:ser>
        <c:ser>
          <c:idx val="3"/>
          <c:order val="3"/>
          <c:tx>
            <c:strRef>
              <c:f>m.n.žene!$B$23</c:f>
              <c:strCache>
                <c:ptCount val="1"/>
                <c:pt idx="0">
                  <c:v>Maligna neoplazma pankreasa (C25)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m.n.žene!$C$23:$D$23</c:f>
              <c:numCache>
                <c:formatCode>General</c:formatCode>
                <c:ptCount val="2"/>
                <c:pt idx="0">
                  <c:v>6.5</c:v>
                </c:pt>
              </c:numCache>
            </c:numRef>
          </c:val>
        </c:ser>
        <c:ser>
          <c:idx val="4"/>
          <c:order val="4"/>
          <c:tx>
            <c:strRef>
              <c:f>m.n.žene!$B$24</c:f>
              <c:strCache>
                <c:ptCount val="1"/>
                <c:pt idx="0">
                  <c:v>Maligna neoplazma 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m.n.žene!$C$24:$D$24</c:f>
              <c:numCache>
                <c:formatCode>0.0</c:formatCode>
                <c:ptCount val="2"/>
                <c:pt idx="0">
                  <c:v>6</c:v>
                </c:pt>
                <c:pt idx="1">
                  <c:v>7.6136944302503835</c:v>
                </c:pt>
              </c:numCache>
            </c:numRef>
          </c:val>
        </c:ser>
        <c:ser>
          <c:idx val="5"/>
          <c:order val="5"/>
          <c:tx>
            <c:strRef>
              <c:f>m.n.žene!$B$25</c:f>
              <c:strCache>
                <c:ptCount val="1"/>
                <c:pt idx="0">
                  <c:v>Maligna neoplazma 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m.n.žene!$C$25:$D$25</c:f>
              <c:numCache>
                <c:formatCode>0.0</c:formatCode>
                <c:ptCount val="2"/>
                <c:pt idx="1">
                  <c:v>6.3873275421563616</c:v>
                </c:pt>
              </c:numCache>
            </c:numRef>
          </c:val>
        </c:ser>
        <c:dLbls>
          <c:showLegendKey val="0"/>
          <c:showVal val="0"/>
          <c:showCatName val="0"/>
          <c:showSerName val="0"/>
          <c:showPercent val="0"/>
          <c:showBubbleSize val="0"/>
        </c:dLbls>
        <c:gapWidth val="150"/>
        <c:axId val="263344792"/>
        <c:axId val="263339696"/>
      </c:barChart>
      <c:catAx>
        <c:axId val="263344792"/>
        <c:scaling>
          <c:orientation val="minMax"/>
        </c:scaling>
        <c:delete val="0"/>
        <c:axPos val="b"/>
        <c:numFmt formatCode="General" sourceLinked="0"/>
        <c:majorTickMark val="out"/>
        <c:minorTickMark val="none"/>
        <c:tickLblPos val="nextTo"/>
        <c:crossAx val="263339696"/>
        <c:crosses val="autoZero"/>
        <c:auto val="1"/>
        <c:lblAlgn val="ctr"/>
        <c:lblOffset val="100"/>
        <c:noMultiLvlLbl val="0"/>
      </c:catAx>
      <c:valAx>
        <c:axId val="263339696"/>
        <c:scaling>
          <c:orientation val="minMax"/>
        </c:scaling>
        <c:delete val="0"/>
        <c:axPos val="l"/>
        <c:numFmt formatCode="General" sourceLinked="1"/>
        <c:majorTickMark val="out"/>
        <c:minorTickMark val="none"/>
        <c:tickLblPos val="nextTo"/>
        <c:crossAx val="263344792"/>
        <c:crosses val="autoZero"/>
        <c:crossBetween val="between"/>
      </c:valAx>
    </c:plotArea>
    <c:legend>
      <c:legendPos val="r"/>
      <c:layout>
        <c:manualLayout>
          <c:xMode val="edge"/>
          <c:yMode val="edge"/>
          <c:x val="0.65833333333333421"/>
          <c:y val="0.1756220472440945"/>
          <c:w val="0.34166666666666717"/>
          <c:h val="0.72030062095896541"/>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925477418770985"/>
          <c:y val="4.7930283224400932E-2"/>
          <c:w val="0.5111658973662776"/>
          <c:h val="0.8323273806460465"/>
        </c:manualLayout>
      </c:layout>
      <c:barChart>
        <c:barDir val="bar"/>
        <c:grouping val="clustered"/>
        <c:varyColors val="0"/>
        <c:ser>
          <c:idx val="0"/>
          <c:order val="0"/>
          <c:tx>
            <c:strRef>
              <c:f>'trend kantoni'!$B$3</c:f>
              <c:strCache>
                <c:ptCount val="1"/>
                <c:pt idx="0">
                  <c:v>mortalitet </c:v>
                </c:pt>
              </c:strCache>
            </c:strRef>
          </c:tx>
          <c:invertIfNegative val="0"/>
          <c:dLbls>
            <c:spPr>
              <a:noFill/>
              <a:ln>
                <a:noFill/>
              </a:ln>
              <a:effectLst/>
            </c:spPr>
            <c:txPr>
              <a:bodyPr/>
              <a:lstStyle/>
              <a:p>
                <a:pPr>
                  <a:defRPr b="1">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'trend kantoni'!$A$4:$A$13</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'trend kantoni'!$B$4:$B$13</c:f>
              <c:numCache>
                <c:formatCode>0.0</c:formatCode>
                <c:ptCount val="10"/>
                <c:pt idx="0">
                  <c:v>7.6542521687628469</c:v>
                </c:pt>
                <c:pt idx="1">
                  <c:v>12.117263843648209</c:v>
                </c:pt>
                <c:pt idx="2">
                  <c:v>8.2062530324841685</c:v>
                </c:pt>
                <c:pt idx="3">
                  <c:v>8.8850911950636728</c:v>
                </c:pt>
                <c:pt idx="4">
                  <c:v>9.6781175597538684</c:v>
                </c:pt>
                <c:pt idx="5">
                  <c:v>9.0578990441532845</c:v>
                </c:pt>
                <c:pt idx="6">
                  <c:v>10.596453231068031</c:v>
                </c:pt>
                <c:pt idx="7">
                  <c:v>11.007391555670345</c:v>
                </c:pt>
                <c:pt idx="8">
                  <c:v>10.001051800032668</c:v>
                </c:pt>
                <c:pt idx="9">
                  <c:v>11.17584268940417</c:v>
                </c:pt>
              </c:numCache>
            </c:numRef>
          </c:val>
        </c:ser>
        <c:ser>
          <c:idx val="1"/>
          <c:order val="1"/>
          <c:tx>
            <c:strRef>
              <c:f>'trend kantoni'!$C$3</c:f>
              <c:strCache>
                <c:ptCount val="1"/>
                <c:pt idx="0">
                  <c:v>natalitet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'trend kantoni'!$A$4:$A$13</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'trend kantoni'!$C$4:$C$13</c:f>
              <c:numCache>
                <c:formatCode>0.0</c:formatCode>
                <c:ptCount val="10"/>
                <c:pt idx="0">
                  <c:v>7.3581158763892116</c:v>
                </c:pt>
                <c:pt idx="1">
                  <c:v>5.0553745928338794</c:v>
                </c:pt>
                <c:pt idx="2">
                  <c:v>7.8072683382588233</c:v>
                </c:pt>
                <c:pt idx="3">
                  <c:v>8.7162114475262769</c:v>
                </c:pt>
                <c:pt idx="4">
                  <c:v>6.7097492347175489</c:v>
                </c:pt>
                <c:pt idx="5">
                  <c:v>7.8541519343381765</c:v>
                </c:pt>
                <c:pt idx="6">
                  <c:v>7.9160159483780834</c:v>
                </c:pt>
                <c:pt idx="7">
                  <c:v>9.0641872363453242</c:v>
                </c:pt>
                <c:pt idx="8">
                  <c:v>10.397155216592482</c:v>
                </c:pt>
                <c:pt idx="9">
                  <c:v>5.2471160152783671</c:v>
                </c:pt>
              </c:numCache>
            </c:numRef>
          </c:val>
        </c:ser>
        <c:dLbls>
          <c:showLegendKey val="0"/>
          <c:showVal val="0"/>
          <c:showCatName val="0"/>
          <c:showSerName val="0"/>
          <c:showPercent val="0"/>
          <c:showBubbleSize val="0"/>
        </c:dLbls>
        <c:gapWidth val="150"/>
        <c:axId val="261381800"/>
        <c:axId val="261379056"/>
      </c:barChart>
      <c:catAx>
        <c:axId val="261381800"/>
        <c:scaling>
          <c:orientation val="maxMin"/>
        </c:scaling>
        <c:delete val="0"/>
        <c:axPos val="l"/>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261379056"/>
        <c:crosses val="autoZero"/>
        <c:auto val="1"/>
        <c:lblAlgn val="ctr"/>
        <c:lblOffset val="100"/>
        <c:noMultiLvlLbl val="0"/>
      </c:catAx>
      <c:valAx>
        <c:axId val="261379056"/>
        <c:scaling>
          <c:orientation val="minMax"/>
        </c:scaling>
        <c:delete val="0"/>
        <c:axPos val="t"/>
        <c:numFmt formatCode="0" sourceLinked="0"/>
        <c:majorTickMark val="out"/>
        <c:minorTickMark val="none"/>
        <c:tickLblPos val="high"/>
        <c:spPr>
          <a:noFill/>
          <a:ln>
            <a:noFill/>
          </a:ln>
        </c:spPr>
        <c:crossAx val="261381800"/>
        <c:crosses val="autoZero"/>
        <c:crossBetween val="between"/>
      </c:valAx>
    </c:plotArea>
    <c:legend>
      <c:legendPos val="r"/>
      <c:layout/>
      <c:overlay val="0"/>
      <c:txPr>
        <a:bodyPr/>
        <a:lstStyle/>
        <a:p>
          <a:pPr>
            <a:defRPr>
              <a:latin typeface="Arial" pitchFamily="34" charset="0"/>
              <a:cs typeface="Arial" pitchFamily="34" charset="0"/>
            </a:defRPr>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mortalitet!$E$43:$E$48</c:f>
              <c:strCache>
                <c:ptCount val="6"/>
                <c:pt idx="0">
                  <c:v>2010.</c:v>
                </c:pt>
                <c:pt idx="1">
                  <c:v>2011.</c:v>
                </c:pt>
                <c:pt idx="2">
                  <c:v>2012.</c:v>
                </c:pt>
                <c:pt idx="3">
                  <c:v>2013.</c:v>
                </c:pt>
                <c:pt idx="4">
                  <c:v>2014.</c:v>
                </c:pt>
                <c:pt idx="5">
                  <c:v>2015.</c:v>
                </c:pt>
              </c:strCache>
            </c:strRef>
          </c:cat>
          <c:val>
            <c:numRef>
              <c:f>mortalitet!$F$43:$F$48</c:f>
              <c:numCache>
                <c:formatCode>General</c:formatCode>
                <c:ptCount val="6"/>
                <c:pt idx="0">
                  <c:v>24.9</c:v>
                </c:pt>
                <c:pt idx="1">
                  <c:v>23.3</c:v>
                </c:pt>
                <c:pt idx="2">
                  <c:v>21.7</c:v>
                </c:pt>
                <c:pt idx="3">
                  <c:v>21.4</c:v>
                </c:pt>
                <c:pt idx="4">
                  <c:v>20.399999999999999</c:v>
                </c:pt>
                <c:pt idx="5">
                  <c:v>21.7</c:v>
                </c:pt>
              </c:numCache>
            </c:numRef>
          </c:val>
        </c:ser>
        <c:dLbls>
          <c:showLegendKey val="0"/>
          <c:showVal val="0"/>
          <c:showCatName val="0"/>
          <c:showSerName val="0"/>
          <c:showPercent val="0"/>
          <c:showBubbleSize val="0"/>
        </c:dLbls>
        <c:gapWidth val="150"/>
        <c:axId val="263345576"/>
        <c:axId val="263341264"/>
      </c:barChart>
      <c:catAx>
        <c:axId val="263345576"/>
        <c:scaling>
          <c:orientation val="minMax"/>
        </c:scaling>
        <c:delete val="0"/>
        <c:axPos val="b"/>
        <c:numFmt formatCode="General" sourceLinked="0"/>
        <c:majorTickMark val="out"/>
        <c:minorTickMark val="none"/>
        <c:tickLblPos val="nextTo"/>
        <c:crossAx val="263341264"/>
        <c:crosses val="autoZero"/>
        <c:auto val="1"/>
        <c:lblAlgn val="ctr"/>
        <c:lblOffset val="100"/>
        <c:noMultiLvlLbl val="0"/>
      </c:catAx>
      <c:valAx>
        <c:axId val="263341264"/>
        <c:scaling>
          <c:orientation val="minMax"/>
        </c:scaling>
        <c:delete val="1"/>
        <c:axPos val="l"/>
        <c:numFmt formatCode="General" sourceLinked="1"/>
        <c:majorTickMark val="out"/>
        <c:minorTickMark val="none"/>
        <c:tickLblPos val="none"/>
        <c:crossAx val="263345576"/>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mortalitet!$D$16</c:f>
              <c:strCache>
                <c:ptCount val="1"/>
                <c:pt idx="0">
                  <c:v>Do 5 god.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mortalitet!$E$16:$J$16</c:f>
              <c:numCache>
                <c:formatCode>0.0</c:formatCode>
                <c:ptCount val="6"/>
                <c:pt idx="0">
                  <c:v>5.0313959104814039</c:v>
                </c:pt>
                <c:pt idx="1">
                  <c:v>2.5156979552406997</c:v>
                </c:pt>
                <c:pt idx="2">
                  <c:v>3.0188071686607572</c:v>
                </c:pt>
                <c:pt idx="3">
                  <c:v>2.5</c:v>
                </c:pt>
                <c:pt idx="4">
                  <c:v>1.5104143066443119</c:v>
                </c:pt>
                <c:pt idx="5">
                  <c:v>2.5199126013672637</c:v>
                </c:pt>
              </c:numCache>
            </c:numRef>
          </c:val>
        </c:ser>
        <c:ser>
          <c:idx val="1"/>
          <c:order val="1"/>
          <c:tx>
            <c:strRef>
              <c:f>mortalitet!$D$17</c:f>
              <c:strCache>
                <c:ptCount val="1"/>
                <c:pt idx="0">
                  <c:v>Od 5-19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mortalitet!$E$17:$J$17</c:f>
              <c:numCache>
                <c:formatCode>0.0</c:formatCode>
                <c:ptCount val="6"/>
                <c:pt idx="0">
                  <c:v>7.6389025297862592</c:v>
                </c:pt>
                <c:pt idx="1">
                  <c:v>9.1642828621364529</c:v>
                </c:pt>
                <c:pt idx="2">
                  <c:v>5.2367216376974115</c:v>
                </c:pt>
                <c:pt idx="3">
                  <c:v>6.5</c:v>
                </c:pt>
                <c:pt idx="4">
                  <c:v>4.8035249139186496</c:v>
                </c:pt>
                <c:pt idx="5">
                  <c:v>6.9940431384887338</c:v>
                </c:pt>
              </c:numCache>
            </c:numRef>
          </c:val>
        </c:ser>
        <c:ser>
          <c:idx val="2"/>
          <c:order val="2"/>
          <c:tx>
            <c:strRef>
              <c:f>mortalitet!$D$18</c:f>
              <c:strCache>
                <c:ptCount val="1"/>
                <c:pt idx="0">
                  <c:v>Od 20-64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mortalitet!$E$18:$J$18</c:f>
              <c:numCache>
                <c:formatCode>0.0</c:formatCode>
                <c:ptCount val="6"/>
                <c:pt idx="0">
                  <c:v>28.419877039625746</c:v>
                </c:pt>
                <c:pt idx="1">
                  <c:v>25.452804654903623</c:v>
                </c:pt>
                <c:pt idx="2">
                  <c:v>26.266644173540357</c:v>
                </c:pt>
                <c:pt idx="3">
                  <c:v>24.1</c:v>
                </c:pt>
                <c:pt idx="4">
                  <c:v>24.136973623322554</c:v>
                </c:pt>
                <c:pt idx="5">
                  <c:v>24.1615149425214</c:v>
                </c:pt>
              </c:numCache>
            </c:numRef>
          </c:val>
        </c:ser>
        <c:ser>
          <c:idx val="3"/>
          <c:order val="3"/>
          <c:tx>
            <c:strRef>
              <c:f>mortalitet!$D$19</c:f>
              <c:strCache>
                <c:ptCount val="1"/>
                <c:pt idx="0">
                  <c:v>65 i više god.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mortalitet!$E$19:$J$19</c:f>
              <c:numCache>
                <c:formatCode>0.0</c:formatCode>
                <c:ptCount val="6"/>
                <c:pt idx="0">
                  <c:v>46.721741689445999</c:v>
                </c:pt>
                <c:pt idx="1">
                  <c:v>46.70969620498888</c:v>
                </c:pt>
                <c:pt idx="2">
                  <c:v>37.306981865167053</c:v>
                </c:pt>
                <c:pt idx="3">
                  <c:v>42.5</c:v>
                </c:pt>
                <c:pt idx="4">
                  <c:v>37.938800162681574</c:v>
                </c:pt>
                <c:pt idx="5">
                  <c:v>43.74997197267421</c:v>
                </c:pt>
              </c:numCache>
            </c:numRef>
          </c:val>
        </c:ser>
        <c:dLbls>
          <c:showLegendKey val="0"/>
          <c:showVal val="0"/>
          <c:showCatName val="0"/>
          <c:showSerName val="0"/>
          <c:showPercent val="0"/>
          <c:showBubbleSize val="0"/>
        </c:dLbls>
        <c:gapWidth val="150"/>
        <c:axId val="263343616"/>
        <c:axId val="263344400"/>
      </c:barChart>
      <c:catAx>
        <c:axId val="263343616"/>
        <c:scaling>
          <c:orientation val="minMax"/>
        </c:scaling>
        <c:delete val="0"/>
        <c:axPos val="b"/>
        <c:numFmt formatCode="General" sourceLinked="0"/>
        <c:majorTickMark val="out"/>
        <c:minorTickMark val="none"/>
        <c:tickLblPos val="nextTo"/>
        <c:crossAx val="263344400"/>
        <c:crosses val="autoZero"/>
        <c:auto val="1"/>
        <c:lblAlgn val="ctr"/>
        <c:lblOffset val="100"/>
        <c:noMultiLvlLbl val="0"/>
      </c:catAx>
      <c:valAx>
        <c:axId val="263344400"/>
        <c:scaling>
          <c:orientation val="minMax"/>
        </c:scaling>
        <c:delete val="1"/>
        <c:axPos val="l"/>
        <c:numFmt formatCode="0.0" sourceLinked="1"/>
        <c:majorTickMark val="out"/>
        <c:minorTickMark val="none"/>
        <c:tickLblPos val="none"/>
        <c:crossAx val="263343616"/>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Mortalitet!$B$320</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noFill/>
              </a:ln>
              <a:effectLst/>
              <a:sp3d/>
            </c:spPr>
          </c:dPt>
          <c:dLbls>
            <c:dLbl>
              <c:idx val="0"/>
              <c:layout>
                <c:manualLayout>
                  <c:x val="-0.14360520559930018"/>
                  <c:y val="-0.14057596967045782"/>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Mortalitet!$A$321:$A$322</c:f>
              <c:strCache>
                <c:ptCount val="2"/>
                <c:pt idx="0">
                  <c:v>muškarci</c:v>
                </c:pt>
                <c:pt idx="1">
                  <c:v>žene</c:v>
                </c:pt>
              </c:strCache>
            </c:strRef>
          </c:cat>
          <c:val>
            <c:numRef>
              <c:f>Mortalitet!$B$321:$B$322</c:f>
              <c:numCache>
                <c:formatCode>General</c:formatCode>
                <c:ptCount val="2"/>
                <c:pt idx="0">
                  <c:v>59.8</c:v>
                </c:pt>
                <c:pt idx="1">
                  <c:v>41.8</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Sheet1!$C$19</c:f>
              <c:strCache>
                <c:ptCount val="1"/>
                <c:pt idx="0">
                  <c:v>2010.</c:v>
                </c:pt>
              </c:strCache>
            </c:strRef>
          </c:tx>
          <c:invertIfNegative val="0"/>
          <c:dLbls>
            <c:dLbl>
              <c:idx val="2"/>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Sheet1!$B$20:$B$26</c:f>
              <c:strCache>
                <c:ptCount val="7"/>
                <c:pt idx="0">
                  <c:v>Respiratorni distres novorođenčeta P22</c:v>
                </c:pt>
                <c:pt idx="1">
                  <c:v>Asfiksija novorođenčeta P21</c:v>
                </c:pt>
                <c:pt idx="2">
                  <c:v>Poremećaji vezani za kraću trudnoću i malu porođajnu težinu novorođenčeta P07</c:v>
                </c:pt>
                <c:pt idx="3">
                  <c:v>Druga plućna oboljenja srca I27</c:v>
                </c:pt>
                <c:pt idx="4">
                  <c:v>Druge kongentalne malformacije Q24</c:v>
                </c:pt>
                <c:pt idx="5">
                  <c:v>Kardiovaskularni poremećaji porijeklom iz perinatalnog perioda P29</c:v>
                </c:pt>
                <c:pt idx="6">
                  <c:v>Bakterijska sepsa novorođenčeta P36</c:v>
                </c:pt>
              </c:strCache>
            </c:strRef>
          </c:cat>
          <c:val>
            <c:numRef>
              <c:f>Sheet1!$C$20:$C$26</c:f>
              <c:numCache>
                <c:formatCode>0.0</c:formatCode>
                <c:ptCount val="7"/>
                <c:pt idx="0">
                  <c:v>18.02325581395349</c:v>
                </c:pt>
                <c:pt idx="1">
                  <c:v>16.279069767441861</c:v>
                </c:pt>
                <c:pt idx="2">
                  <c:v>15.697674418604652</c:v>
                </c:pt>
                <c:pt idx="3">
                  <c:v>5.8139534883720927</c:v>
                </c:pt>
                <c:pt idx="4">
                  <c:v>5.232558139534885</c:v>
                </c:pt>
              </c:numCache>
            </c:numRef>
          </c:val>
        </c:ser>
        <c:ser>
          <c:idx val="1"/>
          <c:order val="1"/>
          <c:tx>
            <c:strRef>
              <c:f>Sheet1!$D$19</c:f>
              <c:strCache>
                <c:ptCount val="1"/>
                <c:pt idx="0">
                  <c:v>2015.</c:v>
                </c:pt>
              </c:strCache>
            </c:strRef>
          </c:tx>
          <c:invertIfNegative val="0"/>
          <c:dLbls>
            <c:dLbl>
              <c:idx val="0"/>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Sheet1!$B$20:$B$26</c:f>
              <c:strCache>
                <c:ptCount val="7"/>
                <c:pt idx="0">
                  <c:v>Respiratorni distres novorođenčeta P22</c:v>
                </c:pt>
                <c:pt idx="1">
                  <c:v>Asfiksija novorođenčeta P21</c:v>
                </c:pt>
                <c:pt idx="2">
                  <c:v>Poremećaji vezani za kraću trudnoću i malu porođajnu težinu novorođenčeta P07</c:v>
                </c:pt>
                <c:pt idx="3">
                  <c:v>Druga plućna oboljenja srca I27</c:v>
                </c:pt>
                <c:pt idx="4">
                  <c:v>Druge kongentalne malformacije Q24</c:v>
                </c:pt>
                <c:pt idx="5">
                  <c:v>Kardiovaskularni poremećaji porijeklom iz perinatalnog perioda P29</c:v>
                </c:pt>
                <c:pt idx="6">
                  <c:v>Bakterijska sepsa novorođenčeta P36</c:v>
                </c:pt>
              </c:strCache>
            </c:strRef>
          </c:cat>
          <c:val>
            <c:numRef>
              <c:f>Sheet1!$D$20:$D$26</c:f>
              <c:numCache>
                <c:formatCode>0.0</c:formatCode>
                <c:ptCount val="7"/>
                <c:pt idx="0">
                  <c:v>11</c:v>
                </c:pt>
                <c:pt idx="1">
                  <c:v>10.4</c:v>
                </c:pt>
                <c:pt idx="2">
                  <c:v>28.6</c:v>
                </c:pt>
                <c:pt idx="5">
                  <c:v>3.2</c:v>
                </c:pt>
                <c:pt idx="6">
                  <c:v>2.6</c:v>
                </c:pt>
              </c:numCache>
            </c:numRef>
          </c:val>
        </c:ser>
        <c:dLbls>
          <c:showLegendKey val="0"/>
          <c:showVal val="0"/>
          <c:showCatName val="0"/>
          <c:showSerName val="0"/>
          <c:showPercent val="0"/>
          <c:showBubbleSize val="0"/>
        </c:dLbls>
        <c:gapWidth val="150"/>
        <c:axId val="263345968"/>
        <c:axId val="263341656"/>
      </c:barChart>
      <c:catAx>
        <c:axId val="263345968"/>
        <c:scaling>
          <c:orientation val="minMax"/>
        </c:scaling>
        <c:delete val="0"/>
        <c:axPos val="b"/>
        <c:numFmt formatCode="General" sourceLinked="0"/>
        <c:majorTickMark val="out"/>
        <c:minorTickMark val="none"/>
        <c:tickLblPos val="nextTo"/>
        <c:txPr>
          <a:bodyPr rot="-5400000" vert="horz"/>
          <a:lstStyle/>
          <a:p>
            <a:pPr>
              <a:defRPr baseline="0">
                <a:latin typeface="Times New Roman" pitchFamily="18" charset="0"/>
              </a:defRPr>
            </a:pPr>
            <a:endParaRPr lang="en-US"/>
          </a:p>
        </c:txPr>
        <c:crossAx val="263341656"/>
        <c:crosses val="autoZero"/>
        <c:auto val="1"/>
        <c:lblAlgn val="ctr"/>
        <c:lblOffset val="100"/>
        <c:noMultiLvlLbl val="0"/>
      </c:catAx>
      <c:valAx>
        <c:axId val="263341656"/>
        <c:scaling>
          <c:orientation val="minMax"/>
        </c:scaling>
        <c:delete val="1"/>
        <c:axPos val="l"/>
        <c:numFmt formatCode="0.0" sourceLinked="1"/>
        <c:majorTickMark val="out"/>
        <c:minorTickMark val="none"/>
        <c:tickLblPos val="nextTo"/>
        <c:crossAx val="263345968"/>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Sheet1!$C$19</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Sheet1!$B$20:$B$24</c:f>
              <c:strCache>
                <c:ptCount val="5"/>
                <c:pt idx="0">
                  <c:v>Određena stanja porijeklom perinatalnog perioda  ( P00-P96)</c:v>
                </c:pt>
                <c:pt idx="1">
                  <c:v>Kongenitalne malformacijei hromozomske abnormalnosti  (Q00-Q99)</c:v>
                </c:pt>
                <c:pt idx="2">
                  <c:v>Oboljenja cirkulatornog sistema (I00-I99)</c:v>
                </c:pt>
                <c:pt idx="3">
                  <c:v>Povrede trovanja idruge posljedice spoljašnjih uzroka ( S00-T98 )</c:v>
                </c:pt>
                <c:pt idx="4">
                  <c:v>Određene infektivne i parazitarnr bolesti  (A00-B99)</c:v>
                </c:pt>
              </c:strCache>
            </c:strRef>
          </c:cat>
          <c:val>
            <c:numRef>
              <c:f>Sheet1!$C$20:$C$24</c:f>
              <c:numCache>
                <c:formatCode>0.0</c:formatCode>
                <c:ptCount val="5"/>
                <c:pt idx="0">
                  <c:v>5</c:v>
                </c:pt>
                <c:pt idx="1">
                  <c:v>1.8</c:v>
                </c:pt>
                <c:pt idx="2">
                  <c:v>0.60000000000000009</c:v>
                </c:pt>
                <c:pt idx="3">
                  <c:v>0.5</c:v>
                </c:pt>
                <c:pt idx="4">
                  <c:v>0.30000000000000004</c:v>
                </c:pt>
              </c:numCache>
            </c:numRef>
          </c:val>
        </c:ser>
        <c:ser>
          <c:idx val="1"/>
          <c:order val="1"/>
          <c:tx>
            <c:strRef>
              <c:f>Sheet1!$D$19</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Sheet1!$B$20:$B$24</c:f>
              <c:strCache>
                <c:ptCount val="5"/>
                <c:pt idx="0">
                  <c:v>Određena stanja porijeklom perinatalnog perioda  ( P00-P96)</c:v>
                </c:pt>
                <c:pt idx="1">
                  <c:v>Kongenitalne malformacijei hromozomske abnormalnosti  (Q00-Q99)</c:v>
                </c:pt>
                <c:pt idx="2">
                  <c:v>Oboljenja cirkulatornog sistema (I00-I99)</c:v>
                </c:pt>
                <c:pt idx="3">
                  <c:v>Povrede trovanja idruge posljedice spoljašnjih uzroka ( S00-T98 )</c:v>
                </c:pt>
                <c:pt idx="4">
                  <c:v>Određene infektivne i parazitarnr bolesti  (A00-B99)</c:v>
                </c:pt>
              </c:strCache>
            </c:strRef>
          </c:cat>
          <c:val>
            <c:numRef>
              <c:f>Sheet1!$D$20:$D$24</c:f>
              <c:numCache>
                <c:formatCode>0.0</c:formatCode>
                <c:ptCount val="5"/>
                <c:pt idx="0">
                  <c:v>5.4757722905258817</c:v>
                </c:pt>
                <c:pt idx="1">
                  <c:v>0.61989874987085458</c:v>
                </c:pt>
                <c:pt idx="2">
                  <c:v>0.87818989565037731</c:v>
                </c:pt>
                <c:pt idx="3">
                  <c:v>0.56824052071494979</c:v>
                </c:pt>
                <c:pt idx="4">
                  <c:v>0.61989874987085458</c:v>
                </c:pt>
              </c:numCache>
            </c:numRef>
          </c:val>
        </c:ser>
        <c:dLbls>
          <c:showLegendKey val="0"/>
          <c:showVal val="0"/>
          <c:showCatName val="0"/>
          <c:showSerName val="0"/>
          <c:showPercent val="0"/>
          <c:showBubbleSize val="0"/>
        </c:dLbls>
        <c:gapWidth val="150"/>
        <c:axId val="263342832"/>
        <c:axId val="263338912"/>
      </c:barChart>
      <c:catAx>
        <c:axId val="263342832"/>
        <c:scaling>
          <c:orientation val="minMax"/>
        </c:scaling>
        <c:delete val="0"/>
        <c:axPos val="b"/>
        <c:numFmt formatCode="General" sourceLinked="0"/>
        <c:majorTickMark val="out"/>
        <c:minorTickMark val="none"/>
        <c:tickLblPos val="nextTo"/>
        <c:txPr>
          <a:bodyPr rot="-5400000" vert="horz"/>
          <a:lstStyle/>
          <a:p>
            <a:pPr>
              <a:defRPr baseline="0">
                <a:latin typeface="Times New Roman" pitchFamily="18" charset="0"/>
              </a:defRPr>
            </a:pPr>
            <a:endParaRPr lang="en-US"/>
          </a:p>
        </c:txPr>
        <c:crossAx val="263338912"/>
        <c:crosses val="autoZero"/>
        <c:auto val="1"/>
        <c:lblAlgn val="ctr"/>
        <c:lblOffset val="100"/>
        <c:noMultiLvlLbl val="0"/>
      </c:catAx>
      <c:valAx>
        <c:axId val="263338912"/>
        <c:scaling>
          <c:orientation val="minMax"/>
        </c:scaling>
        <c:delete val="1"/>
        <c:axPos val="l"/>
        <c:numFmt formatCode="0.0" sourceLinked="1"/>
        <c:majorTickMark val="out"/>
        <c:minorTickMark val="none"/>
        <c:tickLblPos val="nextTo"/>
        <c:crossAx val="263342832"/>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trendline>
            <c:trendlineType val="linear"/>
            <c:dispRSqr val="0"/>
            <c:dispEq val="0"/>
          </c:trendline>
          <c:cat>
            <c:strRef>
              <c:f>[19]Sheet1!$B$4:$B$9</c:f>
              <c:strCache>
                <c:ptCount val="6"/>
                <c:pt idx="0">
                  <c:v>2010.</c:v>
                </c:pt>
                <c:pt idx="1">
                  <c:v>2011.</c:v>
                </c:pt>
                <c:pt idx="2">
                  <c:v>2012.</c:v>
                </c:pt>
                <c:pt idx="3">
                  <c:v>2013.</c:v>
                </c:pt>
                <c:pt idx="4">
                  <c:v>2014.</c:v>
                </c:pt>
                <c:pt idx="5">
                  <c:v>2015.</c:v>
                </c:pt>
              </c:strCache>
            </c:strRef>
          </c:cat>
          <c:val>
            <c:numRef>
              <c:f>[19]Sheet1!$E$4:$E$9</c:f>
              <c:numCache>
                <c:formatCode>General</c:formatCode>
                <c:ptCount val="6"/>
                <c:pt idx="0">
                  <c:v>8083.7247503914168</c:v>
                </c:pt>
                <c:pt idx="1">
                  <c:v>8295.4705829523537</c:v>
                </c:pt>
                <c:pt idx="2">
                  <c:v>8190.4924010286204</c:v>
                </c:pt>
                <c:pt idx="3">
                  <c:v>9154.081807290775</c:v>
                </c:pt>
                <c:pt idx="4">
                  <c:v>9302.8909729099141</c:v>
                </c:pt>
                <c:pt idx="5">
                  <c:v>9147.3593483062505</c:v>
                </c:pt>
              </c:numCache>
            </c:numRef>
          </c:val>
        </c:ser>
        <c:dLbls>
          <c:showLegendKey val="0"/>
          <c:showVal val="0"/>
          <c:showCatName val="0"/>
          <c:showSerName val="0"/>
          <c:showPercent val="0"/>
          <c:showBubbleSize val="0"/>
        </c:dLbls>
        <c:gapWidth val="150"/>
        <c:axId val="263346360"/>
        <c:axId val="263339304"/>
      </c:barChart>
      <c:catAx>
        <c:axId val="263346360"/>
        <c:scaling>
          <c:orientation val="minMax"/>
        </c:scaling>
        <c:delete val="0"/>
        <c:axPos val="b"/>
        <c:numFmt formatCode="General" sourceLinked="0"/>
        <c:majorTickMark val="out"/>
        <c:minorTickMark val="none"/>
        <c:tickLblPos val="nextTo"/>
        <c:crossAx val="263339304"/>
        <c:crosses val="autoZero"/>
        <c:auto val="1"/>
        <c:lblAlgn val="ctr"/>
        <c:lblOffset val="100"/>
        <c:noMultiLvlLbl val="0"/>
      </c:catAx>
      <c:valAx>
        <c:axId val="263339304"/>
        <c:scaling>
          <c:orientation val="minMax"/>
        </c:scaling>
        <c:delete val="0"/>
        <c:axPos val="l"/>
        <c:numFmt formatCode="General" sourceLinked="1"/>
        <c:majorTickMark val="out"/>
        <c:minorTickMark val="none"/>
        <c:tickLblPos val="nextTo"/>
        <c:crossAx val="263346360"/>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6159230096237"/>
          <c:y val="5.0925925925925923E-2"/>
          <c:w val="0.86418285214348212"/>
          <c:h val="0.41342957130358704"/>
        </c:manualLayout>
      </c:layout>
      <c:barChart>
        <c:barDir val="col"/>
        <c:grouping val="clustered"/>
        <c:varyColors val="0"/>
        <c:ser>
          <c:idx val="0"/>
          <c:order val="0"/>
          <c:tx>
            <c:strRef>
              <c:f>Morbiditet!$A$26</c:f>
              <c:strCache>
                <c:ptCount val="1"/>
                <c:pt idx="0">
                  <c:v>Hipertenzivna oboljenja (I10-I15)</c:v>
                </c:pt>
              </c:strCache>
            </c:strRef>
          </c:tx>
          <c:spPr>
            <a:solidFill>
              <a:schemeClr val="accent1"/>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Morbiditet!$B$26:$G$26</c:f>
              <c:numCache>
                <c:formatCode>0.0</c:formatCode>
                <c:ptCount val="6"/>
                <c:pt idx="0">
                  <c:v>848.6</c:v>
                </c:pt>
                <c:pt idx="1">
                  <c:v>909.8</c:v>
                </c:pt>
                <c:pt idx="2">
                  <c:v>941.6</c:v>
                </c:pt>
                <c:pt idx="3">
                  <c:v>1066.4000000000001</c:v>
                </c:pt>
                <c:pt idx="4">
                  <c:v>1140.9000000000001</c:v>
                </c:pt>
                <c:pt idx="5">
                  <c:v>1136.5999999999999</c:v>
                </c:pt>
              </c:numCache>
            </c:numRef>
          </c:val>
        </c:ser>
        <c:ser>
          <c:idx val="1"/>
          <c:order val="1"/>
          <c:tx>
            <c:strRef>
              <c:f>Morbiditet!$A$27</c:f>
              <c:strCache>
                <c:ptCount val="1"/>
                <c:pt idx="0">
                  <c:v>Mentalni poremećaji (F00-F99)</c:v>
                </c:pt>
              </c:strCache>
            </c:strRef>
          </c:tx>
          <c:spPr>
            <a:solidFill>
              <a:schemeClr val="accent2"/>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Morbiditet!$B$27:$G$27</c:f>
              <c:numCache>
                <c:formatCode>0.0</c:formatCode>
                <c:ptCount val="6"/>
                <c:pt idx="0">
                  <c:v>274.2</c:v>
                </c:pt>
                <c:pt idx="1">
                  <c:v>286.8</c:v>
                </c:pt>
                <c:pt idx="2">
                  <c:v>310.8</c:v>
                </c:pt>
                <c:pt idx="3">
                  <c:v>336.7</c:v>
                </c:pt>
                <c:pt idx="4">
                  <c:v>346.1</c:v>
                </c:pt>
                <c:pt idx="5">
                  <c:v>325.60000000000002</c:v>
                </c:pt>
              </c:numCache>
            </c:numRef>
          </c:val>
        </c:ser>
        <c:ser>
          <c:idx val="2"/>
          <c:order val="2"/>
          <c:tx>
            <c:strRef>
              <c:f>Morbiditet!$A$28</c:f>
              <c:strCache>
                <c:ptCount val="1"/>
                <c:pt idx="0">
                  <c:v>Druge dorzopatije(M40-M49,M53-M54)</c:v>
                </c:pt>
              </c:strCache>
            </c:strRef>
          </c:tx>
          <c:spPr>
            <a:solidFill>
              <a:schemeClr val="accent3"/>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Morbiditet!$B$28:$G$28</c:f>
              <c:numCache>
                <c:formatCode>0.0</c:formatCode>
                <c:ptCount val="6"/>
                <c:pt idx="0">
                  <c:v>241</c:v>
                </c:pt>
                <c:pt idx="1">
                  <c:v>240.4</c:v>
                </c:pt>
                <c:pt idx="2">
                  <c:v>244.7</c:v>
                </c:pt>
                <c:pt idx="3">
                  <c:v>286.39999999999998</c:v>
                </c:pt>
                <c:pt idx="4">
                  <c:v>308.89999999999998</c:v>
                </c:pt>
                <c:pt idx="5">
                  <c:v>307.2</c:v>
                </c:pt>
              </c:numCache>
            </c:numRef>
          </c:val>
        </c:ser>
        <c:ser>
          <c:idx val="3"/>
          <c:order val="3"/>
          <c:tx>
            <c:strRef>
              <c:f>Morbiditet!$A$29</c:f>
              <c:strCache>
                <c:ptCount val="1"/>
                <c:pt idx="0">
                  <c:v>Šećerna bolest (E10-E14)</c:v>
                </c:pt>
              </c:strCache>
            </c:strRef>
          </c:tx>
          <c:spPr>
            <a:solidFill>
              <a:schemeClr val="accent4"/>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Morbiditet!$B$29:$G$29</c:f>
              <c:numCache>
                <c:formatCode>0.0</c:formatCode>
                <c:ptCount val="6"/>
                <c:pt idx="0">
                  <c:v>216.8</c:v>
                </c:pt>
                <c:pt idx="1">
                  <c:v>240.3</c:v>
                </c:pt>
                <c:pt idx="2">
                  <c:v>266.10000000000002</c:v>
                </c:pt>
                <c:pt idx="3">
                  <c:v>306.39999999999998</c:v>
                </c:pt>
                <c:pt idx="4">
                  <c:v>303.8</c:v>
                </c:pt>
                <c:pt idx="5">
                  <c:v>308</c:v>
                </c:pt>
              </c:numCache>
            </c:numRef>
          </c:val>
        </c:ser>
        <c:ser>
          <c:idx val="4"/>
          <c:order val="4"/>
          <c:tx>
            <c:strRef>
              <c:f>Morbiditet!$A$30</c:f>
              <c:strCache>
                <c:ptCount val="1"/>
                <c:pt idx="0">
                  <c:v>Hronična plućna obstruktivna oboljenja (J40-J46)</c:v>
                </c:pt>
              </c:strCache>
            </c:strRef>
          </c:tx>
          <c:spPr>
            <a:solidFill>
              <a:schemeClr val="accent5"/>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Morbiditet!$B$30:$G$30</c:f>
              <c:numCache>
                <c:formatCode>0.0</c:formatCode>
                <c:ptCount val="6"/>
                <c:pt idx="0">
                  <c:v>155</c:v>
                </c:pt>
                <c:pt idx="1">
                  <c:v>153.69999999999999</c:v>
                </c:pt>
                <c:pt idx="2">
                  <c:v>151.9</c:v>
                </c:pt>
                <c:pt idx="3">
                  <c:v>169.8</c:v>
                </c:pt>
                <c:pt idx="4">
                  <c:v>177.7</c:v>
                </c:pt>
                <c:pt idx="5">
                  <c:v>177.5</c:v>
                </c:pt>
              </c:numCache>
            </c:numRef>
          </c:val>
        </c:ser>
        <c:ser>
          <c:idx val="5"/>
          <c:order val="5"/>
          <c:tx>
            <c:strRef>
              <c:f>Morbiditet!$A$31</c:f>
              <c:strCache>
                <c:ptCount val="1"/>
                <c:pt idx="0">
                  <c:v>Ishemična srčana oboljenja (I20,I23,-I25) </c:v>
                </c:pt>
              </c:strCache>
            </c:strRef>
          </c:tx>
          <c:spPr>
            <a:solidFill>
              <a:schemeClr val="accent6"/>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Morbiditet!$B$31:$G$31</c:f>
              <c:numCache>
                <c:formatCode>0.0</c:formatCode>
                <c:ptCount val="6"/>
                <c:pt idx="0">
                  <c:v>94.6</c:v>
                </c:pt>
                <c:pt idx="1">
                  <c:v>96.5</c:v>
                </c:pt>
                <c:pt idx="2">
                  <c:v>95.6</c:v>
                </c:pt>
                <c:pt idx="3">
                  <c:v>111.8</c:v>
                </c:pt>
                <c:pt idx="4">
                  <c:v>101.9</c:v>
                </c:pt>
                <c:pt idx="5">
                  <c:v>105.2</c:v>
                </c:pt>
              </c:numCache>
            </c:numRef>
          </c:val>
        </c:ser>
        <c:ser>
          <c:idx val="6"/>
          <c:order val="6"/>
          <c:tx>
            <c:strRef>
              <c:f>Morbiditet!$A$32</c:f>
              <c:strCache>
                <c:ptCount val="1"/>
                <c:pt idx="0">
                  <c:v>Gastritis i duodenalni ulkus  (K25-K27)</c:v>
                </c:pt>
              </c:strCache>
            </c:strRef>
          </c:tx>
          <c:spPr>
            <a:solidFill>
              <a:schemeClr val="accent1">
                <a:lumMod val="60000"/>
              </a:schemeClr>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Morbiditet!$B$32:$G$32</c:f>
              <c:numCache>
                <c:formatCode>0.0</c:formatCode>
                <c:ptCount val="6"/>
                <c:pt idx="0">
                  <c:v>60.6</c:v>
                </c:pt>
                <c:pt idx="1">
                  <c:v>56.8</c:v>
                </c:pt>
                <c:pt idx="2">
                  <c:v>57.7</c:v>
                </c:pt>
                <c:pt idx="3">
                  <c:v>57.8</c:v>
                </c:pt>
                <c:pt idx="4">
                  <c:v>58.9</c:v>
                </c:pt>
                <c:pt idx="5">
                  <c:v>42.9</c:v>
                </c:pt>
              </c:numCache>
            </c:numRef>
          </c:val>
        </c:ser>
        <c:ser>
          <c:idx val="7"/>
          <c:order val="7"/>
          <c:tx>
            <c:strRef>
              <c:f>Morbiditet!$A$33</c:f>
              <c:strCache>
                <c:ptCount val="1"/>
                <c:pt idx="0">
                  <c:v>Maligne neoplazme (C00-C96)  </c:v>
                </c:pt>
              </c:strCache>
            </c:strRef>
          </c:tx>
          <c:spPr>
            <a:solidFill>
              <a:schemeClr val="accent2">
                <a:lumMod val="60000"/>
              </a:schemeClr>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Morbiditet!$B$33:$G$33</c:f>
              <c:numCache>
                <c:formatCode>0.0</c:formatCode>
                <c:ptCount val="6"/>
                <c:pt idx="0">
                  <c:v>52.2</c:v>
                </c:pt>
                <c:pt idx="1">
                  <c:v>51</c:v>
                </c:pt>
                <c:pt idx="2">
                  <c:v>56</c:v>
                </c:pt>
                <c:pt idx="3">
                  <c:v>62.7</c:v>
                </c:pt>
                <c:pt idx="4">
                  <c:v>67.2</c:v>
                </c:pt>
                <c:pt idx="5">
                  <c:v>62.7</c:v>
                </c:pt>
              </c:numCache>
            </c:numRef>
          </c:val>
        </c:ser>
        <c:dLbls>
          <c:showLegendKey val="0"/>
          <c:showVal val="0"/>
          <c:showCatName val="0"/>
          <c:showSerName val="0"/>
          <c:showPercent val="0"/>
          <c:showBubbleSize val="0"/>
        </c:dLbls>
        <c:gapWidth val="219"/>
        <c:overlap val="-27"/>
        <c:axId val="263592248"/>
        <c:axId val="263588328"/>
      </c:barChart>
      <c:catAx>
        <c:axId val="263592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88328"/>
        <c:crosses val="autoZero"/>
        <c:auto val="1"/>
        <c:lblAlgn val="ctr"/>
        <c:lblOffset val="100"/>
        <c:noMultiLvlLbl val="0"/>
      </c:catAx>
      <c:valAx>
        <c:axId val="263588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92248"/>
        <c:crosses val="autoZero"/>
        <c:crossBetween val="between"/>
      </c:valAx>
      <c:spPr>
        <a:noFill/>
        <a:ln>
          <a:noFill/>
        </a:ln>
        <a:effectLst/>
      </c:spPr>
    </c:plotArea>
    <c:legend>
      <c:legendPos val="b"/>
      <c:layout>
        <c:manualLayout>
          <c:xMode val="edge"/>
          <c:yMode val="edge"/>
          <c:x val="0.13334387433195516"/>
          <c:y val="0.5978485179771279"/>
          <c:w val="0.78886767279090109"/>
          <c:h val="0.3304982403665442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'C:\Users\Korisnik\Desktop\zdravstveno 2015 AZRA\[Copy of grafikoni-tabele jasna omanic.xls]grafikon19'!$C$4</c:f>
              <c:strCache>
                <c:ptCount val="1"/>
                <c:pt idx="0">
                  <c:v>muškarci</c:v>
                </c:pt>
              </c:strCache>
            </c:strRef>
          </c:tx>
          <c:dLbls>
            <c:dLbl>
              <c:idx val="0"/>
              <c:layout>
                <c:manualLayout>
                  <c:x val="-1.7232094776521271E-2"/>
                  <c:y val="4.07569141193594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924071082390954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386106623586471E-2"/>
                  <c:y val="3.493449781659388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078082929456152E-2"/>
                  <c:y val="4.657933042212518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386106623586509E-2"/>
                  <c:y val="3.493449781659378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07808292945619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1540118470651588E-2"/>
                  <c:y val="4.657933042212512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156165858912305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540118470651588E-2"/>
                  <c:y val="3.493449781659388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9386106623586429E-2"/>
                  <c:y val="4.6579330422125184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[16]grafikon19!$B$5:$B$15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[16]grafikon19!$C$5:$C$15</c:f>
              <c:numCache>
                <c:formatCode>General</c:formatCode>
                <c:ptCount val="11"/>
                <c:pt idx="0">
                  <c:v>186.8</c:v>
                </c:pt>
                <c:pt idx="1">
                  <c:v>204.3</c:v>
                </c:pt>
                <c:pt idx="2">
                  <c:v>199.3</c:v>
                </c:pt>
                <c:pt idx="3">
                  <c:v>192.1</c:v>
                </c:pt>
                <c:pt idx="4">
                  <c:v>229.2</c:v>
                </c:pt>
                <c:pt idx="5">
                  <c:v>263.2</c:v>
                </c:pt>
                <c:pt idx="6">
                  <c:v>228.5</c:v>
                </c:pt>
                <c:pt idx="7">
                  <c:v>229.5</c:v>
                </c:pt>
                <c:pt idx="8">
                  <c:v>187.5</c:v>
                </c:pt>
                <c:pt idx="9">
                  <c:v>173.3</c:v>
                </c:pt>
                <c:pt idx="10">
                  <c:v>215.7</c:v>
                </c:pt>
              </c:numCache>
            </c:numRef>
          </c:val>
          <c:smooth val="0"/>
        </c:ser>
        <c:ser>
          <c:idx val="1"/>
          <c:order val="1"/>
          <c:tx>
            <c:strRef>
              <c:f>'C:\Users\Korisnik\Desktop\zdravstveno 2015 AZRA\[Copy of grafikoni-tabele jasna omanic.xls]grafikon19'!$D$4</c:f>
              <c:strCache>
                <c:ptCount val="1"/>
                <c:pt idx="0">
                  <c:v>žene</c:v>
                </c:pt>
              </c:strCache>
            </c:strRef>
          </c:tx>
          <c:dLbls>
            <c:dLbl>
              <c:idx val="0"/>
              <c:layout>
                <c:manualLayout>
                  <c:x val="-3.2310177705977376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772213247172858E-2"/>
                  <c:y val="-6.40465793304221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464189553042542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2310177705977459E-2"/>
                  <c:y val="-8.151382823871909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0156165858912225E-2"/>
                  <c:y val="-5.822416302765650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4464189553042618E-2"/>
                  <c:y val="-5.2401746724890827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0156165858912225E-2"/>
                  <c:y val="-6.986899563318776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156165858912305E-2"/>
                  <c:y val="-6.4046579330422126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540118470651588E-2"/>
                  <c:y val="-5.240174672489085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8772213247172858E-2"/>
                  <c:y val="-6.9868995633187825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[16]grafikon19!$B$5:$B$15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[16]grafikon19!$D$5:$D$15</c:f>
              <c:numCache>
                <c:formatCode>General</c:formatCode>
                <c:ptCount val="11"/>
                <c:pt idx="0">
                  <c:v>165</c:v>
                </c:pt>
                <c:pt idx="1">
                  <c:v>187.2</c:v>
                </c:pt>
                <c:pt idx="2">
                  <c:v>171.9</c:v>
                </c:pt>
                <c:pt idx="3">
                  <c:v>165.6</c:v>
                </c:pt>
                <c:pt idx="4">
                  <c:v>195</c:v>
                </c:pt>
                <c:pt idx="5">
                  <c:v>231.4</c:v>
                </c:pt>
                <c:pt idx="6">
                  <c:v>200.6</c:v>
                </c:pt>
                <c:pt idx="7">
                  <c:v>210.5</c:v>
                </c:pt>
                <c:pt idx="8">
                  <c:v>172</c:v>
                </c:pt>
                <c:pt idx="9">
                  <c:v>156.1</c:v>
                </c:pt>
                <c:pt idx="10">
                  <c:v>201.3</c:v>
                </c:pt>
              </c:numCache>
            </c:numRef>
          </c:val>
          <c:smooth val="0"/>
        </c:ser>
        <c:dLbls>
          <c:showLegendKey val="0"/>
          <c:showVal val="0"/>
          <c:showCatName val="0"/>
          <c:showSerName val="0"/>
          <c:showPercent val="0"/>
          <c:showBubbleSize val="0"/>
        </c:dLbls>
        <c:marker val="1"/>
        <c:smooth val="0"/>
        <c:axId val="263584800"/>
        <c:axId val="263588720"/>
      </c:lineChart>
      <c:catAx>
        <c:axId val="263584800"/>
        <c:scaling>
          <c:orientation val="minMax"/>
        </c:scaling>
        <c:delete val="0"/>
        <c:axPos val="b"/>
        <c:numFmt formatCode="General" sourceLinked="1"/>
        <c:majorTickMark val="none"/>
        <c:minorTickMark val="none"/>
        <c:tickLblPos val="nextTo"/>
        <c:crossAx val="263588720"/>
        <c:crosses val="autoZero"/>
        <c:auto val="1"/>
        <c:lblAlgn val="ctr"/>
        <c:lblOffset val="100"/>
        <c:noMultiLvlLbl val="0"/>
      </c:catAx>
      <c:valAx>
        <c:axId val="263588720"/>
        <c:scaling>
          <c:orientation val="minMax"/>
        </c:scaling>
        <c:delete val="1"/>
        <c:axPos val="l"/>
        <c:numFmt formatCode="General" sourceLinked="1"/>
        <c:majorTickMark val="out"/>
        <c:minorTickMark val="none"/>
        <c:tickLblPos val="nextTo"/>
        <c:crossAx val="263584800"/>
        <c:crosses val="autoZero"/>
        <c:crossBetween val="between"/>
      </c:valAx>
    </c:plotArea>
    <c:legend>
      <c:legendPos val="b"/>
      <c:overlay val="0"/>
    </c:legend>
    <c:plotVisOnly val="1"/>
    <c:dispBlanksAs val="zero"/>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6.4814814814814811E-2"/>
          <c:w val="0.93888888888888888"/>
          <c:h val="0.73577136191309422"/>
        </c:manualLayout>
      </c:layout>
      <c:barChart>
        <c:barDir val="col"/>
        <c:grouping val="clustered"/>
        <c:varyColors val="0"/>
        <c:ser>
          <c:idx val="0"/>
          <c:order val="0"/>
          <c:tx>
            <c:strRef>
              <c:f>Morbiditet!$B$62</c:f>
              <c:strCache>
                <c:ptCount val="1"/>
                <c:pt idx="0">
                  <c:v>muškarci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Morbiditet!$A$63:$A$70</c:f>
              <c:strCache>
                <c:ptCount val="8"/>
                <c:pt idx="0">
                  <c:v>Ukupno</c:v>
                </c:pt>
                <c:pt idx="1">
                  <c:v>0-14</c:v>
                </c:pt>
                <c:pt idx="2">
                  <c:v>15-24</c:v>
                </c:pt>
                <c:pt idx="3">
                  <c:v>25-34</c:v>
                </c:pt>
                <c:pt idx="4">
                  <c:v>35-44</c:v>
                </c:pt>
                <c:pt idx="5">
                  <c:v>45-54</c:v>
                </c:pt>
                <c:pt idx="6">
                  <c:v>55-64</c:v>
                </c:pt>
                <c:pt idx="7">
                  <c:v>65+</c:v>
                </c:pt>
              </c:strCache>
            </c:strRef>
          </c:cat>
          <c:val>
            <c:numRef>
              <c:f>Morbiditet!$B$63:$B$70</c:f>
              <c:numCache>
                <c:formatCode>General</c:formatCode>
                <c:ptCount val="8"/>
                <c:pt idx="0">
                  <c:v>215.7</c:v>
                </c:pt>
                <c:pt idx="1">
                  <c:v>8.8000000000000007</c:v>
                </c:pt>
                <c:pt idx="2">
                  <c:v>11.2</c:v>
                </c:pt>
                <c:pt idx="3">
                  <c:v>15.8</c:v>
                </c:pt>
                <c:pt idx="4">
                  <c:v>42.5</c:v>
                </c:pt>
                <c:pt idx="5">
                  <c:v>159.19999999999999</c:v>
                </c:pt>
                <c:pt idx="6">
                  <c:v>573</c:v>
                </c:pt>
                <c:pt idx="7">
                  <c:v>1010.5</c:v>
                </c:pt>
              </c:numCache>
            </c:numRef>
          </c:val>
        </c:ser>
        <c:ser>
          <c:idx val="1"/>
          <c:order val="1"/>
          <c:tx>
            <c:strRef>
              <c:f>Morbiditet!$C$62</c:f>
              <c:strCache>
                <c:ptCount val="1"/>
                <c:pt idx="0">
                  <c:v>žene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Morbiditet!$A$63:$A$70</c:f>
              <c:strCache>
                <c:ptCount val="8"/>
                <c:pt idx="0">
                  <c:v>Ukupno</c:v>
                </c:pt>
                <c:pt idx="1">
                  <c:v>0-14</c:v>
                </c:pt>
                <c:pt idx="2">
                  <c:v>15-24</c:v>
                </c:pt>
                <c:pt idx="3">
                  <c:v>25-34</c:v>
                </c:pt>
                <c:pt idx="4">
                  <c:v>35-44</c:v>
                </c:pt>
                <c:pt idx="5">
                  <c:v>45-54</c:v>
                </c:pt>
                <c:pt idx="6">
                  <c:v>55-64</c:v>
                </c:pt>
                <c:pt idx="7">
                  <c:v>65+</c:v>
                </c:pt>
              </c:strCache>
            </c:strRef>
          </c:cat>
          <c:val>
            <c:numRef>
              <c:f>Morbiditet!$C$63:$C$70</c:f>
              <c:numCache>
                <c:formatCode>General</c:formatCode>
                <c:ptCount val="8"/>
                <c:pt idx="0">
                  <c:v>201.3</c:v>
                </c:pt>
                <c:pt idx="1">
                  <c:v>7.2</c:v>
                </c:pt>
                <c:pt idx="2">
                  <c:v>7.5</c:v>
                </c:pt>
                <c:pt idx="3">
                  <c:v>33.700000000000003</c:v>
                </c:pt>
                <c:pt idx="4">
                  <c:v>94.4</c:v>
                </c:pt>
                <c:pt idx="5">
                  <c:v>240.8</c:v>
                </c:pt>
                <c:pt idx="6">
                  <c:v>424.7</c:v>
                </c:pt>
                <c:pt idx="7">
                  <c:v>610.1</c:v>
                </c:pt>
              </c:numCache>
            </c:numRef>
          </c:val>
        </c:ser>
        <c:dLbls>
          <c:showLegendKey val="0"/>
          <c:showVal val="0"/>
          <c:showCatName val="0"/>
          <c:showSerName val="0"/>
          <c:showPercent val="0"/>
          <c:showBubbleSize val="0"/>
        </c:dLbls>
        <c:gapWidth val="100"/>
        <c:overlap val="-24"/>
        <c:axId val="263590680"/>
        <c:axId val="263587152"/>
      </c:barChart>
      <c:catAx>
        <c:axId val="263590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87152"/>
        <c:crosses val="autoZero"/>
        <c:auto val="1"/>
        <c:lblAlgn val="ctr"/>
        <c:lblOffset val="100"/>
        <c:noMultiLvlLbl val="0"/>
      </c:catAx>
      <c:valAx>
        <c:axId val="263587152"/>
        <c:scaling>
          <c:orientation val="minMax"/>
        </c:scaling>
        <c:delete val="1"/>
        <c:axPos val="l"/>
        <c:numFmt formatCode="General" sourceLinked="1"/>
        <c:majorTickMark val="none"/>
        <c:minorTickMark val="none"/>
        <c:tickLblPos val="nextTo"/>
        <c:crossAx val="263590680"/>
        <c:crosses val="autoZero"/>
        <c:crossBetween val="between"/>
      </c:valAx>
      <c:spPr>
        <a:noFill/>
        <a:ln>
          <a:noFill/>
        </a:ln>
        <a:effectLst/>
      </c:spPr>
    </c:plotArea>
    <c:legend>
      <c:legendPos val="b"/>
      <c:layout>
        <c:manualLayout>
          <c:xMode val="edge"/>
          <c:yMode val="edge"/>
          <c:x val="4.2983090807060122E-2"/>
          <c:y val="0.13409019327129557"/>
          <c:w val="0.18790186244648599"/>
          <c:h val="0.102273443092340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36464034960454E-2"/>
          <c:y val="8.0658839800713547E-2"/>
          <c:w val="0.90622930927603895"/>
          <c:h val="0.71134392632058718"/>
        </c:manualLayout>
      </c:layout>
      <c:barChart>
        <c:barDir val="col"/>
        <c:grouping val="clustered"/>
        <c:varyColors val="0"/>
        <c:ser>
          <c:idx val="0"/>
          <c:order val="0"/>
          <c:tx>
            <c:strRef>
              <c:f>'C:\Users\Korisnik\Desktop\novo zdravstveno elma\[Mentalni poremecaji i poremećaji ponašanja u FBiH.xlsx]Ukupno stanovništvo'!$G$18</c:f>
              <c:strCache>
                <c:ptCount val="1"/>
                <c:pt idx="0">
                  <c:v>ukupno mentalni poremećaji i poremećaji ponašanja (F00-F99)</c:v>
                </c:pt>
              </c:strCache>
            </c:strRef>
          </c:tx>
          <c:invertIfNegative val="0"/>
          <c:trendline>
            <c:trendlineType val="linear"/>
            <c:dispRSqr val="0"/>
            <c:dispEq val="0"/>
          </c:trendline>
          <c:cat>
            <c:numRef>
              <c:f>'[18]Ukupno stanovništvo'!$H$17:$M$17</c:f>
              <c:numCache>
                <c:formatCode>General</c:formatCode>
                <c:ptCount val="6"/>
                <c:pt idx="0">
                  <c:v>2010</c:v>
                </c:pt>
                <c:pt idx="1">
                  <c:v>2011</c:v>
                </c:pt>
                <c:pt idx="2">
                  <c:v>2012</c:v>
                </c:pt>
                <c:pt idx="3">
                  <c:v>2013</c:v>
                </c:pt>
                <c:pt idx="4">
                  <c:v>2014</c:v>
                </c:pt>
                <c:pt idx="5">
                  <c:v>2015</c:v>
                </c:pt>
              </c:numCache>
            </c:numRef>
          </c:cat>
          <c:val>
            <c:numRef>
              <c:f>'[18]Ukupno stanovništvo'!$H$18:$M$18</c:f>
              <c:numCache>
                <c:formatCode>General</c:formatCode>
                <c:ptCount val="6"/>
                <c:pt idx="0">
                  <c:v>274</c:v>
                </c:pt>
                <c:pt idx="1">
                  <c:v>287</c:v>
                </c:pt>
                <c:pt idx="2">
                  <c:v>311</c:v>
                </c:pt>
                <c:pt idx="3">
                  <c:v>337</c:v>
                </c:pt>
                <c:pt idx="4">
                  <c:v>346</c:v>
                </c:pt>
                <c:pt idx="5">
                  <c:v>326</c:v>
                </c:pt>
              </c:numCache>
            </c:numRef>
          </c:val>
        </c:ser>
        <c:dLbls>
          <c:showLegendKey val="0"/>
          <c:showVal val="0"/>
          <c:showCatName val="0"/>
          <c:showSerName val="0"/>
          <c:showPercent val="0"/>
          <c:showBubbleSize val="0"/>
        </c:dLbls>
        <c:gapWidth val="150"/>
        <c:axId val="263591856"/>
        <c:axId val="263587544"/>
      </c:barChart>
      <c:catAx>
        <c:axId val="263591856"/>
        <c:scaling>
          <c:orientation val="minMax"/>
        </c:scaling>
        <c:delete val="0"/>
        <c:axPos val="b"/>
        <c:numFmt formatCode="General" sourceLinked="1"/>
        <c:majorTickMark val="out"/>
        <c:minorTickMark val="none"/>
        <c:tickLblPos val="nextTo"/>
        <c:txPr>
          <a:bodyPr/>
          <a:lstStyle/>
          <a:p>
            <a:pPr>
              <a:defRPr lang="bs-Latn-BA"/>
            </a:pPr>
            <a:endParaRPr lang="en-US"/>
          </a:p>
        </c:txPr>
        <c:crossAx val="263587544"/>
        <c:crosses val="autoZero"/>
        <c:auto val="1"/>
        <c:lblAlgn val="ctr"/>
        <c:lblOffset val="100"/>
        <c:noMultiLvlLbl val="0"/>
      </c:catAx>
      <c:valAx>
        <c:axId val="263587544"/>
        <c:scaling>
          <c:orientation val="minMax"/>
        </c:scaling>
        <c:delete val="0"/>
        <c:axPos val="l"/>
        <c:numFmt formatCode="General" sourceLinked="1"/>
        <c:majorTickMark val="out"/>
        <c:minorTickMark val="none"/>
        <c:tickLblPos val="nextTo"/>
        <c:txPr>
          <a:bodyPr/>
          <a:lstStyle/>
          <a:p>
            <a:pPr>
              <a:defRPr lang="bs-Latn-BA"/>
            </a:pPr>
            <a:endParaRPr lang="en-US"/>
          </a:p>
        </c:txPr>
        <c:crossAx val="2635918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54689200435325E-2"/>
          <c:y val="0.12473974461057548"/>
          <c:w val="0.8205569425772995"/>
          <c:h val="0.50416570944755357"/>
        </c:manualLayout>
      </c:layout>
      <c:barChart>
        <c:barDir val="col"/>
        <c:grouping val="clustered"/>
        <c:varyColors val="0"/>
        <c:ser>
          <c:idx val="0"/>
          <c:order val="0"/>
          <c:tx>
            <c:strRef>
              <c:f>'zap i nez'!$B$5</c:f>
              <c:strCache>
                <c:ptCount val="1"/>
                <c:pt idx="0">
                  <c:v>zaposleni</c:v>
                </c:pt>
              </c:strCache>
            </c:strRef>
          </c:tx>
          <c:invertIfNegative val="0"/>
          <c:dLbls>
            <c:spPr>
              <a:noFill/>
              <a:ln>
                <a:noFill/>
              </a:ln>
              <a:effectLst/>
            </c:spPr>
            <c:txPr>
              <a:bodyPr rot="-5400000" vert="horz"/>
              <a:lstStyle/>
              <a:p>
                <a:pPr>
                  <a:defRPr b="1">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'zap i nez'!$A$6:$A$15</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'zap i nez'!$B$6:$B$15</c:f>
              <c:numCache>
                <c:formatCode>#,##0</c:formatCode>
                <c:ptCount val="10"/>
                <c:pt idx="0">
                  <c:v>31853</c:v>
                </c:pt>
                <c:pt idx="1">
                  <c:v>5465</c:v>
                </c:pt>
                <c:pt idx="2">
                  <c:v>83427</c:v>
                </c:pt>
                <c:pt idx="3">
                  <c:v>71079</c:v>
                </c:pt>
                <c:pt idx="4">
                  <c:v>6556</c:v>
                </c:pt>
                <c:pt idx="5">
                  <c:v>41615</c:v>
                </c:pt>
                <c:pt idx="6">
                  <c:v>48660</c:v>
                </c:pt>
                <c:pt idx="7">
                  <c:v>17096</c:v>
                </c:pt>
                <c:pt idx="8">
                  <c:v>126609</c:v>
                </c:pt>
                <c:pt idx="9">
                  <c:v>9436</c:v>
                </c:pt>
              </c:numCache>
            </c:numRef>
          </c:val>
        </c:ser>
        <c:ser>
          <c:idx val="1"/>
          <c:order val="1"/>
          <c:tx>
            <c:strRef>
              <c:f>'zap i nez'!$C$5</c:f>
              <c:strCache>
                <c:ptCount val="1"/>
                <c:pt idx="0">
                  <c:v>nezaposleni</c:v>
                </c:pt>
              </c:strCache>
            </c:strRef>
          </c:tx>
          <c:invertIfNegative val="0"/>
          <c:dLbls>
            <c:spPr>
              <a:noFill/>
              <a:ln>
                <a:noFill/>
              </a:ln>
              <a:effectLst/>
            </c:spPr>
            <c:txPr>
              <a:bodyPr rot="-5400000" vert="horz"/>
              <a:lstStyle/>
              <a:p>
                <a:pPr>
                  <a:defRPr b="1">
                    <a:solidFill>
                      <a:srgbClr val="C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'zap i nez'!$A$6:$A$15</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'zap i nez'!$C$6:$C$15</c:f>
              <c:numCache>
                <c:formatCode>#,##0</c:formatCode>
                <c:ptCount val="10"/>
                <c:pt idx="0">
                  <c:v>46600</c:v>
                </c:pt>
                <c:pt idx="1">
                  <c:v>5761</c:v>
                </c:pt>
                <c:pt idx="2">
                  <c:v>96429</c:v>
                </c:pt>
                <c:pt idx="3">
                  <c:v>69290</c:v>
                </c:pt>
                <c:pt idx="4">
                  <c:v>3570</c:v>
                </c:pt>
                <c:pt idx="5">
                  <c:v>40848</c:v>
                </c:pt>
                <c:pt idx="6">
                  <c:v>34453</c:v>
                </c:pt>
                <c:pt idx="7">
                  <c:v>11393</c:v>
                </c:pt>
                <c:pt idx="8">
                  <c:v>72545</c:v>
                </c:pt>
                <c:pt idx="9">
                  <c:v>9272</c:v>
                </c:pt>
              </c:numCache>
            </c:numRef>
          </c:val>
        </c:ser>
        <c:dLbls>
          <c:showLegendKey val="0"/>
          <c:showVal val="0"/>
          <c:showCatName val="0"/>
          <c:showSerName val="0"/>
          <c:showPercent val="0"/>
          <c:showBubbleSize val="0"/>
        </c:dLbls>
        <c:gapWidth val="150"/>
        <c:axId val="261381016"/>
        <c:axId val="261381408"/>
      </c:barChart>
      <c:catAx>
        <c:axId val="261381016"/>
        <c:scaling>
          <c:orientation val="minMax"/>
        </c:scaling>
        <c:delete val="0"/>
        <c:axPos val="b"/>
        <c:numFmt formatCode="General" sourceLinked="0"/>
        <c:majorTickMark val="none"/>
        <c:minorTickMark val="none"/>
        <c:tickLblPos val="nextTo"/>
        <c:txPr>
          <a:bodyPr rot="-5400000" vert="horz"/>
          <a:lstStyle/>
          <a:p>
            <a:pPr>
              <a:defRPr>
                <a:latin typeface="Arial" pitchFamily="34" charset="0"/>
                <a:cs typeface="Arial" pitchFamily="34" charset="0"/>
              </a:defRPr>
            </a:pPr>
            <a:endParaRPr lang="en-US"/>
          </a:p>
        </c:txPr>
        <c:crossAx val="261381408"/>
        <c:crosses val="autoZero"/>
        <c:auto val="1"/>
        <c:lblAlgn val="ctr"/>
        <c:lblOffset val="100"/>
        <c:noMultiLvlLbl val="0"/>
      </c:catAx>
      <c:valAx>
        <c:axId val="261381408"/>
        <c:scaling>
          <c:orientation val="minMax"/>
        </c:scaling>
        <c:delete val="1"/>
        <c:axPos val="l"/>
        <c:numFmt formatCode="#,##0" sourceLinked="1"/>
        <c:majorTickMark val="out"/>
        <c:minorTickMark val="none"/>
        <c:tickLblPos val="nextTo"/>
        <c:crossAx val="261381016"/>
        <c:crosses val="autoZero"/>
        <c:crossBetween val="between"/>
      </c:valAx>
    </c:plotArea>
    <c:legend>
      <c:legendPos val="b"/>
      <c:layout>
        <c:manualLayout>
          <c:xMode val="edge"/>
          <c:yMode val="edge"/>
          <c:x val="5.0331813366529886E-2"/>
          <c:y val="0.93227371266440084"/>
          <c:w val="0.37295946556375115"/>
          <c:h val="6.7726287335600543E-2"/>
        </c:manualLayout>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FBiH.xlsx]2010-2015'!$A$7</c:f>
              <c:strCache>
                <c:ptCount val="1"/>
                <c:pt idx="0">
                  <c:v>Neurotski, sa stresom povezani i somatski poremećaji (F40-F48)</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'[18]2010-2015'!$B$7:$G$7</c:f>
              <c:numCache>
                <c:formatCode>General</c:formatCode>
                <c:ptCount val="6"/>
                <c:pt idx="0">
                  <c:v>107</c:v>
                </c:pt>
                <c:pt idx="1">
                  <c:v>110</c:v>
                </c:pt>
                <c:pt idx="2">
                  <c:v>117</c:v>
                </c:pt>
                <c:pt idx="3">
                  <c:v>131</c:v>
                </c:pt>
                <c:pt idx="4">
                  <c:v>142</c:v>
                </c:pt>
                <c:pt idx="5">
                  <c:v>126</c:v>
                </c:pt>
              </c:numCache>
            </c:numRef>
          </c:val>
        </c:ser>
        <c:ser>
          <c:idx val="1"/>
          <c:order val="1"/>
          <c:tx>
            <c:strRef>
              <c:f>'C:\Users\Korisnik\Desktop\novo zdravstveno elma\[Mentalni poremecaji i poremećaji ponašanja u FBiH.xlsx]2010-2015'!$A$8</c:f>
              <c:strCache>
                <c:ptCount val="1"/>
                <c:pt idx="0">
                  <c:v>Poremećaji raspoloženja (afektivni) (F30-F39)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'[18]2010-2015'!$B$8:$G$8</c:f>
              <c:numCache>
                <c:formatCode>General</c:formatCode>
                <c:ptCount val="6"/>
                <c:pt idx="0">
                  <c:v>75</c:v>
                </c:pt>
                <c:pt idx="1">
                  <c:v>79</c:v>
                </c:pt>
                <c:pt idx="2">
                  <c:v>85</c:v>
                </c:pt>
                <c:pt idx="3">
                  <c:v>91</c:v>
                </c:pt>
                <c:pt idx="4">
                  <c:v>91</c:v>
                </c:pt>
                <c:pt idx="5">
                  <c:v>94</c:v>
                </c:pt>
              </c:numCache>
            </c:numRef>
          </c:val>
        </c:ser>
        <c:ser>
          <c:idx val="2"/>
          <c:order val="2"/>
          <c:tx>
            <c:strRef>
              <c:f>'C:\Users\Korisnik\Desktop\novo zdravstveno elma\[Mentalni poremecaji i poremećaji ponašanja u FBiH.xlsx]2010-2015'!$A$9</c:f>
              <c:strCache>
                <c:ptCount val="1"/>
                <c:pt idx="0">
                  <c:v>Šizofrenija, šizotipalni i sumanuti poremećaji (F20-F29)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'[18]2010-2015'!$B$9:$G$9</c:f>
              <c:numCache>
                <c:formatCode>General</c:formatCode>
                <c:ptCount val="6"/>
                <c:pt idx="0">
                  <c:v>35</c:v>
                </c:pt>
                <c:pt idx="1">
                  <c:v>36</c:v>
                </c:pt>
                <c:pt idx="2">
                  <c:v>44</c:v>
                </c:pt>
                <c:pt idx="3">
                  <c:v>43</c:v>
                </c:pt>
                <c:pt idx="4">
                  <c:v>41</c:v>
                </c:pt>
                <c:pt idx="5">
                  <c:v>39</c:v>
                </c:pt>
              </c:numCache>
            </c:numRef>
          </c:val>
        </c:ser>
        <c:ser>
          <c:idx val="3"/>
          <c:order val="3"/>
          <c:tx>
            <c:strRef>
              <c:f>'C:\Users\Korisnik\Desktop\novo zdravstveno elma\[Mentalni poremecaji i poremećaji ponašanja u FBiH.xlsx]2010-2015'!$A$10</c:f>
              <c:strCache>
                <c:ptCount val="1"/>
                <c:pt idx="0">
                  <c:v>Drugi mentalni poremećaji i poremećaji ponašanja (F04-F09, F50-F69, F80-F99)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'[18]2010-2015'!$B$10:$G$10</c:f>
              <c:numCache>
                <c:formatCode>General</c:formatCode>
                <c:ptCount val="6"/>
                <c:pt idx="0">
                  <c:v>29</c:v>
                </c:pt>
                <c:pt idx="1">
                  <c:v>31</c:v>
                </c:pt>
                <c:pt idx="2">
                  <c:v>33</c:v>
                </c:pt>
                <c:pt idx="3">
                  <c:v>37</c:v>
                </c:pt>
                <c:pt idx="4">
                  <c:v>37</c:v>
                </c:pt>
                <c:pt idx="5">
                  <c:v>35</c:v>
                </c:pt>
              </c:numCache>
            </c:numRef>
          </c:val>
        </c:ser>
        <c:ser>
          <c:idx val="4"/>
          <c:order val="4"/>
          <c:tx>
            <c:strRef>
              <c:f>'C:\Users\Korisnik\Desktop\novo zdravstveno elma\[Mentalni poremecaji i poremećaji ponašanja u FBiH.xlsx]2010-2015'!$A$11</c:f>
              <c:strCache>
                <c:ptCount val="1"/>
                <c:pt idx="0">
                  <c:v>Mentalni poremećaji ponašanja uzrokovani alkoholom (F10)</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'[18]2010-2015'!$B$11:$G$11</c:f>
              <c:numCache>
                <c:formatCode>General</c:formatCode>
                <c:ptCount val="6"/>
                <c:pt idx="0">
                  <c:v>11</c:v>
                </c:pt>
                <c:pt idx="1">
                  <c:v>12</c:v>
                </c:pt>
                <c:pt idx="2">
                  <c:v>12</c:v>
                </c:pt>
                <c:pt idx="3">
                  <c:v>11</c:v>
                </c:pt>
                <c:pt idx="4">
                  <c:v>12</c:v>
                </c:pt>
                <c:pt idx="5">
                  <c:v>11</c:v>
                </c:pt>
              </c:numCache>
            </c:numRef>
          </c:val>
        </c:ser>
        <c:dLbls>
          <c:showLegendKey val="0"/>
          <c:showVal val="0"/>
          <c:showCatName val="0"/>
          <c:showSerName val="0"/>
          <c:showPercent val="0"/>
          <c:showBubbleSize val="0"/>
        </c:dLbls>
        <c:gapWidth val="150"/>
        <c:axId val="263586760"/>
        <c:axId val="263586368"/>
      </c:barChart>
      <c:catAx>
        <c:axId val="263586760"/>
        <c:scaling>
          <c:orientation val="minMax"/>
        </c:scaling>
        <c:delete val="0"/>
        <c:axPos val="b"/>
        <c:numFmt formatCode="General" sourceLinked="0"/>
        <c:majorTickMark val="out"/>
        <c:minorTickMark val="none"/>
        <c:tickLblPos val="nextTo"/>
        <c:txPr>
          <a:bodyPr/>
          <a:lstStyle/>
          <a:p>
            <a:pPr>
              <a:defRPr lang="bs-Latn-BA"/>
            </a:pPr>
            <a:endParaRPr lang="en-US"/>
          </a:p>
        </c:txPr>
        <c:crossAx val="263586368"/>
        <c:crosses val="autoZero"/>
        <c:auto val="1"/>
        <c:lblAlgn val="ctr"/>
        <c:lblOffset val="100"/>
        <c:noMultiLvlLbl val="0"/>
      </c:catAx>
      <c:valAx>
        <c:axId val="263586368"/>
        <c:scaling>
          <c:orientation val="minMax"/>
        </c:scaling>
        <c:delete val="0"/>
        <c:axPos val="l"/>
        <c:majorGridlines/>
        <c:numFmt formatCode="General" sourceLinked="1"/>
        <c:majorTickMark val="out"/>
        <c:minorTickMark val="none"/>
        <c:tickLblPos val="nextTo"/>
        <c:txPr>
          <a:bodyPr/>
          <a:lstStyle/>
          <a:p>
            <a:pPr>
              <a:defRPr lang="bs-Latn-BA"/>
            </a:pPr>
            <a:endParaRPr lang="en-US"/>
          </a:p>
        </c:txPr>
        <c:crossAx val="263586760"/>
        <c:crosses val="autoZero"/>
        <c:crossBetween val="between"/>
      </c:valAx>
    </c:plotArea>
    <c:legend>
      <c:legendPos val="r"/>
      <c:overlay val="0"/>
      <c:txPr>
        <a:bodyPr/>
        <a:lstStyle/>
        <a:p>
          <a:pPr>
            <a:defRPr lang="bs-Latn-BA" sz="800"/>
          </a:pPr>
          <a:endParaRPr lang="en-US"/>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FBiH.xlsx]2010-2015'!$A$21</c:f>
              <c:strCache>
                <c:ptCount val="1"/>
                <c:pt idx="0">
                  <c:v>Drugi mentalni poremećaji i poremećaji ponašanja (F04-F09, F50-F69, F80-F99)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'[18]2010-2015'!$B$21:$G$21</c:f>
              <c:numCache>
                <c:formatCode>General</c:formatCode>
                <c:ptCount val="6"/>
                <c:pt idx="0">
                  <c:v>14</c:v>
                </c:pt>
                <c:pt idx="1">
                  <c:v>14</c:v>
                </c:pt>
                <c:pt idx="2">
                  <c:v>16</c:v>
                </c:pt>
                <c:pt idx="3">
                  <c:v>18</c:v>
                </c:pt>
                <c:pt idx="4">
                  <c:v>16</c:v>
                </c:pt>
                <c:pt idx="5">
                  <c:v>17</c:v>
                </c:pt>
              </c:numCache>
            </c:numRef>
          </c:val>
        </c:ser>
        <c:ser>
          <c:idx val="1"/>
          <c:order val="1"/>
          <c:tx>
            <c:strRef>
              <c:f>'C:\Users\Korisnik\Desktop\novo zdravstveno elma\[Mentalni poremecaji i poremećaji ponašanja u FBiH.xlsx]2010-2015'!$A$22</c:f>
              <c:strCache>
                <c:ptCount val="1"/>
                <c:pt idx="0">
                  <c:v>Neurotski, sa stresom povezani i somatski poremećaji (F40-F48)</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'[18]2010-2015'!$B$22:$G$22</c:f>
              <c:numCache>
                <c:formatCode>General</c:formatCode>
                <c:ptCount val="6"/>
                <c:pt idx="0">
                  <c:v>9</c:v>
                </c:pt>
                <c:pt idx="1">
                  <c:v>11</c:v>
                </c:pt>
                <c:pt idx="2">
                  <c:v>12</c:v>
                </c:pt>
                <c:pt idx="3">
                  <c:v>11</c:v>
                </c:pt>
                <c:pt idx="4">
                  <c:v>12</c:v>
                </c:pt>
                <c:pt idx="5">
                  <c:v>13</c:v>
                </c:pt>
              </c:numCache>
            </c:numRef>
          </c:val>
        </c:ser>
        <c:ser>
          <c:idx val="2"/>
          <c:order val="2"/>
          <c:tx>
            <c:strRef>
              <c:f>'C:\Users\Korisnik\Desktop\novo zdravstveno elma\[Mentalni poremecaji i poremećaji ponašanja u FBiH.xlsx]2010-2015'!$A$23</c:f>
              <c:strCache>
                <c:ptCount val="1"/>
                <c:pt idx="0">
                  <c:v>Poremećaji raspoloženja (afektivni) (F30-F39)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'[18]2010-2015'!$B$23:$G$23</c:f>
              <c:numCache>
                <c:formatCode>General</c:formatCode>
                <c:ptCount val="6"/>
                <c:pt idx="0">
                  <c:v>5</c:v>
                </c:pt>
                <c:pt idx="1">
                  <c:v>4</c:v>
                </c:pt>
                <c:pt idx="2">
                  <c:v>5</c:v>
                </c:pt>
                <c:pt idx="3">
                  <c:v>4</c:v>
                </c:pt>
                <c:pt idx="4">
                  <c:v>4</c:v>
                </c:pt>
                <c:pt idx="5">
                  <c:v>5</c:v>
                </c:pt>
              </c:numCache>
            </c:numRef>
          </c:val>
        </c:ser>
        <c:ser>
          <c:idx val="3"/>
          <c:order val="3"/>
          <c:tx>
            <c:strRef>
              <c:f>'C:\Users\Korisnik\Desktop\novo zdravstveno elma\[Mentalni poremecaji i poremećaji ponašanja u FBiH.xlsx]2010-2015'!$A$24</c:f>
              <c:strCache>
                <c:ptCount val="1"/>
                <c:pt idx="0">
                  <c:v>Mentalni poremećaji ponašanja uzrokovani alkoholom (F10)</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'[18]2010-2015'!$B$24:$G$24</c:f>
              <c:numCache>
                <c:formatCode>General</c:formatCode>
                <c:ptCount val="6"/>
                <c:pt idx="1">
                  <c:v>4</c:v>
                </c:pt>
                <c:pt idx="2">
                  <c:v>4</c:v>
                </c:pt>
              </c:numCache>
            </c:numRef>
          </c:val>
        </c:ser>
        <c:ser>
          <c:idx val="4"/>
          <c:order val="4"/>
          <c:tx>
            <c:strRef>
              <c:f>'C:\Users\Korisnik\Desktop\novo zdravstveno elma\[Mentalni poremecaji i poremećaji ponašanja u FBiH.xlsx]2010-2015'!$A$25</c:f>
              <c:strCache>
                <c:ptCount val="1"/>
                <c:pt idx="0">
                  <c:v>Mentalna zaostalost E70-F79)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'[18]2010-2015'!$B$25:$G$25</c:f>
              <c:numCache>
                <c:formatCode>General</c:formatCode>
                <c:ptCount val="6"/>
                <c:pt idx="0">
                  <c:v>4</c:v>
                </c:pt>
                <c:pt idx="1">
                  <c:v>5</c:v>
                </c:pt>
                <c:pt idx="2">
                  <c:v>4</c:v>
                </c:pt>
                <c:pt idx="3">
                  <c:v>4</c:v>
                </c:pt>
                <c:pt idx="4">
                  <c:v>5</c:v>
                </c:pt>
                <c:pt idx="5">
                  <c:v>4</c:v>
                </c:pt>
              </c:numCache>
            </c:numRef>
          </c:val>
        </c:ser>
        <c:ser>
          <c:idx val="5"/>
          <c:order val="5"/>
          <c:tx>
            <c:strRef>
              <c:f>'C:\Users\Korisnik\Desktop\novo zdravstveno elma\[Mentalni poremecaji i poremećaji ponašanja u FBiH.xlsx]2010-2015'!$A$26</c:f>
              <c:strCache>
                <c:ptCount val="1"/>
                <c:pt idx="0">
                  <c:v>Šizofrenija,šizotipalni i sumanuti poremećaji (F20-F29)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'[18]2010-2015'!$B$26:$G$26</c:f>
              <c:numCache>
                <c:formatCode>General</c:formatCode>
                <c:ptCount val="6"/>
                <c:pt idx="0">
                  <c:v>1</c:v>
                </c:pt>
                <c:pt idx="3">
                  <c:v>2</c:v>
                </c:pt>
                <c:pt idx="4">
                  <c:v>2</c:v>
                </c:pt>
                <c:pt idx="5">
                  <c:v>1</c:v>
                </c:pt>
              </c:numCache>
            </c:numRef>
          </c:val>
        </c:ser>
        <c:dLbls>
          <c:showLegendKey val="0"/>
          <c:showVal val="0"/>
          <c:showCatName val="0"/>
          <c:showSerName val="0"/>
          <c:showPercent val="0"/>
          <c:showBubbleSize val="0"/>
        </c:dLbls>
        <c:gapWidth val="150"/>
        <c:axId val="263591072"/>
        <c:axId val="263591464"/>
      </c:barChart>
      <c:catAx>
        <c:axId val="263591072"/>
        <c:scaling>
          <c:orientation val="minMax"/>
        </c:scaling>
        <c:delete val="0"/>
        <c:axPos val="b"/>
        <c:numFmt formatCode="General" sourceLinked="0"/>
        <c:majorTickMark val="out"/>
        <c:minorTickMark val="none"/>
        <c:tickLblPos val="nextTo"/>
        <c:txPr>
          <a:bodyPr/>
          <a:lstStyle/>
          <a:p>
            <a:pPr>
              <a:defRPr lang="bs-Latn-BA"/>
            </a:pPr>
            <a:endParaRPr lang="en-US"/>
          </a:p>
        </c:txPr>
        <c:crossAx val="263591464"/>
        <c:crosses val="autoZero"/>
        <c:auto val="1"/>
        <c:lblAlgn val="ctr"/>
        <c:lblOffset val="100"/>
        <c:noMultiLvlLbl val="0"/>
      </c:catAx>
      <c:valAx>
        <c:axId val="263591464"/>
        <c:scaling>
          <c:orientation val="minMax"/>
        </c:scaling>
        <c:delete val="0"/>
        <c:axPos val="l"/>
        <c:majorGridlines/>
        <c:numFmt formatCode="General" sourceLinked="1"/>
        <c:majorTickMark val="out"/>
        <c:minorTickMark val="none"/>
        <c:tickLblPos val="nextTo"/>
        <c:txPr>
          <a:bodyPr/>
          <a:lstStyle/>
          <a:p>
            <a:pPr>
              <a:defRPr lang="bs-Latn-BA"/>
            </a:pPr>
            <a:endParaRPr lang="en-US"/>
          </a:p>
        </c:txPr>
        <c:crossAx val="263591072"/>
        <c:crosses val="autoZero"/>
        <c:crossBetween val="between"/>
      </c:valAx>
    </c:plotArea>
    <c:legend>
      <c:legendPos val="r"/>
      <c:overlay val="0"/>
      <c:txPr>
        <a:bodyPr/>
        <a:lstStyle/>
        <a:p>
          <a:pPr>
            <a:defRPr lang="bs-Latn-BA" sz="800"/>
          </a:pPr>
          <a:endParaRPr lang="en-US"/>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FBiH.xlsx]2010-2015'!$A$34</c:f>
              <c:strCache>
                <c:ptCount val="1"/>
                <c:pt idx="0">
                  <c:v>Neurotski, sa stresom povezani i somatski poremećaji (F40-F48)</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'[18]2010-2015'!$B$34:$G$34</c:f>
              <c:numCache>
                <c:formatCode>General</c:formatCode>
                <c:ptCount val="6"/>
                <c:pt idx="0">
                  <c:v>143</c:v>
                </c:pt>
                <c:pt idx="1">
                  <c:v>146</c:v>
                </c:pt>
                <c:pt idx="2">
                  <c:v>155</c:v>
                </c:pt>
                <c:pt idx="3">
                  <c:v>169</c:v>
                </c:pt>
                <c:pt idx="4">
                  <c:v>175</c:v>
                </c:pt>
                <c:pt idx="5">
                  <c:v>161</c:v>
                </c:pt>
              </c:numCache>
            </c:numRef>
          </c:val>
        </c:ser>
        <c:ser>
          <c:idx val="1"/>
          <c:order val="1"/>
          <c:tx>
            <c:strRef>
              <c:f>'C:\Users\Korisnik\Desktop\novo zdravstveno elma\[Mentalni poremecaji i poremećaji ponašanja u FBiH.xlsx]2010-2015'!$A$35</c:f>
              <c:strCache>
                <c:ptCount val="1"/>
                <c:pt idx="0">
                  <c:v>Poremećaji raspoloženja (afektivni) (F30-F39)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'[18]2010-2015'!$B$35:$G$35</c:f>
              <c:numCache>
                <c:formatCode>General</c:formatCode>
                <c:ptCount val="6"/>
                <c:pt idx="0">
                  <c:v>100</c:v>
                </c:pt>
                <c:pt idx="1">
                  <c:v>101</c:v>
                </c:pt>
                <c:pt idx="2">
                  <c:v>109</c:v>
                </c:pt>
                <c:pt idx="3">
                  <c:v>117</c:v>
                </c:pt>
                <c:pt idx="4">
                  <c:v>116</c:v>
                </c:pt>
                <c:pt idx="5">
                  <c:v>117</c:v>
                </c:pt>
              </c:numCache>
            </c:numRef>
          </c:val>
        </c:ser>
        <c:ser>
          <c:idx val="2"/>
          <c:order val="2"/>
          <c:tx>
            <c:strRef>
              <c:f>'C:\Users\Korisnik\Desktop\novo zdravstveno elma\[Mentalni poremecaji i poremećaji ponašanja u FBiH.xlsx]2010-2015'!$A$36</c:f>
              <c:strCache>
                <c:ptCount val="1"/>
                <c:pt idx="0">
                  <c:v>Šizofrenija, šizotipalni i sumanuti poremećaji (F20-F29)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'[18]2010-2015'!$B$36:$G$36</c:f>
              <c:numCache>
                <c:formatCode>General</c:formatCode>
                <c:ptCount val="6"/>
                <c:pt idx="0">
                  <c:v>50</c:v>
                </c:pt>
                <c:pt idx="1">
                  <c:v>50</c:v>
                </c:pt>
                <c:pt idx="2">
                  <c:v>64</c:v>
                </c:pt>
                <c:pt idx="3">
                  <c:v>59</c:v>
                </c:pt>
                <c:pt idx="4">
                  <c:v>56</c:v>
                </c:pt>
                <c:pt idx="5">
                  <c:v>52</c:v>
                </c:pt>
              </c:numCache>
            </c:numRef>
          </c:val>
        </c:ser>
        <c:ser>
          <c:idx val="3"/>
          <c:order val="3"/>
          <c:tx>
            <c:strRef>
              <c:f>'C:\Users\Korisnik\Desktop\novo zdravstveno elma\[Mentalni poremecaji i poremećaji ponašanja u FBiH.xlsx]2010-2015'!$A$37</c:f>
              <c:strCache>
                <c:ptCount val="1"/>
                <c:pt idx="0">
                  <c:v>Drugi mentalni poremećaji i poremećaji ponašanja (F04-F09, F50-F69, F80-F99)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'[18]2010-2015'!$B$37:$G$37</c:f>
              <c:numCache>
                <c:formatCode>General</c:formatCode>
                <c:ptCount val="6"/>
                <c:pt idx="0">
                  <c:v>29</c:v>
                </c:pt>
                <c:pt idx="1">
                  <c:v>31</c:v>
                </c:pt>
                <c:pt idx="2">
                  <c:v>33</c:v>
                </c:pt>
                <c:pt idx="3">
                  <c:v>37</c:v>
                </c:pt>
                <c:pt idx="4">
                  <c:v>33</c:v>
                </c:pt>
                <c:pt idx="5">
                  <c:v>31</c:v>
                </c:pt>
              </c:numCache>
            </c:numRef>
          </c:val>
        </c:ser>
        <c:ser>
          <c:idx val="4"/>
          <c:order val="4"/>
          <c:tx>
            <c:strRef>
              <c:f>'C:\Users\Korisnik\Desktop\novo zdravstveno elma\[Mentalni poremecaji i poremećaji ponašanja u FBiH.xlsx]2010-2015'!$A$38</c:f>
              <c:strCache>
                <c:ptCount val="1"/>
                <c:pt idx="0">
                  <c:v>Mentalni poremećaji ponašanja uzrokovani alkoholom (F10)</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'[18]2010-2015'!$B$38:$G$38</c:f>
              <c:numCache>
                <c:formatCode>General</c:formatCode>
                <c:ptCount val="6"/>
                <c:pt idx="0">
                  <c:v>14</c:v>
                </c:pt>
                <c:pt idx="1">
                  <c:v>16</c:v>
                </c:pt>
                <c:pt idx="2">
                  <c:v>15</c:v>
                </c:pt>
                <c:pt idx="3">
                  <c:v>14</c:v>
                </c:pt>
                <c:pt idx="4">
                  <c:v>15</c:v>
                </c:pt>
                <c:pt idx="5">
                  <c:v>13</c:v>
                </c:pt>
              </c:numCache>
            </c:numRef>
          </c:val>
        </c:ser>
        <c:dLbls>
          <c:showLegendKey val="0"/>
          <c:showVal val="0"/>
          <c:showCatName val="0"/>
          <c:showSerName val="0"/>
          <c:showPercent val="0"/>
          <c:showBubbleSize val="0"/>
        </c:dLbls>
        <c:gapWidth val="150"/>
        <c:axId val="263589504"/>
        <c:axId val="317802040"/>
      </c:barChart>
      <c:catAx>
        <c:axId val="263589504"/>
        <c:scaling>
          <c:orientation val="minMax"/>
        </c:scaling>
        <c:delete val="0"/>
        <c:axPos val="b"/>
        <c:numFmt formatCode="General" sourceLinked="0"/>
        <c:majorTickMark val="out"/>
        <c:minorTickMark val="none"/>
        <c:tickLblPos val="nextTo"/>
        <c:txPr>
          <a:bodyPr/>
          <a:lstStyle/>
          <a:p>
            <a:pPr>
              <a:defRPr lang="bs-Latn-BA"/>
            </a:pPr>
            <a:endParaRPr lang="en-US"/>
          </a:p>
        </c:txPr>
        <c:crossAx val="317802040"/>
        <c:crosses val="autoZero"/>
        <c:auto val="1"/>
        <c:lblAlgn val="ctr"/>
        <c:lblOffset val="100"/>
        <c:noMultiLvlLbl val="0"/>
      </c:catAx>
      <c:valAx>
        <c:axId val="317802040"/>
        <c:scaling>
          <c:orientation val="minMax"/>
        </c:scaling>
        <c:delete val="0"/>
        <c:axPos val="l"/>
        <c:majorGridlines/>
        <c:numFmt formatCode="General" sourceLinked="1"/>
        <c:majorTickMark val="out"/>
        <c:minorTickMark val="none"/>
        <c:tickLblPos val="nextTo"/>
        <c:txPr>
          <a:bodyPr/>
          <a:lstStyle/>
          <a:p>
            <a:pPr>
              <a:defRPr lang="bs-Latn-BA"/>
            </a:pPr>
            <a:endParaRPr lang="en-US"/>
          </a:p>
        </c:txPr>
        <c:crossAx val="263589504"/>
        <c:crosses val="autoZero"/>
        <c:crossBetween val="between"/>
      </c:valAx>
    </c:plotArea>
    <c:legend>
      <c:legendPos val="r"/>
      <c:overlay val="0"/>
      <c:txPr>
        <a:bodyPr/>
        <a:lstStyle/>
        <a:p>
          <a:pPr>
            <a:defRPr lang="bs-Latn-BA" sz="800"/>
          </a:pPr>
          <a:endParaRPr lang="en-US"/>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FBiH.xlsx]2010-2015'!$A$46</c:f>
              <c:strCache>
                <c:ptCount val="1"/>
                <c:pt idx="0">
                  <c:v>Neurotski, sa stresom povezani i somatski poremećaji (F40-F48)</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'[18]2010-2015'!$B$46:$G$46</c:f>
              <c:numCache>
                <c:formatCode>General</c:formatCode>
                <c:ptCount val="6"/>
                <c:pt idx="0">
                  <c:v>156</c:v>
                </c:pt>
                <c:pt idx="1">
                  <c:v>169</c:v>
                </c:pt>
                <c:pt idx="2">
                  <c:v>181</c:v>
                </c:pt>
                <c:pt idx="3">
                  <c:v>219</c:v>
                </c:pt>
                <c:pt idx="4">
                  <c:v>264</c:v>
                </c:pt>
                <c:pt idx="5">
                  <c:v>213</c:v>
                </c:pt>
              </c:numCache>
            </c:numRef>
          </c:val>
        </c:ser>
        <c:ser>
          <c:idx val="1"/>
          <c:order val="1"/>
          <c:tx>
            <c:strRef>
              <c:f>'C:\Users\Korisnik\Desktop\novo zdravstveno elma\[Mentalni poremecaji i poremećaji ponašanja u FBiH.xlsx]2010-2015'!$A$47</c:f>
              <c:strCache>
                <c:ptCount val="1"/>
                <c:pt idx="0">
                  <c:v>Poremećaji raspoloženja (afektivni) (F30-F39)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'[18]2010-2015'!$B$47:$G$47</c:f>
              <c:numCache>
                <c:formatCode>General</c:formatCode>
                <c:ptCount val="6"/>
                <c:pt idx="0">
                  <c:v>118</c:v>
                </c:pt>
                <c:pt idx="1">
                  <c:v>139</c:v>
                </c:pt>
                <c:pt idx="2">
                  <c:v>152</c:v>
                </c:pt>
                <c:pt idx="3">
                  <c:v>159</c:v>
                </c:pt>
                <c:pt idx="4">
                  <c:v>163</c:v>
                </c:pt>
                <c:pt idx="5">
                  <c:v>180</c:v>
                </c:pt>
              </c:numCache>
            </c:numRef>
          </c:val>
        </c:ser>
        <c:ser>
          <c:idx val="2"/>
          <c:order val="2"/>
          <c:tx>
            <c:strRef>
              <c:f>'C:\Users\Korisnik\Desktop\novo zdravstveno elma\[Mentalni poremecaji i poremećaji ponašanja u FBiH.xlsx]2010-2015'!$A$48</c:f>
              <c:strCache>
                <c:ptCount val="1"/>
                <c:pt idx="0">
                  <c:v>Drugi mentalni poremećaji i poremećaji ponašanja (F04-F09, F50-F69, F80-F99)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'[18]2010-2015'!$B$48:$G$48</c:f>
              <c:numCache>
                <c:formatCode>General</c:formatCode>
                <c:ptCount val="6"/>
                <c:pt idx="0">
                  <c:v>59</c:v>
                </c:pt>
                <c:pt idx="1">
                  <c:v>68</c:v>
                </c:pt>
                <c:pt idx="2">
                  <c:v>73</c:v>
                </c:pt>
                <c:pt idx="3">
                  <c:v>81</c:v>
                </c:pt>
                <c:pt idx="4">
                  <c:v>83</c:v>
                </c:pt>
                <c:pt idx="5">
                  <c:v>77</c:v>
                </c:pt>
              </c:numCache>
            </c:numRef>
          </c:val>
        </c:ser>
        <c:ser>
          <c:idx val="3"/>
          <c:order val="3"/>
          <c:tx>
            <c:strRef>
              <c:f>'C:\Users\Korisnik\Desktop\novo zdravstveno elma\[Mentalni poremecaji i poremećaji ponašanja u FBiH.xlsx]2010-2015'!$A$49</c:f>
              <c:strCache>
                <c:ptCount val="1"/>
                <c:pt idx="0">
                  <c:v>Šizofrenija, šizotipalni i sumanuti poremećaji (F20-F29)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'[18]2010-2015'!$B$49:$G$49</c:f>
              <c:numCache>
                <c:formatCode>General</c:formatCode>
                <c:ptCount val="6"/>
                <c:pt idx="0">
                  <c:v>43</c:v>
                </c:pt>
                <c:pt idx="1">
                  <c:v>48</c:v>
                </c:pt>
                <c:pt idx="2">
                  <c:v>47</c:v>
                </c:pt>
                <c:pt idx="3">
                  <c:v>61</c:v>
                </c:pt>
                <c:pt idx="4">
                  <c:v>57</c:v>
                </c:pt>
                <c:pt idx="5">
                  <c:v>58</c:v>
                </c:pt>
              </c:numCache>
            </c:numRef>
          </c:val>
        </c:ser>
        <c:ser>
          <c:idx val="4"/>
          <c:order val="4"/>
          <c:tx>
            <c:strRef>
              <c:f>'C:\Users\Korisnik\Desktop\novo zdravstveno elma\[Mentalni poremecaji i poremećaji ponašanja u FBiH.xlsx]2010-2015'!$A$50</c:f>
              <c:strCache>
                <c:ptCount val="1"/>
                <c:pt idx="0">
                  <c:v>Demencija (F00-F03)</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'[18]2010-2015'!$B$50:$G$50</c:f>
              <c:numCache>
                <c:formatCode>General</c:formatCode>
                <c:ptCount val="6"/>
                <c:pt idx="0">
                  <c:v>20</c:v>
                </c:pt>
                <c:pt idx="1">
                  <c:v>25</c:v>
                </c:pt>
                <c:pt idx="2">
                  <c:v>31</c:v>
                </c:pt>
                <c:pt idx="3">
                  <c:v>37</c:v>
                </c:pt>
                <c:pt idx="4">
                  <c:v>42</c:v>
                </c:pt>
                <c:pt idx="5">
                  <c:v>40</c:v>
                </c:pt>
              </c:numCache>
            </c:numRef>
          </c:val>
        </c:ser>
        <c:dLbls>
          <c:showLegendKey val="0"/>
          <c:showVal val="0"/>
          <c:showCatName val="0"/>
          <c:showSerName val="0"/>
          <c:showPercent val="0"/>
          <c:showBubbleSize val="0"/>
        </c:dLbls>
        <c:gapWidth val="150"/>
        <c:axId val="317802824"/>
        <c:axId val="317804784"/>
      </c:barChart>
      <c:catAx>
        <c:axId val="317802824"/>
        <c:scaling>
          <c:orientation val="minMax"/>
        </c:scaling>
        <c:delete val="0"/>
        <c:axPos val="b"/>
        <c:numFmt formatCode="General" sourceLinked="0"/>
        <c:majorTickMark val="out"/>
        <c:minorTickMark val="none"/>
        <c:tickLblPos val="nextTo"/>
        <c:txPr>
          <a:bodyPr/>
          <a:lstStyle/>
          <a:p>
            <a:pPr>
              <a:defRPr lang="bs-Latn-BA"/>
            </a:pPr>
            <a:endParaRPr lang="en-US"/>
          </a:p>
        </c:txPr>
        <c:crossAx val="317804784"/>
        <c:crosses val="autoZero"/>
        <c:auto val="1"/>
        <c:lblAlgn val="ctr"/>
        <c:lblOffset val="100"/>
        <c:noMultiLvlLbl val="0"/>
      </c:catAx>
      <c:valAx>
        <c:axId val="317804784"/>
        <c:scaling>
          <c:orientation val="minMax"/>
        </c:scaling>
        <c:delete val="0"/>
        <c:axPos val="l"/>
        <c:majorGridlines/>
        <c:numFmt formatCode="General" sourceLinked="1"/>
        <c:majorTickMark val="out"/>
        <c:minorTickMark val="none"/>
        <c:tickLblPos val="nextTo"/>
        <c:txPr>
          <a:bodyPr/>
          <a:lstStyle/>
          <a:p>
            <a:pPr>
              <a:defRPr lang="bs-Latn-BA"/>
            </a:pPr>
            <a:endParaRPr lang="en-US"/>
          </a:p>
        </c:txPr>
        <c:crossAx val="317802824"/>
        <c:crosses val="autoZero"/>
        <c:crossBetween val="between"/>
      </c:valAx>
    </c:plotArea>
    <c:legend>
      <c:legendPos val="r"/>
      <c:overlay val="0"/>
      <c:txPr>
        <a:bodyPr/>
        <a:lstStyle/>
        <a:p>
          <a:pPr>
            <a:defRPr lang="bs-Latn-BA" sz="800"/>
          </a:pPr>
          <a:endParaRPr lang="en-US"/>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Morbiditet!$B$405</c:f>
              <c:strCache>
                <c:ptCount val="1"/>
                <c:pt idx="0">
                  <c:v>Broj oboljelih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Morbiditet!$A$406:$A$413</c:f>
              <c:strCache>
                <c:ptCount val="8"/>
                <c:pt idx="0">
                  <c:v>0-4</c:v>
                </c:pt>
                <c:pt idx="1">
                  <c:v>5-14.</c:v>
                </c:pt>
                <c:pt idx="2">
                  <c:v>15-24</c:v>
                </c:pt>
                <c:pt idx="3">
                  <c:v>25-34</c:v>
                </c:pt>
                <c:pt idx="4">
                  <c:v>35-44</c:v>
                </c:pt>
                <c:pt idx="5">
                  <c:v>45-54</c:v>
                </c:pt>
                <c:pt idx="6">
                  <c:v>55-64</c:v>
                </c:pt>
                <c:pt idx="7">
                  <c:v>≥65</c:v>
                </c:pt>
              </c:strCache>
            </c:strRef>
          </c:cat>
          <c:val>
            <c:numRef>
              <c:f>Morbiditet!$B$406:$B$413</c:f>
              <c:numCache>
                <c:formatCode>General</c:formatCode>
                <c:ptCount val="8"/>
                <c:pt idx="0">
                  <c:v>3</c:v>
                </c:pt>
                <c:pt idx="1">
                  <c:v>6</c:v>
                </c:pt>
                <c:pt idx="2">
                  <c:v>89</c:v>
                </c:pt>
                <c:pt idx="3">
                  <c:v>76</c:v>
                </c:pt>
                <c:pt idx="4">
                  <c:v>74</c:v>
                </c:pt>
                <c:pt idx="5">
                  <c:v>111</c:v>
                </c:pt>
                <c:pt idx="6">
                  <c:v>110</c:v>
                </c:pt>
                <c:pt idx="7">
                  <c:v>258</c:v>
                </c:pt>
              </c:numCache>
            </c:numRef>
          </c:val>
        </c:ser>
        <c:dLbls>
          <c:showLegendKey val="0"/>
          <c:showVal val="0"/>
          <c:showCatName val="0"/>
          <c:showSerName val="0"/>
          <c:showPercent val="0"/>
          <c:showBubbleSize val="0"/>
        </c:dLbls>
        <c:gapWidth val="219"/>
        <c:overlap val="-27"/>
        <c:axId val="317804392"/>
        <c:axId val="317803216"/>
      </c:barChart>
      <c:catAx>
        <c:axId val="31780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803216"/>
        <c:crosses val="autoZero"/>
        <c:auto val="1"/>
        <c:lblAlgn val="ctr"/>
        <c:lblOffset val="100"/>
        <c:noMultiLvlLbl val="0"/>
      </c:catAx>
      <c:valAx>
        <c:axId val="317803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804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alpha val="0"/>
        </a:schemeClr>
      </a:solidFill>
      <a:round/>
    </a:ln>
    <a:effectLst/>
  </c:spPr>
  <c:txPr>
    <a:bodyPr/>
    <a:lstStyle/>
    <a:p>
      <a:pPr>
        <a:defRPr/>
      </a:pPr>
      <a:endParaRPr lang="en-US"/>
    </a:p>
  </c:txPr>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'[Kontrola pokrivenost.xlsx]Sheet1'!$L$3</c:f>
              <c:strCache>
                <c:ptCount val="1"/>
                <c:pt idx="0">
                  <c:v>BCG</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pokrivenost.xlsx]Sheet1'!$M$3:$Q$3</c:f>
              <c:numCache>
                <c:formatCode>General</c:formatCode>
                <c:ptCount val="5"/>
                <c:pt idx="0">
                  <c:v>95</c:v>
                </c:pt>
                <c:pt idx="1">
                  <c:v>98.8</c:v>
                </c:pt>
                <c:pt idx="2">
                  <c:v>94.2</c:v>
                </c:pt>
                <c:pt idx="3">
                  <c:v>98.1</c:v>
                </c:pt>
                <c:pt idx="4">
                  <c:v>95.7</c:v>
                </c:pt>
              </c:numCache>
            </c:numRef>
          </c:val>
        </c:ser>
        <c:ser>
          <c:idx val="1"/>
          <c:order val="1"/>
          <c:tx>
            <c:strRef>
              <c:f>'[Kontrola pokrivenost.xlsx]Sheet1'!$L$4</c:f>
              <c:strCache>
                <c:ptCount val="1"/>
                <c:pt idx="0">
                  <c:v>Hep B 3</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pokrivenost.xlsx]Sheet1'!$M$4:$Q$4</c:f>
              <c:numCache>
                <c:formatCode>General</c:formatCode>
                <c:ptCount val="5"/>
                <c:pt idx="0">
                  <c:v>88.7</c:v>
                </c:pt>
                <c:pt idx="1">
                  <c:v>87.3</c:v>
                </c:pt>
                <c:pt idx="2">
                  <c:v>88.6</c:v>
                </c:pt>
                <c:pt idx="3">
                  <c:v>89.4</c:v>
                </c:pt>
                <c:pt idx="4">
                  <c:v>78.8</c:v>
                </c:pt>
              </c:numCache>
            </c:numRef>
          </c:val>
        </c:ser>
        <c:ser>
          <c:idx val="2"/>
          <c:order val="2"/>
          <c:tx>
            <c:strRef>
              <c:f>'[Kontrola pokrivenost.xlsx]Sheet1'!$L$5</c:f>
              <c:strCache>
                <c:ptCount val="1"/>
                <c:pt idx="0">
                  <c:v>DTP/IPV</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pokrivenost.xlsx]Sheet1'!$M$5:$Q$5</c:f>
              <c:numCache>
                <c:formatCode>General</c:formatCode>
                <c:ptCount val="5"/>
                <c:pt idx="0">
                  <c:v>88.6</c:v>
                </c:pt>
                <c:pt idx="1">
                  <c:v>90.2</c:v>
                </c:pt>
                <c:pt idx="2">
                  <c:v>86.5</c:v>
                </c:pt>
                <c:pt idx="3">
                  <c:v>86.2</c:v>
                </c:pt>
                <c:pt idx="4">
                  <c:v>76.3</c:v>
                </c:pt>
              </c:numCache>
            </c:numRef>
          </c:val>
        </c:ser>
        <c:ser>
          <c:idx val="3"/>
          <c:order val="3"/>
          <c:tx>
            <c:strRef>
              <c:f>'[Kontrola pokrivenost.xlsx]Sheet1'!$L$6</c:f>
              <c:strCache>
                <c:ptCount val="1"/>
                <c:pt idx="0">
                  <c:v>Hib 2</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pokrivenost.xlsx]Sheet1'!$M$6:$Q$6</c:f>
              <c:numCache>
                <c:formatCode>General</c:formatCode>
                <c:ptCount val="5"/>
                <c:pt idx="0">
                  <c:v>92.3</c:v>
                </c:pt>
                <c:pt idx="1">
                  <c:v>84.9</c:v>
                </c:pt>
                <c:pt idx="2">
                  <c:v>87.5</c:v>
                </c:pt>
                <c:pt idx="3">
                  <c:v>89.3</c:v>
                </c:pt>
                <c:pt idx="4">
                  <c:v>79.400000000000006</c:v>
                </c:pt>
              </c:numCache>
            </c:numRef>
          </c:val>
        </c:ser>
        <c:ser>
          <c:idx val="4"/>
          <c:order val="4"/>
          <c:tx>
            <c:strRef>
              <c:f>'[Kontrola pokrivenost.xlsx]Sheet1'!$L$7</c:f>
              <c:strCache>
                <c:ptCount val="1"/>
                <c:pt idx="0">
                  <c:v>MMR</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pokrivenost.xlsx]Sheet1'!$M$7:$Q$7</c:f>
              <c:numCache>
                <c:formatCode>General</c:formatCode>
                <c:ptCount val="5"/>
                <c:pt idx="0">
                  <c:v>87.8</c:v>
                </c:pt>
                <c:pt idx="1">
                  <c:v>92.2</c:v>
                </c:pt>
                <c:pt idx="2">
                  <c:v>87.3</c:v>
                </c:pt>
                <c:pt idx="3">
                  <c:v>89.1</c:v>
                </c:pt>
                <c:pt idx="4">
                  <c:v>77.900000000000006</c:v>
                </c:pt>
              </c:numCache>
            </c:numRef>
          </c:val>
        </c:ser>
        <c:dLbls>
          <c:showLegendKey val="0"/>
          <c:showVal val="0"/>
          <c:showCatName val="0"/>
          <c:showSerName val="0"/>
          <c:showPercent val="0"/>
          <c:showBubbleSize val="0"/>
        </c:dLbls>
        <c:gapWidth val="150"/>
        <c:axId val="317805176"/>
        <c:axId val="317805568"/>
      </c:barChart>
      <c:catAx>
        <c:axId val="317805176"/>
        <c:scaling>
          <c:orientation val="minMax"/>
        </c:scaling>
        <c:delete val="0"/>
        <c:axPos val="b"/>
        <c:numFmt formatCode="General" sourceLinked="1"/>
        <c:majorTickMark val="out"/>
        <c:minorTickMark val="none"/>
        <c:tickLblPos val="nextTo"/>
        <c:crossAx val="317805568"/>
        <c:crosses val="autoZero"/>
        <c:auto val="1"/>
        <c:lblAlgn val="ctr"/>
        <c:lblOffset val="100"/>
        <c:noMultiLvlLbl val="0"/>
      </c:catAx>
      <c:valAx>
        <c:axId val="317805568"/>
        <c:scaling>
          <c:orientation val="minMax"/>
        </c:scaling>
        <c:delete val="0"/>
        <c:axPos val="l"/>
        <c:majorGridlines/>
        <c:numFmt formatCode="General" sourceLinked="1"/>
        <c:majorTickMark val="out"/>
        <c:minorTickMark val="none"/>
        <c:tickLblPos val="nextTo"/>
        <c:crossAx val="317805176"/>
        <c:crosses val="autoZero"/>
        <c:crossBetween val="between"/>
      </c:valAx>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Morbiditet!$B$442:$B$443</c:f>
              <c:strCache>
                <c:ptCount val="2"/>
                <c:pt idx="0">
                  <c:v>2010.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Morbiditet!$A$444:$A$448</c:f>
              <c:strCache>
                <c:ptCount val="5"/>
                <c:pt idx="0">
                  <c:v>0-6</c:v>
                </c:pt>
                <c:pt idx="1">
                  <c:v>od 7-18</c:v>
                </c:pt>
                <c:pt idx="2">
                  <c:v>20-64</c:v>
                </c:pt>
                <c:pt idx="3">
                  <c:v>65+</c:v>
                </c:pt>
                <c:pt idx="4">
                  <c:v>Ukupno </c:v>
                </c:pt>
              </c:strCache>
            </c:strRef>
          </c:cat>
          <c:val>
            <c:numRef>
              <c:f>Morbiditet!$B$444:$B$448</c:f>
              <c:numCache>
                <c:formatCode>0</c:formatCode>
                <c:ptCount val="5"/>
                <c:pt idx="0">
                  <c:v>299.54554833644522</c:v>
                </c:pt>
                <c:pt idx="1">
                  <c:v>439.91348397249124</c:v>
                </c:pt>
                <c:pt idx="2">
                  <c:v>302.70869552024288</c:v>
                </c:pt>
                <c:pt idx="3">
                  <c:v>220.28997818640761</c:v>
                </c:pt>
                <c:pt idx="4">
                  <c:v>317.71087326642885</c:v>
                </c:pt>
              </c:numCache>
            </c:numRef>
          </c:val>
        </c:ser>
        <c:ser>
          <c:idx val="1"/>
          <c:order val="1"/>
          <c:tx>
            <c:strRef>
              <c:f>Morbiditet!$C$442:$C$443</c:f>
              <c:strCache>
                <c:ptCount val="2"/>
                <c:pt idx="0">
                  <c:v>2015.</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Morbiditet!$A$444:$A$448</c:f>
              <c:strCache>
                <c:ptCount val="5"/>
                <c:pt idx="0">
                  <c:v>0-6</c:v>
                </c:pt>
                <c:pt idx="1">
                  <c:v>od 7-18</c:v>
                </c:pt>
                <c:pt idx="2">
                  <c:v>20-64</c:v>
                </c:pt>
                <c:pt idx="3">
                  <c:v>65+</c:v>
                </c:pt>
                <c:pt idx="4">
                  <c:v>Ukupno </c:v>
                </c:pt>
              </c:strCache>
            </c:strRef>
          </c:cat>
          <c:val>
            <c:numRef>
              <c:f>Morbiditet!$C$444:$C$448</c:f>
              <c:numCache>
                <c:formatCode>0</c:formatCode>
                <c:ptCount val="5"/>
                <c:pt idx="0">
                  <c:v>270</c:v>
                </c:pt>
                <c:pt idx="1">
                  <c:v>374</c:v>
                </c:pt>
                <c:pt idx="2">
                  <c:v>314</c:v>
                </c:pt>
                <c:pt idx="3">
                  <c:v>248</c:v>
                </c:pt>
                <c:pt idx="4">
                  <c:v>313</c:v>
                </c:pt>
              </c:numCache>
            </c:numRef>
          </c:val>
        </c:ser>
        <c:dLbls>
          <c:showLegendKey val="0"/>
          <c:showVal val="0"/>
          <c:showCatName val="0"/>
          <c:showSerName val="0"/>
          <c:showPercent val="0"/>
          <c:showBubbleSize val="0"/>
        </c:dLbls>
        <c:gapWidth val="150"/>
        <c:shape val="box"/>
        <c:axId val="317806352"/>
        <c:axId val="317806744"/>
        <c:axId val="0"/>
      </c:bar3DChart>
      <c:catAx>
        <c:axId val="317806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806744"/>
        <c:crosses val="autoZero"/>
        <c:auto val="1"/>
        <c:lblAlgn val="ctr"/>
        <c:lblOffset val="100"/>
        <c:noMultiLvlLbl val="0"/>
      </c:catAx>
      <c:valAx>
        <c:axId val="317806744"/>
        <c:scaling>
          <c:orientation val="minMax"/>
        </c:scaling>
        <c:delete val="1"/>
        <c:axPos val="l"/>
        <c:numFmt formatCode="0" sourceLinked="1"/>
        <c:majorTickMark val="none"/>
        <c:minorTickMark val="none"/>
        <c:tickLblPos val="nextTo"/>
        <c:crossAx val="31780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2015.xlsx]2010-2015'!$A$7</c:f>
              <c:strCache>
                <c:ptCount val="1"/>
                <c:pt idx="0">
                  <c:v>Akutne infekcije gornjih respiratornih puteva (J00-J06)</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'[11]2010-2015'!$B$7:$G$7</c:f>
              <c:numCache>
                <c:formatCode>General</c:formatCode>
                <c:ptCount val="6"/>
                <c:pt idx="0">
                  <c:v>9642</c:v>
                </c:pt>
                <c:pt idx="1">
                  <c:v>9425</c:v>
                </c:pt>
                <c:pt idx="2">
                  <c:v>8584.7000000000007</c:v>
                </c:pt>
                <c:pt idx="3">
                  <c:v>9578</c:v>
                </c:pt>
                <c:pt idx="4">
                  <c:v>8719</c:v>
                </c:pt>
                <c:pt idx="5">
                  <c:v>8371</c:v>
                </c:pt>
              </c:numCache>
            </c:numRef>
          </c:val>
        </c:ser>
        <c:ser>
          <c:idx val="1"/>
          <c:order val="1"/>
          <c:tx>
            <c:strRef>
              <c:f>'C:\Users\Korisnik\Desktop\novo zdravstveno elma\[Vodeća oboljenja starosne skupine 2015.xlsx]2010-2015'!$A$8</c:f>
              <c:strCache>
                <c:ptCount val="1"/>
                <c:pt idx="0">
                  <c:v>Akutni bronhitis, bronhiolitis (J20-J21)</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'[11]2010-2015'!$B$8:$G$8</c:f>
              <c:numCache>
                <c:formatCode>General</c:formatCode>
                <c:ptCount val="6"/>
                <c:pt idx="0">
                  <c:v>1805</c:v>
                </c:pt>
                <c:pt idx="1">
                  <c:v>1534</c:v>
                </c:pt>
                <c:pt idx="2">
                  <c:v>1566.6</c:v>
                </c:pt>
                <c:pt idx="3">
                  <c:v>2146</c:v>
                </c:pt>
                <c:pt idx="4">
                  <c:v>1978</c:v>
                </c:pt>
                <c:pt idx="5">
                  <c:v>1816</c:v>
                </c:pt>
              </c:numCache>
            </c:numRef>
          </c:val>
        </c:ser>
        <c:ser>
          <c:idx val="2"/>
          <c:order val="2"/>
          <c:tx>
            <c:strRef>
              <c:f>'C:\Users\Korisnik\Desktop\novo zdravstveno elma\[Vodeća oboljenja starosne skupine 2015.xlsx]2010-2015'!$A$9</c:f>
              <c:strCache>
                <c:ptCount val="1"/>
                <c:pt idx="0">
                  <c:v>Druga oboljenja kože i potkožnog tkiva (L10-L14, L20-L45, L55-L99)</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'[11]2010-2015'!$B$9:$G$9</c:f>
              <c:numCache>
                <c:formatCode>General</c:formatCode>
                <c:ptCount val="6"/>
                <c:pt idx="4">
                  <c:v>477</c:v>
                </c:pt>
                <c:pt idx="5">
                  <c:v>417</c:v>
                </c:pt>
              </c:numCache>
            </c:numRef>
          </c:val>
        </c:ser>
        <c:ser>
          <c:idx val="3"/>
          <c:order val="3"/>
          <c:tx>
            <c:strRef>
              <c:f>'C:\Users\Korisnik\Desktop\novo zdravstveno elma\[Vodeća oboljenja starosne skupine 2015.xlsx]2010-2015'!$A$10</c:f>
              <c:strCache>
                <c:ptCount val="1"/>
                <c:pt idx="0">
                  <c:v>Anemije usljed nedostatka željeza (D50)</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'[11]2010-2015'!$B$10:$G$10</c:f>
              <c:numCache>
                <c:formatCode>General</c:formatCode>
                <c:ptCount val="6"/>
                <c:pt idx="0">
                  <c:v>518</c:v>
                </c:pt>
                <c:pt idx="1">
                  <c:v>475</c:v>
                </c:pt>
                <c:pt idx="2">
                  <c:v>467</c:v>
                </c:pt>
              </c:numCache>
            </c:numRef>
          </c:val>
        </c:ser>
        <c:ser>
          <c:idx val="4"/>
          <c:order val="4"/>
          <c:tx>
            <c:strRef>
              <c:f>'C:\Users\Korisnik\Desktop\novo zdravstveno elma\[Vodeća oboljenja starosne skupine 2015.xlsx]2010-2015'!$A$11</c:f>
              <c:strCache>
                <c:ptCount val="1"/>
                <c:pt idx="0">
                  <c:v>Otitis media i drugi poremećaji srednjeg uha i mastoida (H65-H75)</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'[11]2010-2015'!$B$11:$G$11</c:f>
              <c:numCache>
                <c:formatCode>General</c:formatCode>
                <c:ptCount val="6"/>
                <c:pt idx="0">
                  <c:v>438</c:v>
                </c:pt>
                <c:pt idx="1">
                  <c:v>462</c:v>
                </c:pt>
                <c:pt idx="2">
                  <c:v>423.7</c:v>
                </c:pt>
                <c:pt idx="3">
                  <c:v>514</c:v>
                </c:pt>
                <c:pt idx="4">
                  <c:v>485</c:v>
                </c:pt>
                <c:pt idx="5">
                  <c:v>425</c:v>
                </c:pt>
              </c:numCache>
            </c:numRef>
          </c:val>
        </c:ser>
        <c:ser>
          <c:idx val="5"/>
          <c:order val="5"/>
          <c:tx>
            <c:strRef>
              <c:f>'C:\Users\Korisnik\Desktop\novo zdravstveno elma\[Vodeća oboljenja starosne skupine 2015.xlsx]2010-2015'!$A$12</c:f>
              <c:strCache>
                <c:ptCount val="1"/>
                <c:pt idx="0">
                  <c:v>Infekcije kože i potkožnog tkiva (L00-L08)</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'[11]2010-2015'!$B$12:$G$12</c:f>
              <c:numCache>
                <c:formatCode>General</c:formatCode>
                <c:ptCount val="6"/>
                <c:pt idx="0">
                  <c:v>369</c:v>
                </c:pt>
                <c:pt idx="1">
                  <c:v>403</c:v>
                </c:pt>
                <c:pt idx="2">
                  <c:v>409.5</c:v>
                </c:pt>
                <c:pt idx="3">
                  <c:v>468</c:v>
                </c:pt>
              </c:numCache>
            </c:numRef>
          </c:val>
        </c:ser>
        <c:ser>
          <c:idx val="6"/>
          <c:order val="6"/>
          <c:tx>
            <c:strRef>
              <c:f>'C:\Users\Korisnik\Desktop\novo zdravstveno elma\[Vodeća oboljenja starosne skupine 2015.xlsx]2010-2015'!$A$13</c:f>
              <c:strCache>
                <c:ptCount val="1"/>
                <c:pt idx="0">
                  <c:v>Oboljenje oka i adneksa (H00-H59)</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'[11]2010-2015'!$B$13:$G$13</c:f>
              <c:numCache>
                <c:formatCode>General</c:formatCode>
                <c:ptCount val="6"/>
                <c:pt idx="3">
                  <c:v>456</c:v>
                </c:pt>
                <c:pt idx="4">
                  <c:v>476</c:v>
                </c:pt>
                <c:pt idx="5">
                  <c:v>431</c:v>
                </c:pt>
              </c:numCache>
            </c:numRef>
          </c:val>
        </c:ser>
        <c:dLbls>
          <c:showLegendKey val="0"/>
          <c:showVal val="0"/>
          <c:showCatName val="0"/>
          <c:showSerName val="0"/>
          <c:showPercent val="0"/>
          <c:showBubbleSize val="0"/>
        </c:dLbls>
        <c:gapWidth val="150"/>
        <c:axId val="317807136"/>
        <c:axId val="317807528"/>
      </c:barChart>
      <c:catAx>
        <c:axId val="317807136"/>
        <c:scaling>
          <c:orientation val="minMax"/>
        </c:scaling>
        <c:delete val="0"/>
        <c:axPos val="b"/>
        <c:numFmt formatCode="General" sourceLinked="0"/>
        <c:majorTickMark val="out"/>
        <c:minorTickMark val="none"/>
        <c:tickLblPos val="nextTo"/>
        <c:txPr>
          <a:bodyPr/>
          <a:lstStyle/>
          <a:p>
            <a:pPr>
              <a:defRPr lang="en-US"/>
            </a:pPr>
            <a:endParaRPr lang="en-US"/>
          </a:p>
        </c:txPr>
        <c:crossAx val="317807528"/>
        <c:crosses val="autoZero"/>
        <c:auto val="1"/>
        <c:lblAlgn val="ctr"/>
        <c:lblOffset val="100"/>
        <c:noMultiLvlLbl val="0"/>
      </c:catAx>
      <c:valAx>
        <c:axId val="31780752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17807136"/>
        <c:crosses val="autoZero"/>
        <c:crossBetween val="between"/>
      </c:valAx>
    </c:plotArea>
    <c:legend>
      <c:legendPos val="r"/>
      <c:overlay val="0"/>
      <c:txPr>
        <a:bodyPr/>
        <a:lstStyle/>
        <a:p>
          <a:pPr>
            <a:defRPr lang="en-US" sz="800"/>
          </a:pPr>
          <a:endParaRPr lang="en-US"/>
        </a:p>
      </c:txPr>
    </c:legend>
    <c:plotVisOnly val="1"/>
    <c:dispBlanksAs val="gap"/>
    <c:showDLblsOverMax val="0"/>
  </c:chart>
  <c:spPr>
    <a:ln>
      <a:solidFill>
        <a:schemeClr val="tx1"/>
      </a:solid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2015.xlsx]2010-2015'!$A$26</c:f>
              <c:strCache>
                <c:ptCount val="1"/>
                <c:pt idx="0">
                  <c:v>Akutne infekcije gornjih respiratornih puteva (J00-J06)</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'[11]2010-2015'!$B$26:$G$26</c:f>
              <c:numCache>
                <c:formatCode>General</c:formatCode>
                <c:ptCount val="6"/>
                <c:pt idx="0">
                  <c:v>4796</c:v>
                </c:pt>
                <c:pt idx="1">
                  <c:v>4820</c:v>
                </c:pt>
                <c:pt idx="2">
                  <c:v>4205.7</c:v>
                </c:pt>
                <c:pt idx="3">
                  <c:v>4982</c:v>
                </c:pt>
                <c:pt idx="4">
                  <c:v>4672</c:v>
                </c:pt>
                <c:pt idx="5">
                  <c:v>4184</c:v>
                </c:pt>
              </c:numCache>
            </c:numRef>
          </c:val>
        </c:ser>
        <c:ser>
          <c:idx val="1"/>
          <c:order val="1"/>
          <c:tx>
            <c:strRef>
              <c:f>'C:\Users\Korisnik\Desktop\novo zdravstveno elma\[Vodeća oboljenja starosne skupine 2015.xlsx]2010-2015'!$A$27</c:f>
              <c:strCache>
                <c:ptCount val="1"/>
                <c:pt idx="0">
                  <c:v>Akutni bronhitis i bronhiolitis (J20-J21)</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'[11]2010-2015'!$B$27:$G$27</c:f>
              <c:numCache>
                <c:formatCode>General</c:formatCode>
                <c:ptCount val="6"/>
                <c:pt idx="0">
                  <c:v>819</c:v>
                </c:pt>
                <c:pt idx="1">
                  <c:v>652</c:v>
                </c:pt>
                <c:pt idx="2">
                  <c:v>561.4</c:v>
                </c:pt>
                <c:pt idx="3">
                  <c:v>717</c:v>
                </c:pt>
                <c:pt idx="4">
                  <c:v>728</c:v>
                </c:pt>
                <c:pt idx="5">
                  <c:v>637</c:v>
                </c:pt>
              </c:numCache>
            </c:numRef>
          </c:val>
        </c:ser>
        <c:ser>
          <c:idx val="2"/>
          <c:order val="2"/>
          <c:tx>
            <c:strRef>
              <c:f>'C:\Users\Korisnik\Desktop\novo zdravstveno elma\[Vodeća oboljenja starosne skupine 2015.xlsx]2010-2015'!$A$28</c:f>
              <c:strCache>
                <c:ptCount val="1"/>
                <c:pt idx="0">
                  <c:v>Oboljenja oka i adneksa (H00-H59, bez H28,H40,H42,H52)</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'[11]2010-2015'!$B$28:$G$28</c:f>
              <c:numCache>
                <c:formatCode>General</c:formatCode>
                <c:ptCount val="6"/>
                <c:pt idx="0">
                  <c:v>312</c:v>
                </c:pt>
                <c:pt idx="1">
                  <c:v>309</c:v>
                </c:pt>
                <c:pt idx="2">
                  <c:v>284.39999999999998</c:v>
                </c:pt>
                <c:pt idx="3">
                  <c:v>341</c:v>
                </c:pt>
                <c:pt idx="4">
                  <c:v>361</c:v>
                </c:pt>
                <c:pt idx="5">
                  <c:v>352</c:v>
                </c:pt>
              </c:numCache>
            </c:numRef>
          </c:val>
        </c:ser>
        <c:ser>
          <c:idx val="3"/>
          <c:order val="3"/>
          <c:tx>
            <c:strRef>
              <c:f>'C:\Users\Korisnik\Desktop\novo zdravstveno elma\[Vodeća oboljenja starosne skupine 2015.xlsx]2010-2015'!$A$29</c:f>
              <c:strCache>
                <c:ptCount val="1"/>
                <c:pt idx="0">
                  <c:v>Druga oboljenja kože i podkožnog tkiva (L10-L14, L20-L45, L55-L99)</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'[11]2010-2015'!$B$29:$G$29</c:f>
              <c:numCache>
                <c:formatCode>General</c:formatCode>
                <c:ptCount val="6"/>
                <c:pt idx="0">
                  <c:v>284</c:v>
                </c:pt>
                <c:pt idx="1">
                  <c:v>277</c:v>
                </c:pt>
                <c:pt idx="2">
                  <c:v>257.10000000000002</c:v>
                </c:pt>
                <c:pt idx="3">
                  <c:v>301</c:v>
                </c:pt>
                <c:pt idx="4">
                  <c:v>323</c:v>
                </c:pt>
                <c:pt idx="5">
                  <c:v>285</c:v>
                </c:pt>
              </c:numCache>
            </c:numRef>
          </c:val>
        </c:ser>
        <c:ser>
          <c:idx val="4"/>
          <c:order val="4"/>
          <c:tx>
            <c:strRef>
              <c:f>'C:\Users\Korisnik\Desktop\novo zdravstveno elma\[Vodeća oboljenja starosne skupine 2015.xlsx]2010-2015'!$A$30</c:f>
              <c:strCache>
                <c:ptCount val="1"/>
                <c:pt idx="0">
                  <c:v>Cistitis (D30)</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'[11]2010-2015'!$B$30:$G$30</c:f>
              <c:numCache>
                <c:formatCode>General</c:formatCode>
                <c:ptCount val="6"/>
                <c:pt idx="2">
                  <c:v>232</c:v>
                </c:pt>
              </c:numCache>
            </c:numRef>
          </c:val>
        </c:ser>
        <c:ser>
          <c:idx val="5"/>
          <c:order val="5"/>
          <c:tx>
            <c:strRef>
              <c:f>'C:\Users\Korisnik\Desktop\novo zdravstveno elma\[Vodeća oboljenja starosne skupine 2015.xlsx]2010-2015'!$A$31</c:f>
              <c:strCache>
                <c:ptCount val="1"/>
                <c:pt idx="0">
                  <c:v>Otitis media i dr poremecaji srednjeg uha i mastoida (H65-H75)</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'[11]2010-2015'!$B$31:$G$31</c:f>
              <c:numCache>
                <c:formatCode>General</c:formatCode>
                <c:ptCount val="6"/>
                <c:pt idx="0">
                  <c:v>254</c:v>
                </c:pt>
                <c:pt idx="1">
                  <c:v>258</c:v>
                </c:pt>
                <c:pt idx="3">
                  <c:v>287</c:v>
                </c:pt>
                <c:pt idx="4">
                  <c:v>278</c:v>
                </c:pt>
                <c:pt idx="5">
                  <c:v>253</c:v>
                </c:pt>
              </c:numCache>
            </c:numRef>
          </c:val>
        </c:ser>
        <c:dLbls>
          <c:showLegendKey val="0"/>
          <c:showVal val="0"/>
          <c:showCatName val="0"/>
          <c:showSerName val="0"/>
          <c:showPercent val="0"/>
          <c:showBubbleSize val="0"/>
        </c:dLbls>
        <c:gapWidth val="150"/>
        <c:axId val="317800472"/>
        <c:axId val="317801256"/>
      </c:barChart>
      <c:catAx>
        <c:axId val="317800472"/>
        <c:scaling>
          <c:orientation val="minMax"/>
        </c:scaling>
        <c:delete val="0"/>
        <c:axPos val="b"/>
        <c:numFmt formatCode="General" sourceLinked="0"/>
        <c:majorTickMark val="out"/>
        <c:minorTickMark val="none"/>
        <c:tickLblPos val="nextTo"/>
        <c:crossAx val="317801256"/>
        <c:crosses val="autoZero"/>
        <c:auto val="1"/>
        <c:lblAlgn val="ctr"/>
        <c:lblOffset val="100"/>
        <c:noMultiLvlLbl val="0"/>
      </c:catAx>
      <c:valAx>
        <c:axId val="317801256"/>
        <c:scaling>
          <c:orientation val="minMax"/>
        </c:scaling>
        <c:delete val="0"/>
        <c:axPos val="l"/>
        <c:majorGridlines/>
        <c:numFmt formatCode="General" sourceLinked="1"/>
        <c:majorTickMark val="out"/>
        <c:minorTickMark val="none"/>
        <c:tickLblPos val="nextTo"/>
        <c:crossAx val="317800472"/>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2015.xlsx]2010-2015'!$A$46</c:f>
              <c:strCache>
                <c:ptCount val="1"/>
                <c:pt idx="0">
                  <c:v>Akutne infekcije gornjih respiratornih puteva (J00-J06)</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'[11]2010-2015'!$B$46:$G$46</c:f>
              <c:numCache>
                <c:formatCode>General</c:formatCode>
                <c:ptCount val="6"/>
                <c:pt idx="0">
                  <c:v>1680</c:v>
                </c:pt>
                <c:pt idx="1">
                  <c:v>1846</c:v>
                </c:pt>
                <c:pt idx="2">
                  <c:v>1712</c:v>
                </c:pt>
                <c:pt idx="3">
                  <c:v>1886</c:v>
                </c:pt>
                <c:pt idx="4">
                  <c:v>1791</c:v>
                </c:pt>
                <c:pt idx="5">
                  <c:v>1671</c:v>
                </c:pt>
              </c:numCache>
            </c:numRef>
          </c:val>
        </c:ser>
        <c:ser>
          <c:idx val="1"/>
          <c:order val="1"/>
          <c:tx>
            <c:strRef>
              <c:f>'C:\Users\Korisnik\Desktop\novo zdravstveno elma\[Vodeća oboljenja starosne skupine 2015.xlsx]2010-2015'!$A$47</c:f>
              <c:strCache>
                <c:ptCount val="1"/>
                <c:pt idx="0">
                  <c:v>Akutni bronhitis, bronhiolitis (J20-J21)</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'[11]2010-2015'!$B$47:$G$47</c:f>
              <c:numCache>
                <c:formatCode>General</c:formatCode>
                <c:ptCount val="6"/>
                <c:pt idx="0">
                  <c:v>199</c:v>
                </c:pt>
                <c:pt idx="1">
                  <c:v>163</c:v>
                </c:pt>
                <c:pt idx="2">
                  <c:v>157.4</c:v>
                </c:pt>
                <c:pt idx="3">
                  <c:v>203</c:v>
                </c:pt>
                <c:pt idx="4">
                  <c:v>216</c:v>
                </c:pt>
                <c:pt idx="5">
                  <c:v>156</c:v>
                </c:pt>
              </c:numCache>
            </c:numRef>
          </c:val>
        </c:ser>
        <c:ser>
          <c:idx val="2"/>
          <c:order val="2"/>
          <c:tx>
            <c:strRef>
              <c:f>'C:\Users\Korisnik\Desktop\novo zdravstveno elma\[Vodeća oboljenja starosne skupine 2015.xlsx]2010-2015'!$A$48</c:f>
              <c:strCache>
                <c:ptCount val="1"/>
                <c:pt idx="0">
                  <c:v>Cistitis (N30)</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'[11]2010-2015'!$B$48:$G$48</c:f>
              <c:numCache>
                <c:formatCode>General</c:formatCode>
                <c:ptCount val="6"/>
                <c:pt idx="0">
                  <c:v>141</c:v>
                </c:pt>
                <c:pt idx="1">
                  <c:v>149</c:v>
                </c:pt>
                <c:pt idx="2">
                  <c:v>152.5</c:v>
                </c:pt>
                <c:pt idx="3">
                  <c:v>156</c:v>
                </c:pt>
                <c:pt idx="4">
                  <c:v>166</c:v>
                </c:pt>
                <c:pt idx="5">
                  <c:v>135</c:v>
                </c:pt>
              </c:numCache>
            </c:numRef>
          </c:val>
        </c:ser>
        <c:ser>
          <c:idx val="3"/>
          <c:order val="3"/>
          <c:tx>
            <c:strRef>
              <c:f>'C:\Users\Korisnik\Desktop\novo zdravstveno elma\[Vodeća oboljenja starosne skupine 2015.xlsx]2010-2015'!$A$49</c:f>
              <c:strCache>
                <c:ptCount val="1"/>
                <c:pt idx="0">
                  <c:v>Druga oboljenja kože i potkožnog tkiva (L10-L14,L20-L45,L55-L99)</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'[11]2010-2015'!$B$49:$G$49</c:f>
              <c:numCache>
                <c:formatCode>General</c:formatCode>
                <c:ptCount val="6"/>
                <c:pt idx="0">
                  <c:v>130</c:v>
                </c:pt>
                <c:pt idx="1">
                  <c:v>142</c:v>
                </c:pt>
                <c:pt idx="2">
                  <c:v>135.4</c:v>
                </c:pt>
                <c:pt idx="3">
                  <c:v>152</c:v>
                </c:pt>
                <c:pt idx="4">
                  <c:v>176</c:v>
                </c:pt>
                <c:pt idx="5">
                  <c:v>144</c:v>
                </c:pt>
              </c:numCache>
            </c:numRef>
          </c:val>
        </c:ser>
        <c:ser>
          <c:idx val="4"/>
          <c:order val="4"/>
          <c:tx>
            <c:strRef>
              <c:f>'C:\Users\Korisnik\Desktop\novo zdravstveno elma\[Vodeća oboljenja starosne skupine 2015.xlsx]2010-2015'!$A$50</c:f>
              <c:strCache>
                <c:ptCount val="1"/>
                <c:pt idx="0">
                  <c:v>Oboljenja oka i adneksa (H00-H59, bez H28,H40,H42,H52)</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'[11]2010-2015'!$B$50:$G$50</c:f>
              <c:numCache>
                <c:formatCode>General</c:formatCode>
                <c:ptCount val="6"/>
                <c:pt idx="0">
                  <c:v>133</c:v>
                </c:pt>
                <c:pt idx="1">
                  <c:v>128</c:v>
                </c:pt>
                <c:pt idx="2">
                  <c:v>121</c:v>
                </c:pt>
                <c:pt idx="4">
                  <c:v>125</c:v>
                </c:pt>
                <c:pt idx="5">
                  <c:v>134</c:v>
                </c:pt>
              </c:numCache>
            </c:numRef>
          </c:val>
        </c:ser>
        <c:ser>
          <c:idx val="5"/>
          <c:order val="5"/>
          <c:tx>
            <c:strRef>
              <c:f>'C:\Users\Korisnik\Desktop\novo zdravstveno elma\[Vodeća oboljenja starosne skupine 2015.xlsx]2010-2015'!$A$51</c:f>
              <c:strCache>
                <c:ptCount val="1"/>
                <c:pt idx="0">
                  <c:v>Infekcije kože i potkožnog tkiva (L00-L08)</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'[11]2010-2015'!$B$51:$G$51</c:f>
              <c:numCache>
                <c:formatCode>General</c:formatCode>
                <c:ptCount val="6"/>
                <c:pt idx="3">
                  <c:v>126</c:v>
                </c:pt>
              </c:numCache>
            </c:numRef>
          </c:val>
        </c:ser>
        <c:dLbls>
          <c:showLegendKey val="0"/>
          <c:showVal val="0"/>
          <c:showCatName val="0"/>
          <c:showSerName val="0"/>
          <c:showPercent val="0"/>
          <c:showBubbleSize val="0"/>
        </c:dLbls>
        <c:gapWidth val="150"/>
        <c:axId val="323005840"/>
        <c:axId val="323003096"/>
      </c:barChart>
      <c:catAx>
        <c:axId val="323005840"/>
        <c:scaling>
          <c:orientation val="minMax"/>
        </c:scaling>
        <c:delete val="0"/>
        <c:axPos val="b"/>
        <c:numFmt formatCode="General" sourceLinked="0"/>
        <c:majorTickMark val="out"/>
        <c:minorTickMark val="none"/>
        <c:tickLblPos val="nextTo"/>
        <c:crossAx val="323003096"/>
        <c:crosses val="autoZero"/>
        <c:auto val="1"/>
        <c:lblAlgn val="ctr"/>
        <c:lblOffset val="100"/>
        <c:noMultiLvlLbl val="0"/>
      </c:catAx>
      <c:valAx>
        <c:axId val="323003096"/>
        <c:scaling>
          <c:orientation val="minMax"/>
        </c:scaling>
        <c:delete val="0"/>
        <c:axPos val="l"/>
        <c:majorGridlines/>
        <c:numFmt formatCode="General" sourceLinked="1"/>
        <c:majorTickMark val="out"/>
        <c:minorTickMark val="none"/>
        <c:tickLblPos val="nextTo"/>
        <c:crossAx val="323005840"/>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771062992126034"/>
          <c:y val="5.0925925925925923E-2"/>
          <c:w val="0.57931189851268594"/>
          <c:h val="0.79869969378827799"/>
        </c:manualLayout>
      </c:layout>
      <c:barChart>
        <c:barDir val="bar"/>
        <c:grouping val="clustered"/>
        <c:varyColors val="0"/>
        <c:ser>
          <c:idx val="0"/>
          <c:order val="0"/>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Sheet2!$A$6:$A$16</c:f>
              <c:strCache>
                <c:ptCount val="11"/>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pt idx="10">
                  <c:v>Federacija BiH</c:v>
                </c:pt>
              </c:strCache>
            </c:strRef>
          </c:cat>
          <c:val>
            <c:numRef>
              <c:f>Sheet2!$B$6:$B$16</c:f>
              <c:numCache>
                <c:formatCode>General</c:formatCode>
                <c:ptCount val="11"/>
                <c:pt idx="0">
                  <c:v>808</c:v>
                </c:pt>
                <c:pt idx="1">
                  <c:v>711</c:v>
                </c:pt>
                <c:pt idx="2">
                  <c:v>733</c:v>
                </c:pt>
                <c:pt idx="3">
                  <c:v>718</c:v>
                </c:pt>
                <c:pt idx="4">
                  <c:v>740</c:v>
                </c:pt>
                <c:pt idx="5">
                  <c:v>673</c:v>
                </c:pt>
                <c:pt idx="6">
                  <c:v>890</c:v>
                </c:pt>
                <c:pt idx="7">
                  <c:v>759</c:v>
                </c:pt>
                <c:pt idx="8">
                  <c:v>1024</c:v>
                </c:pt>
                <c:pt idx="9">
                  <c:v>839</c:v>
                </c:pt>
                <c:pt idx="10">
                  <c:v>830</c:v>
                </c:pt>
              </c:numCache>
            </c:numRef>
          </c:val>
        </c:ser>
        <c:dLbls>
          <c:showLegendKey val="0"/>
          <c:showVal val="0"/>
          <c:showCatName val="0"/>
          <c:showSerName val="0"/>
          <c:showPercent val="0"/>
          <c:showBubbleSize val="0"/>
        </c:dLbls>
        <c:gapWidth val="150"/>
        <c:axId val="245993888"/>
        <c:axId val="245994672"/>
      </c:barChart>
      <c:catAx>
        <c:axId val="245993888"/>
        <c:scaling>
          <c:orientation val="maxMin"/>
        </c:scaling>
        <c:delete val="0"/>
        <c:axPos val="l"/>
        <c:numFmt formatCode="General" sourceLinked="0"/>
        <c:majorTickMark val="out"/>
        <c:minorTickMark val="none"/>
        <c:tickLblPos val="nextTo"/>
        <c:txPr>
          <a:bodyPr/>
          <a:lstStyle/>
          <a:p>
            <a:pPr>
              <a:defRPr>
                <a:latin typeface="Arial" pitchFamily="34" charset="0"/>
                <a:cs typeface="Arial" pitchFamily="34" charset="0"/>
              </a:defRPr>
            </a:pPr>
            <a:endParaRPr lang="en-US"/>
          </a:p>
        </c:txPr>
        <c:crossAx val="245994672"/>
        <c:crosses val="autoZero"/>
        <c:auto val="1"/>
        <c:lblAlgn val="ctr"/>
        <c:lblOffset val="100"/>
        <c:noMultiLvlLbl val="0"/>
      </c:catAx>
      <c:valAx>
        <c:axId val="245994672"/>
        <c:scaling>
          <c:orientation val="minMax"/>
        </c:scaling>
        <c:delete val="0"/>
        <c:axPos val="t"/>
        <c:numFmt formatCode="General" sourceLinked="1"/>
        <c:majorTickMark val="none"/>
        <c:minorTickMark val="none"/>
        <c:tickLblPos val="high"/>
        <c:spPr>
          <a:noFill/>
        </c:spPr>
        <c:txPr>
          <a:bodyPr rot="60000" anchor="b" anchorCtr="1"/>
          <a:lstStyle/>
          <a:p>
            <a:pPr>
              <a:defRPr/>
            </a:pPr>
            <a:endParaRPr lang="en-US"/>
          </a:p>
        </c:txPr>
        <c:crossAx val="245993888"/>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2015.xlsx]2010-2015'!$A$67</c:f>
              <c:strCache>
                <c:ptCount val="1"/>
                <c:pt idx="0">
                  <c:v>Hipertenzivna oboljenja (I10-I05)</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'[11]2010-2015'!$B$67:$G$67</c:f>
              <c:numCache>
                <c:formatCode>General</c:formatCode>
                <c:ptCount val="6"/>
                <c:pt idx="0">
                  <c:v>845</c:v>
                </c:pt>
                <c:pt idx="1">
                  <c:v>899</c:v>
                </c:pt>
                <c:pt idx="2">
                  <c:v>929.4</c:v>
                </c:pt>
                <c:pt idx="3">
                  <c:v>1073</c:v>
                </c:pt>
                <c:pt idx="4">
                  <c:v>1114</c:v>
                </c:pt>
                <c:pt idx="5">
                  <c:v>1115</c:v>
                </c:pt>
              </c:numCache>
            </c:numRef>
          </c:val>
        </c:ser>
        <c:ser>
          <c:idx val="1"/>
          <c:order val="1"/>
          <c:tx>
            <c:strRef>
              <c:f>'C:\Users\Korisnik\Desktop\novo zdravstveno elma\[Vodeća oboljenja starosne skupine 2015.xlsx]2010-2015'!$A$68</c:f>
              <c:strCache>
                <c:ptCount val="1"/>
                <c:pt idx="0">
                  <c:v>Akutne infekcije gornjih respiratornih puteva (J00-J06)</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'[11]2010-2015'!$B$68:$G$68</c:f>
              <c:numCache>
                <c:formatCode>General</c:formatCode>
                <c:ptCount val="6"/>
                <c:pt idx="0">
                  <c:v>711</c:v>
                </c:pt>
                <c:pt idx="1">
                  <c:v>783</c:v>
                </c:pt>
                <c:pt idx="2">
                  <c:v>702</c:v>
                </c:pt>
                <c:pt idx="3">
                  <c:v>781</c:v>
                </c:pt>
                <c:pt idx="4">
                  <c:v>830</c:v>
                </c:pt>
                <c:pt idx="5">
                  <c:v>861</c:v>
                </c:pt>
              </c:numCache>
            </c:numRef>
          </c:val>
        </c:ser>
        <c:ser>
          <c:idx val="2"/>
          <c:order val="2"/>
          <c:tx>
            <c:strRef>
              <c:f>'C:\Users\Korisnik\Desktop\novo zdravstveno elma\[Vodeća oboljenja starosne skupine 2015.xlsx]2010-2015'!$A$69</c:f>
              <c:strCache>
                <c:ptCount val="1"/>
                <c:pt idx="0">
                  <c:v>Druge dorzopatije (M40-M49, M53-M54)</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'[11]2010-2015'!$B$69:$G$69</c:f>
              <c:numCache>
                <c:formatCode>General</c:formatCode>
                <c:ptCount val="6"/>
                <c:pt idx="0">
                  <c:v>286</c:v>
                </c:pt>
                <c:pt idx="1">
                  <c:v>293</c:v>
                </c:pt>
                <c:pt idx="2">
                  <c:v>294.3</c:v>
                </c:pt>
                <c:pt idx="3">
                  <c:v>336</c:v>
                </c:pt>
                <c:pt idx="4">
                  <c:v>372</c:v>
                </c:pt>
                <c:pt idx="5">
                  <c:v>373</c:v>
                </c:pt>
              </c:numCache>
            </c:numRef>
          </c:val>
        </c:ser>
        <c:ser>
          <c:idx val="3"/>
          <c:order val="3"/>
          <c:tx>
            <c:strRef>
              <c:f>'C:\Users\Korisnik\Desktop\novo zdravstveno elma\[Vodeća oboljenja starosne skupine 2015.xlsx]2010-2015'!$A$70</c:f>
              <c:strCache>
                <c:ptCount val="1"/>
                <c:pt idx="0">
                  <c:v>Dijabetes (E10-E14)</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'[11]2010-2015'!$B$70:$G$70</c:f>
              <c:numCache>
                <c:formatCode>General</c:formatCode>
                <c:ptCount val="6"/>
                <c:pt idx="0">
                  <c:v>204</c:v>
                </c:pt>
                <c:pt idx="1">
                  <c:v>224</c:v>
                </c:pt>
                <c:pt idx="2">
                  <c:v>247.3</c:v>
                </c:pt>
                <c:pt idx="3">
                  <c:v>287</c:v>
                </c:pt>
                <c:pt idx="4">
                  <c:v>282</c:v>
                </c:pt>
                <c:pt idx="5">
                  <c:v>279</c:v>
                </c:pt>
              </c:numCache>
            </c:numRef>
          </c:val>
        </c:ser>
        <c:ser>
          <c:idx val="4"/>
          <c:order val="4"/>
          <c:tx>
            <c:strRef>
              <c:f>'C:\Users\Korisnik\Desktop\novo zdravstveno elma\[Vodeća oboljenja starosne skupine 2015.xlsx]2010-2015'!$A$71</c:f>
              <c:strCache>
                <c:ptCount val="1"/>
                <c:pt idx="0">
                  <c:v>Cistitis (N30)</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'[11]2010-2015'!$B$71:$G$71</c:f>
              <c:numCache>
                <c:formatCode>General</c:formatCode>
                <c:ptCount val="6"/>
                <c:pt idx="0">
                  <c:v>238</c:v>
                </c:pt>
                <c:pt idx="1">
                  <c:v>230</c:v>
                </c:pt>
                <c:pt idx="2">
                  <c:v>243.4</c:v>
                </c:pt>
                <c:pt idx="3">
                  <c:v>252</c:v>
                </c:pt>
                <c:pt idx="4">
                  <c:v>271</c:v>
                </c:pt>
                <c:pt idx="5">
                  <c:v>237</c:v>
                </c:pt>
              </c:numCache>
            </c:numRef>
          </c:val>
        </c:ser>
        <c:dLbls>
          <c:showLegendKey val="0"/>
          <c:showVal val="0"/>
          <c:showCatName val="0"/>
          <c:showSerName val="0"/>
          <c:showPercent val="0"/>
          <c:showBubbleSize val="0"/>
        </c:dLbls>
        <c:gapWidth val="150"/>
        <c:axId val="323008192"/>
        <c:axId val="323009368"/>
      </c:barChart>
      <c:catAx>
        <c:axId val="323008192"/>
        <c:scaling>
          <c:orientation val="minMax"/>
        </c:scaling>
        <c:delete val="0"/>
        <c:axPos val="b"/>
        <c:numFmt formatCode="General" sourceLinked="0"/>
        <c:majorTickMark val="out"/>
        <c:minorTickMark val="none"/>
        <c:tickLblPos val="nextTo"/>
        <c:crossAx val="323009368"/>
        <c:crosses val="autoZero"/>
        <c:auto val="1"/>
        <c:lblAlgn val="ctr"/>
        <c:lblOffset val="100"/>
        <c:noMultiLvlLbl val="0"/>
      </c:catAx>
      <c:valAx>
        <c:axId val="323009368"/>
        <c:scaling>
          <c:orientation val="minMax"/>
        </c:scaling>
        <c:delete val="0"/>
        <c:axPos val="l"/>
        <c:majorGridlines/>
        <c:numFmt formatCode="General" sourceLinked="1"/>
        <c:majorTickMark val="out"/>
        <c:minorTickMark val="none"/>
        <c:tickLblPos val="nextTo"/>
        <c:crossAx val="323008192"/>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2015.xlsx]2010-2015'!$A$88</c:f>
              <c:strCache>
                <c:ptCount val="1"/>
                <c:pt idx="0">
                  <c:v>Hipertenzivna stanja (I10-I05)</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'[11]2010-2015'!$B$88:$G$88</c:f>
              <c:numCache>
                <c:formatCode>General</c:formatCode>
                <c:ptCount val="6"/>
                <c:pt idx="0">
                  <c:v>2545</c:v>
                </c:pt>
                <c:pt idx="1">
                  <c:v>2757</c:v>
                </c:pt>
                <c:pt idx="2">
                  <c:v>2844</c:v>
                </c:pt>
                <c:pt idx="3">
                  <c:v>3144</c:v>
                </c:pt>
                <c:pt idx="4">
                  <c:v>3449</c:v>
                </c:pt>
                <c:pt idx="5">
                  <c:v>3476</c:v>
                </c:pt>
              </c:numCache>
            </c:numRef>
          </c:val>
        </c:ser>
        <c:ser>
          <c:idx val="1"/>
          <c:order val="1"/>
          <c:tx>
            <c:strRef>
              <c:f>'C:\Users\Korisnik\Desktop\novo zdravstveno elma\[Vodeća oboljenja starosne skupine 2015.xlsx]2010-2015'!$A$89</c:f>
              <c:strCache>
                <c:ptCount val="1"/>
                <c:pt idx="0">
                  <c:v>Dijabetes E10-E14)</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'[11]2010-2015'!$B$89:$G$89</c:f>
              <c:numCache>
                <c:formatCode>General</c:formatCode>
                <c:ptCount val="6"/>
                <c:pt idx="0">
                  <c:v>682</c:v>
                </c:pt>
                <c:pt idx="1">
                  <c:v>768</c:v>
                </c:pt>
                <c:pt idx="2">
                  <c:v>849</c:v>
                </c:pt>
                <c:pt idx="3">
                  <c:v>966</c:v>
                </c:pt>
                <c:pt idx="4">
                  <c:v>959</c:v>
                </c:pt>
                <c:pt idx="5">
                  <c:v>1021</c:v>
                </c:pt>
              </c:numCache>
            </c:numRef>
          </c:val>
        </c:ser>
        <c:ser>
          <c:idx val="2"/>
          <c:order val="2"/>
          <c:tx>
            <c:strRef>
              <c:f>'C:\Users\Korisnik\Desktop\novo zdravstveno elma\[Vodeća oboljenja starosne skupine 2015.xlsx]2010-2015'!$A$90</c:f>
              <c:strCache>
                <c:ptCount val="1"/>
                <c:pt idx="0">
                  <c:v>Akutne infekcije gornjih respiratornih puteva (J00-J06)</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'[11]2010-2015'!$B$90:$G$90</c:f>
              <c:numCache>
                <c:formatCode>General</c:formatCode>
                <c:ptCount val="6"/>
                <c:pt idx="0">
                  <c:v>747</c:v>
                </c:pt>
                <c:pt idx="1">
                  <c:v>795</c:v>
                </c:pt>
                <c:pt idx="2">
                  <c:v>754</c:v>
                </c:pt>
                <c:pt idx="3">
                  <c:v>879</c:v>
                </c:pt>
                <c:pt idx="4">
                  <c:v>861</c:v>
                </c:pt>
                <c:pt idx="5">
                  <c:v>872</c:v>
                </c:pt>
              </c:numCache>
            </c:numRef>
          </c:val>
        </c:ser>
        <c:ser>
          <c:idx val="3"/>
          <c:order val="3"/>
          <c:tx>
            <c:strRef>
              <c:f>'C:\Users\Korisnik\Desktop\novo zdravstveno elma\[Vodeća oboljenja starosne skupine 2015.xlsx]2010-2015'!$A$91</c:f>
              <c:strCache>
                <c:ptCount val="1"/>
                <c:pt idx="0">
                  <c:v>Druge dorzopatije (M40-M49, M53-M54)</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'[11]2010-2015'!$B$91:$G$91</c:f>
              <c:numCache>
                <c:formatCode>General</c:formatCode>
                <c:ptCount val="6"/>
                <c:pt idx="0">
                  <c:v>423</c:v>
                </c:pt>
                <c:pt idx="1">
                  <c:v>411</c:v>
                </c:pt>
                <c:pt idx="2">
                  <c:v>432</c:v>
                </c:pt>
                <c:pt idx="3">
                  <c:v>527</c:v>
                </c:pt>
                <c:pt idx="4">
                  <c:v>554</c:v>
                </c:pt>
                <c:pt idx="5">
                  <c:v>542</c:v>
                </c:pt>
              </c:numCache>
            </c:numRef>
          </c:val>
        </c:ser>
        <c:ser>
          <c:idx val="4"/>
          <c:order val="4"/>
          <c:tx>
            <c:strRef>
              <c:f>'C:\Users\Korisnik\Desktop\novo zdravstveno elma\[Vodeća oboljenja starosne skupine 2015.xlsx]2010-2015'!$A$92</c:f>
              <c:strCache>
                <c:ptCount val="1"/>
                <c:pt idx="0">
                  <c:v>Cistitis (N30)</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'[11]2010-2015'!$B$92:$G$92</c:f>
              <c:numCache>
                <c:formatCode>General</c:formatCode>
                <c:ptCount val="6"/>
                <c:pt idx="0">
                  <c:v>446</c:v>
                </c:pt>
                <c:pt idx="1">
                  <c:v>405</c:v>
                </c:pt>
                <c:pt idx="2">
                  <c:v>444</c:v>
                </c:pt>
                <c:pt idx="3">
                  <c:v>473</c:v>
                </c:pt>
                <c:pt idx="4">
                  <c:v>527</c:v>
                </c:pt>
                <c:pt idx="5">
                  <c:v>470</c:v>
                </c:pt>
              </c:numCache>
            </c:numRef>
          </c:val>
        </c:ser>
        <c:dLbls>
          <c:showLegendKey val="0"/>
          <c:showVal val="0"/>
          <c:showCatName val="0"/>
          <c:showSerName val="0"/>
          <c:showPercent val="0"/>
          <c:showBubbleSize val="0"/>
        </c:dLbls>
        <c:gapWidth val="150"/>
        <c:axId val="323009760"/>
        <c:axId val="323010152"/>
      </c:barChart>
      <c:catAx>
        <c:axId val="323009760"/>
        <c:scaling>
          <c:orientation val="minMax"/>
        </c:scaling>
        <c:delete val="0"/>
        <c:axPos val="b"/>
        <c:numFmt formatCode="General" sourceLinked="0"/>
        <c:majorTickMark val="out"/>
        <c:minorTickMark val="none"/>
        <c:tickLblPos val="nextTo"/>
        <c:crossAx val="323010152"/>
        <c:crosses val="autoZero"/>
        <c:auto val="1"/>
        <c:lblAlgn val="ctr"/>
        <c:lblOffset val="100"/>
        <c:noMultiLvlLbl val="0"/>
      </c:catAx>
      <c:valAx>
        <c:axId val="323010152"/>
        <c:scaling>
          <c:orientation val="minMax"/>
        </c:scaling>
        <c:delete val="0"/>
        <c:axPos val="l"/>
        <c:majorGridlines/>
        <c:numFmt formatCode="General" sourceLinked="1"/>
        <c:majorTickMark val="out"/>
        <c:minorTickMark val="none"/>
        <c:tickLblPos val="nextTo"/>
        <c:crossAx val="323009760"/>
        <c:crosses val="autoZero"/>
        <c:crossBetween val="between"/>
      </c:valAx>
    </c:plotArea>
    <c:legend>
      <c:legendPos val="r"/>
      <c:overlay val="0"/>
      <c:txPr>
        <a:bodyPr/>
        <a:lstStyle/>
        <a:p>
          <a:pPr>
            <a:defRPr sz="900"/>
          </a:pPr>
          <a:endParaRPr lang="en-US"/>
        </a:p>
      </c:txPr>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Mortalitet!$A$397</c:f>
              <c:strCache>
                <c:ptCount val="1"/>
                <c:pt idx="0">
                  <c:v>Oboljenja cirkulatornog sistema (I00-I99)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Mortalitet!$B$397:$C$397</c:f>
              <c:numCache>
                <c:formatCode>0.0</c:formatCode>
                <c:ptCount val="2"/>
                <c:pt idx="0">
                  <c:v>2763.5606821374286</c:v>
                </c:pt>
                <c:pt idx="1">
                  <c:v>2917.966215226174</c:v>
                </c:pt>
              </c:numCache>
            </c:numRef>
          </c:val>
        </c:ser>
        <c:ser>
          <c:idx val="1"/>
          <c:order val="1"/>
          <c:tx>
            <c:strRef>
              <c:f>Mortalitet!$A$398</c:f>
              <c:strCache>
                <c:ptCount val="1"/>
                <c:pt idx="0">
                  <c:v>Maligne neoplazme (C00-C97)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Mortalitet!$B$398:$C$398</c:f>
              <c:numCache>
                <c:formatCode>0.0</c:formatCode>
                <c:ptCount val="2"/>
                <c:pt idx="0">
                  <c:v>772.12228960805317</c:v>
                </c:pt>
                <c:pt idx="1">
                  <c:v>883.34414836832525</c:v>
                </c:pt>
              </c:numCache>
            </c:numRef>
          </c:val>
        </c:ser>
        <c:ser>
          <c:idx val="2"/>
          <c:order val="2"/>
          <c:tx>
            <c:strRef>
              <c:f>Mortalitet!$A$399</c:f>
              <c:strCache>
                <c:ptCount val="1"/>
                <c:pt idx="0">
                  <c:v>Endokrina i metabolička ob. sa poremećajem u ishrani (E00-E99)</c:v>
                </c:pt>
              </c:strCache>
            </c:strRef>
          </c:tx>
          <c:spPr>
            <a:solidFill>
              <a:schemeClr val="accent3"/>
            </a:solidFill>
            <a:ln>
              <a:noFill/>
            </a:ln>
            <a:effectLst/>
          </c:spPr>
          <c:invertIfNegative val="0"/>
          <c:dLbls>
            <c:dLbl>
              <c:idx val="0"/>
              <c:layout>
                <c:manualLayout>
                  <c:x val="0"/>
                  <c:y val="-1.85185185185186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Mortalitet!$B$399:$C$399</c:f>
              <c:numCache>
                <c:formatCode>0.0</c:formatCode>
                <c:ptCount val="2"/>
                <c:pt idx="0">
                  <c:v>292.76935539165868</c:v>
                </c:pt>
                <c:pt idx="1">
                  <c:v>303.81775719100148</c:v>
                </c:pt>
              </c:numCache>
            </c:numRef>
          </c:val>
        </c:ser>
        <c:ser>
          <c:idx val="3"/>
          <c:order val="3"/>
          <c:tx>
            <c:strRef>
              <c:f>Mortalitet!$A$400</c:f>
              <c:strCache>
                <c:ptCount val="1"/>
                <c:pt idx="0">
                  <c:v>Simptomi,znaci i nenormalni klinički i lab.nalazi (R00-R99)</c:v>
                </c:pt>
              </c:strCache>
            </c:strRef>
          </c:tx>
          <c:spPr>
            <a:solidFill>
              <a:schemeClr val="accent4"/>
            </a:solidFill>
            <a:ln>
              <a:noFill/>
            </a:ln>
            <a:effectLst/>
          </c:spPr>
          <c:invertIfNegative val="0"/>
          <c:dLbls>
            <c:dLbl>
              <c:idx val="0"/>
              <c:layout>
                <c:manualLayout>
                  <c:x val="1.1111111111111136E-2"/>
                  <c:y val="-8.4875562720133283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Mortalitet!$B$400:$C$400</c:f>
              <c:numCache>
                <c:formatCode>0.0</c:formatCode>
                <c:ptCount val="2"/>
                <c:pt idx="0">
                  <c:v>226.32739805406979</c:v>
                </c:pt>
                <c:pt idx="1">
                  <c:v>104.66162895359304</c:v>
                </c:pt>
              </c:numCache>
            </c:numRef>
          </c:val>
        </c:ser>
        <c:ser>
          <c:idx val="4"/>
          <c:order val="4"/>
          <c:tx>
            <c:strRef>
              <c:f>Mortalitet!$A$401</c:f>
              <c:strCache>
                <c:ptCount val="1"/>
                <c:pt idx="0">
                  <c:v>Oboljenja respiratornog sistema (J00-J99)</c:v>
                </c:pt>
              </c:strCache>
            </c:strRef>
          </c:tx>
          <c:spPr>
            <a:solidFill>
              <a:schemeClr val="accent5"/>
            </a:solidFill>
            <a:ln>
              <a:noFill/>
            </a:ln>
            <a:effectLst/>
          </c:spPr>
          <c:invertIfNegative val="0"/>
          <c:dLbls>
            <c:dLbl>
              <c:idx val="0"/>
              <c:layout>
                <c:manualLayout>
                  <c:x val="2.7777777777777776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Mortalitet!$B$401:$C$401</c:f>
              <c:numCache>
                <c:formatCode>0.0</c:formatCode>
                <c:ptCount val="2"/>
                <c:pt idx="0">
                  <c:v>168.07691490878642</c:v>
                </c:pt>
                <c:pt idx="1">
                  <c:v>260.45793948165579</c:v>
                </c:pt>
              </c:numCache>
            </c:numRef>
          </c:val>
        </c:ser>
        <c:dLbls>
          <c:showLegendKey val="0"/>
          <c:showVal val="0"/>
          <c:showCatName val="0"/>
          <c:showSerName val="0"/>
          <c:showPercent val="0"/>
          <c:showBubbleSize val="0"/>
        </c:dLbls>
        <c:gapWidth val="199"/>
        <c:axId val="323003880"/>
        <c:axId val="323003488"/>
      </c:barChart>
      <c:catAx>
        <c:axId val="32300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323003488"/>
        <c:crosses val="autoZero"/>
        <c:auto val="1"/>
        <c:lblAlgn val="ctr"/>
        <c:lblOffset val="100"/>
        <c:noMultiLvlLbl val="0"/>
      </c:catAx>
      <c:valAx>
        <c:axId val="323003488"/>
        <c:scaling>
          <c:orientation val="minMax"/>
        </c:scaling>
        <c:delete val="1"/>
        <c:axPos val="l"/>
        <c:numFmt formatCode="0.0" sourceLinked="1"/>
        <c:majorTickMark val="none"/>
        <c:minorTickMark val="none"/>
        <c:tickLblPos val="nextTo"/>
        <c:crossAx val="323003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Sheet1!$C$3</c:f>
              <c:strCache>
                <c:ptCount val="1"/>
                <c:pt idx="0">
                  <c:v>2010.</c:v>
                </c:pt>
              </c:strCache>
            </c:strRef>
          </c:tx>
          <c:spPr>
            <a:ln w="28575" cap="rnd">
              <a:solidFill>
                <a:schemeClr val="accent1"/>
              </a:solidFill>
              <a:round/>
            </a:ln>
            <a:effectLst/>
          </c:spPr>
          <c:marker>
            <c:symbol val="none"/>
          </c:marker>
          <c:cat>
            <c:strRef>
              <c:f>Sheet1!$B$4:$B$12</c:f>
              <c:strCache>
                <c:ptCount val="9"/>
                <c:pt idx="0">
                  <c:v>ispod 15</c:v>
                </c:pt>
                <c:pt idx="1">
                  <c:v>15-19</c:v>
                </c:pt>
                <c:pt idx="2">
                  <c:v>20-24</c:v>
                </c:pt>
                <c:pt idx="3">
                  <c:v>25-29</c:v>
                </c:pt>
                <c:pt idx="4">
                  <c:v>30-34</c:v>
                </c:pt>
                <c:pt idx="5">
                  <c:v>35-39</c:v>
                </c:pt>
                <c:pt idx="6">
                  <c:v>40-44</c:v>
                </c:pt>
                <c:pt idx="7">
                  <c:v>45-49</c:v>
                </c:pt>
                <c:pt idx="8">
                  <c:v>preko 49</c:v>
                </c:pt>
              </c:strCache>
            </c:strRef>
          </c:cat>
          <c:val>
            <c:numRef>
              <c:f>Sheet1!$C$4:$C$12</c:f>
              <c:numCache>
                <c:formatCode>General</c:formatCode>
                <c:ptCount val="9"/>
                <c:pt idx="0">
                  <c:v>5</c:v>
                </c:pt>
                <c:pt idx="1">
                  <c:v>1285</c:v>
                </c:pt>
                <c:pt idx="2">
                  <c:v>5609</c:v>
                </c:pt>
                <c:pt idx="3">
                  <c:v>7743</c:v>
                </c:pt>
                <c:pt idx="4">
                  <c:v>5243</c:v>
                </c:pt>
                <c:pt idx="5">
                  <c:v>2028</c:v>
                </c:pt>
                <c:pt idx="6">
                  <c:v>393</c:v>
                </c:pt>
                <c:pt idx="7">
                  <c:v>19</c:v>
                </c:pt>
                <c:pt idx="8">
                  <c:v>0</c:v>
                </c:pt>
              </c:numCache>
            </c:numRef>
          </c:val>
          <c:smooth val="0"/>
        </c:ser>
        <c:ser>
          <c:idx val="1"/>
          <c:order val="1"/>
          <c:tx>
            <c:strRef>
              <c:f>Sheet1!$D$3</c:f>
              <c:strCache>
                <c:ptCount val="1"/>
                <c:pt idx="0">
                  <c:v>2015.</c:v>
                </c:pt>
              </c:strCache>
            </c:strRef>
          </c:tx>
          <c:spPr>
            <a:ln w="28575" cap="rnd">
              <a:solidFill>
                <a:schemeClr val="accent2"/>
              </a:solidFill>
              <a:round/>
            </a:ln>
            <a:effectLst/>
          </c:spPr>
          <c:marker>
            <c:symbol val="none"/>
          </c:marker>
          <c:cat>
            <c:strRef>
              <c:f>Sheet1!$B$4:$B$12</c:f>
              <c:strCache>
                <c:ptCount val="9"/>
                <c:pt idx="0">
                  <c:v>ispod 15</c:v>
                </c:pt>
                <c:pt idx="1">
                  <c:v>15-19</c:v>
                </c:pt>
                <c:pt idx="2">
                  <c:v>20-24</c:v>
                </c:pt>
                <c:pt idx="3">
                  <c:v>25-29</c:v>
                </c:pt>
                <c:pt idx="4">
                  <c:v>30-34</c:v>
                </c:pt>
                <c:pt idx="5">
                  <c:v>35-39</c:v>
                </c:pt>
                <c:pt idx="6">
                  <c:v>40-44</c:v>
                </c:pt>
                <c:pt idx="7">
                  <c:v>45-49</c:v>
                </c:pt>
                <c:pt idx="8">
                  <c:v>preko 49</c:v>
                </c:pt>
              </c:strCache>
            </c:strRef>
          </c:cat>
          <c:val>
            <c:numRef>
              <c:f>Sheet1!$D$4:$D$12</c:f>
              <c:numCache>
                <c:formatCode>General</c:formatCode>
                <c:ptCount val="9"/>
                <c:pt idx="0">
                  <c:v>3</c:v>
                </c:pt>
                <c:pt idx="1">
                  <c:v>948</c:v>
                </c:pt>
                <c:pt idx="2">
                  <c:v>5112</c:v>
                </c:pt>
                <c:pt idx="3">
                  <c:v>5351</c:v>
                </c:pt>
                <c:pt idx="4">
                  <c:v>5444</c:v>
                </c:pt>
                <c:pt idx="5">
                  <c:v>2090</c:v>
                </c:pt>
                <c:pt idx="6">
                  <c:v>349</c:v>
                </c:pt>
                <c:pt idx="7">
                  <c:v>15</c:v>
                </c:pt>
                <c:pt idx="8">
                  <c:v>1</c:v>
                </c:pt>
              </c:numCache>
            </c:numRef>
          </c:val>
          <c:smooth val="0"/>
        </c:ser>
        <c:dLbls>
          <c:showLegendKey val="0"/>
          <c:showVal val="0"/>
          <c:showCatName val="0"/>
          <c:showSerName val="0"/>
          <c:showPercent val="0"/>
          <c:showBubbleSize val="0"/>
        </c:dLbls>
        <c:smooth val="0"/>
        <c:axId val="323008584"/>
        <c:axId val="323008976"/>
      </c:lineChart>
      <c:catAx>
        <c:axId val="323008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008976"/>
        <c:crosses val="autoZero"/>
        <c:auto val="1"/>
        <c:lblAlgn val="ctr"/>
        <c:lblOffset val="100"/>
        <c:noMultiLvlLbl val="0"/>
      </c:catAx>
      <c:valAx>
        <c:axId val="32300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008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'[morbiditet žene 2015.xlsx]žene 15+'!$C$70:$H$70</c:f>
              <c:strCache>
                <c:ptCount val="6"/>
                <c:pt idx="0">
                  <c:v>2010.</c:v>
                </c:pt>
                <c:pt idx="1">
                  <c:v>2011.</c:v>
                </c:pt>
                <c:pt idx="2">
                  <c:v>2012.</c:v>
                </c:pt>
                <c:pt idx="3">
                  <c:v>2013.</c:v>
                </c:pt>
                <c:pt idx="4">
                  <c:v>2014.</c:v>
                </c:pt>
                <c:pt idx="5">
                  <c:v>2015.</c:v>
                </c:pt>
              </c:strCache>
            </c:strRef>
          </c:cat>
          <c:val>
            <c:numRef>
              <c:f>'[morbiditet žene 2015.xlsx]žene 15+'!$C$71:$H$71</c:f>
              <c:numCache>
                <c:formatCode>General</c:formatCode>
                <c:ptCount val="6"/>
                <c:pt idx="0">
                  <c:v>3014</c:v>
                </c:pt>
                <c:pt idx="1">
                  <c:v>2918</c:v>
                </c:pt>
                <c:pt idx="2">
                  <c:v>2853</c:v>
                </c:pt>
                <c:pt idx="3">
                  <c:v>2812</c:v>
                </c:pt>
                <c:pt idx="4">
                  <c:v>3001</c:v>
                </c:pt>
                <c:pt idx="5">
                  <c:v>3125</c:v>
                </c:pt>
              </c:numCache>
            </c:numRef>
          </c:val>
        </c:ser>
        <c:dLbls>
          <c:showLegendKey val="0"/>
          <c:showVal val="0"/>
          <c:showCatName val="0"/>
          <c:showSerName val="0"/>
          <c:showPercent val="0"/>
          <c:showBubbleSize val="0"/>
        </c:dLbls>
        <c:gapWidth val="150"/>
        <c:shape val="box"/>
        <c:axId val="323004272"/>
        <c:axId val="323002704"/>
        <c:axId val="0"/>
      </c:bar3DChart>
      <c:catAx>
        <c:axId val="323004272"/>
        <c:scaling>
          <c:orientation val="minMax"/>
        </c:scaling>
        <c:delete val="0"/>
        <c:axPos val="b"/>
        <c:numFmt formatCode="General" sourceLinked="0"/>
        <c:majorTickMark val="out"/>
        <c:minorTickMark val="none"/>
        <c:tickLblPos val="nextTo"/>
        <c:crossAx val="323002704"/>
        <c:crosses val="autoZero"/>
        <c:auto val="1"/>
        <c:lblAlgn val="ctr"/>
        <c:lblOffset val="100"/>
        <c:noMultiLvlLbl val="0"/>
      </c:catAx>
      <c:valAx>
        <c:axId val="323002704"/>
        <c:scaling>
          <c:orientation val="minMax"/>
        </c:scaling>
        <c:delete val="0"/>
        <c:axPos val="l"/>
        <c:numFmt formatCode="General" sourceLinked="1"/>
        <c:majorTickMark val="out"/>
        <c:minorTickMark val="none"/>
        <c:tickLblPos val="nextTo"/>
        <c:crossAx val="323004272"/>
        <c:crosses val="autoZero"/>
        <c:crossBetween val="between"/>
      </c:valAx>
    </c:plotArea>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'[morbiditet žene 2015.xlsx]žene 15+'!$B$46</c:f>
              <c:strCache>
                <c:ptCount val="1"/>
                <c:pt idx="0">
                  <c:v>Menopauza i drugi menopauzalni poremećaji(N95)</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15+'!$C$46:$H$46</c:f>
              <c:numCache>
                <c:formatCode>General</c:formatCode>
                <c:ptCount val="6"/>
                <c:pt idx="0" formatCode="0">
                  <c:v>195.2</c:v>
                </c:pt>
                <c:pt idx="1">
                  <c:v>214</c:v>
                </c:pt>
                <c:pt idx="2">
                  <c:v>224</c:v>
                </c:pt>
                <c:pt idx="3">
                  <c:v>224</c:v>
                </c:pt>
                <c:pt idx="4" formatCode="0">
                  <c:v>248.19759518877274</c:v>
                </c:pt>
                <c:pt idx="5">
                  <c:v>249</c:v>
                </c:pt>
              </c:numCache>
            </c:numRef>
          </c:val>
        </c:ser>
        <c:ser>
          <c:idx val="1"/>
          <c:order val="1"/>
          <c:tx>
            <c:strRef>
              <c:f>'[morbiditet žene 2015.xlsx]žene 15+'!$B$47</c:f>
              <c:strCache>
                <c:ptCount val="1"/>
                <c:pt idx="0">
                  <c:v>Druge upale vagine i vulve (N76)</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15+'!$C$47:$H$47</c:f>
              <c:numCache>
                <c:formatCode>General</c:formatCode>
                <c:ptCount val="6"/>
                <c:pt idx="0" formatCode="0">
                  <c:v>172.8</c:v>
                </c:pt>
                <c:pt idx="1">
                  <c:v>200</c:v>
                </c:pt>
                <c:pt idx="2">
                  <c:v>189</c:v>
                </c:pt>
                <c:pt idx="3">
                  <c:v>204</c:v>
                </c:pt>
                <c:pt idx="4" formatCode="0">
                  <c:v>242.12605533125333</c:v>
                </c:pt>
                <c:pt idx="5">
                  <c:v>264</c:v>
                </c:pt>
              </c:numCache>
            </c:numRef>
          </c:val>
        </c:ser>
        <c:ser>
          <c:idx val="2"/>
          <c:order val="2"/>
          <c:tx>
            <c:strRef>
              <c:f>'[morbiditet žene 2015.xlsx]žene 15+'!$B$48</c:f>
              <c:strCache>
                <c:ptCount val="1"/>
                <c:pt idx="0">
                  <c:v>Kandidijaza(B37)</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15+'!$C$48:$H$48</c:f>
              <c:numCache>
                <c:formatCode>General</c:formatCode>
                <c:ptCount val="6"/>
                <c:pt idx="0" formatCode="0">
                  <c:v>159.6</c:v>
                </c:pt>
                <c:pt idx="1">
                  <c:v>153</c:v>
                </c:pt>
                <c:pt idx="2">
                  <c:v>128</c:v>
                </c:pt>
                <c:pt idx="3">
                  <c:v>128</c:v>
                </c:pt>
                <c:pt idx="4" formatCode="0">
                  <c:v>129.18738991990648</c:v>
                </c:pt>
                <c:pt idx="5">
                  <c:v>126</c:v>
                </c:pt>
              </c:numCache>
            </c:numRef>
          </c:val>
        </c:ser>
        <c:ser>
          <c:idx val="3"/>
          <c:order val="3"/>
          <c:tx>
            <c:strRef>
              <c:f>'[morbiditet žene 2015.xlsx]žene 15+'!$B$49</c:f>
              <c:strCache>
                <c:ptCount val="1"/>
                <c:pt idx="0">
                  <c:v>Upala mokraćnog mjehura (N30)</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15+'!$C$49:$H$49</c:f>
              <c:numCache>
                <c:formatCode>General</c:formatCode>
                <c:ptCount val="6"/>
                <c:pt idx="0" formatCode="0">
                  <c:v>138.19999999999999</c:v>
                </c:pt>
                <c:pt idx="1">
                  <c:v>113</c:v>
                </c:pt>
                <c:pt idx="2">
                  <c:v>119</c:v>
                </c:pt>
                <c:pt idx="3">
                  <c:v>116</c:v>
                </c:pt>
                <c:pt idx="4" formatCode="0">
                  <c:v>103.28304475687763</c:v>
                </c:pt>
                <c:pt idx="5">
                  <c:v>133</c:v>
                </c:pt>
              </c:numCache>
            </c:numRef>
          </c:val>
        </c:ser>
        <c:ser>
          <c:idx val="4"/>
          <c:order val="4"/>
          <c:tx>
            <c:strRef>
              <c:f>'[morbiditet žene 2015.xlsx]žene 15+'!$B$50</c:f>
              <c:strCache>
                <c:ptCount val="1"/>
                <c:pt idx="0">
                  <c:v>Upala vrata materice (N72)</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15+'!$C$50:$H$50</c:f>
              <c:numCache>
                <c:formatCode>General</c:formatCode>
                <c:ptCount val="6"/>
                <c:pt idx="0" formatCode="0">
                  <c:v>121.6</c:v>
                </c:pt>
                <c:pt idx="1">
                  <c:v>117</c:v>
                </c:pt>
                <c:pt idx="2">
                  <c:v>123</c:v>
                </c:pt>
                <c:pt idx="3">
                  <c:v>117</c:v>
                </c:pt>
                <c:pt idx="4" formatCode="0">
                  <c:v>133.80122527418888</c:v>
                </c:pt>
                <c:pt idx="5">
                  <c:v>163</c:v>
                </c:pt>
              </c:numCache>
            </c:numRef>
          </c:val>
        </c:ser>
        <c:dLbls>
          <c:showLegendKey val="0"/>
          <c:showVal val="0"/>
          <c:showCatName val="0"/>
          <c:showSerName val="0"/>
          <c:showPercent val="0"/>
          <c:showBubbleSize val="0"/>
        </c:dLbls>
        <c:gapWidth val="150"/>
        <c:shape val="box"/>
        <c:axId val="323005056"/>
        <c:axId val="263590288"/>
        <c:axId val="0"/>
      </c:bar3DChart>
      <c:catAx>
        <c:axId val="323005056"/>
        <c:scaling>
          <c:orientation val="minMax"/>
        </c:scaling>
        <c:delete val="0"/>
        <c:axPos val="b"/>
        <c:numFmt formatCode="General" sourceLinked="0"/>
        <c:majorTickMark val="out"/>
        <c:minorTickMark val="none"/>
        <c:tickLblPos val="nextTo"/>
        <c:crossAx val="263590288"/>
        <c:crosses val="autoZero"/>
        <c:auto val="1"/>
        <c:lblAlgn val="ctr"/>
        <c:lblOffset val="100"/>
        <c:noMultiLvlLbl val="0"/>
      </c:catAx>
      <c:valAx>
        <c:axId val="263590288"/>
        <c:scaling>
          <c:orientation val="minMax"/>
        </c:scaling>
        <c:delete val="0"/>
        <c:axPos val="l"/>
        <c:majorGridlines/>
        <c:numFmt formatCode="0" sourceLinked="1"/>
        <c:majorTickMark val="out"/>
        <c:minorTickMark val="none"/>
        <c:tickLblPos val="nextTo"/>
        <c:crossAx val="323005056"/>
        <c:crosses val="autoZero"/>
        <c:crossBetween val="between"/>
      </c:valAx>
    </c:plotArea>
    <c:legend>
      <c:legendPos val="r"/>
      <c:overlay val="0"/>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'žene 15-49'!$B$41</c:f>
              <c:strCache>
                <c:ptCount val="1"/>
                <c:pt idx="0">
                  <c:v>Druge upale vagine i vulve (N76)</c:v>
                </c:pt>
              </c:strCache>
            </c:strRef>
          </c:tx>
          <c:spPr>
            <a:solidFill>
              <a:schemeClr val="accent1"/>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15-49'!$C$41:$H$41</c:f>
              <c:numCache>
                <c:formatCode>General</c:formatCode>
                <c:ptCount val="6"/>
                <c:pt idx="0">
                  <c:v>182</c:v>
                </c:pt>
                <c:pt idx="1">
                  <c:v>209</c:v>
                </c:pt>
                <c:pt idx="2">
                  <c:v>190</c:v>
                </c:pt>
                <c:pt idx="3">
                  <c:v>206</c:v>
                </c:pt>
                <c:pt idx="4" formatCode="0">
                  <c:v>236.5705149602606</c:v>
                </c:pt>
                <c:pt idx="5">
                  <c:v>255</c:v>
                </c:pt>
              </c:numCache>
            </c:numRef>
          </c:val>
        </c:ser>
        <c:ser>
          <c:idx val="1"/>
          <c:order val="1"/>
          <c:tx>
            <c:strRef>
              <c:f>'žene 15-49'!$B$42</c:f>
              <c:strCache>
                <c:ptCount val="1"/>
                <c:pt idx="0">
                  <c:v>Kandidijaza (B37)</c:v>
                </c:pt>
              </c:strCache>
            </c:strRef>
          </c:tx>
          <c:spPr>
            <a:solidFill>
              <a:schemeClr val="accent2"/>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15-49'!$C$42:$H$42</c:f>
              <c:numCache>
                <c:formatCode>General</c:formatCode>
                <c:ptCount val="6"/>
                <c:pt idx="0">
                  <c:v>155</c:v>
                </c:pt>
                <c:pt idx="1">
                  <c:v>154</c:v>
                </c:pt>
                <c:pt idx="2">
                  <c:v>122</c:v>
                </c:pt>
                <c:pt idx="3">
                  <c:v>127</c:v>
                </c:pt>
                <c:pt idx="4" formatCode="0">
                  <c:v>128.24792316080118</c:v>
                </c:pt>
                <c:pt idx="5">
                  <c:v>125</c:v>
                </c:pt>
              </c:numCache>
            </c:numRef>
          </c:val>
        </c:ser>
        <c:ser>
          <c:idx val="2"/>
          <c:order val="2"/>
          <c:tx>
            <c:strRef>
              <c:f>'žene 15-49'!$B$43</c:f>
              <c:strCache>
                <c:ptCount val="1"/>
                <c:pt idx="0">
                  <c:v>Cistitis (N30)</c:v>
                </c:pt>
              </c:strCache>
            </c:strRef>
          </c:tx>
          <c:spPr>
            <a:solidFill>
              <a:schemeClr val="accent3"/>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15-49'!$C$43:$H$43</c:f>
              <c:numCache>
                <c:formatCode>General</c:formatCode>
                <c:ptCount val="6"/>
                <c:pt idx="0">
                  <c:v>121</c:v>
                </c:pt>
                <c:pt idx="1">
                  <c:v>101</c:v>
                </c:pt>
                <c:pt idx="2">
                  <c:v>107</c:v>
                </c:pt>
                <c:pt idx="3">
                  <c:v>103</c:v>
                </c:pt>
                <c:pt idx="4" formatCode="0">
                  <c:v>82.679854360206861</c:v>
                </c:pt>
                <c:pt idx="5">
                  <c:v>124</c:v>
                </c:pt>
              </c:numCache>
            </c:numRef>
          </c:val>
        </c:ser>
        <c:ser>
          <c:idx val="3"/>
          <c:order val="3"/>
          <c:tx>
            <c:strRef>
              <c:f>'žene 15-49'!$B$44</c:f>
              <c:strCache>
                <c:ptCount val="1"/>
                <c:pt idx="0">
                  <c:v>Upala vrata materice (N72)</c:v>
                </c:pt>
              </c:strCache>
            </c:strRef>
          </c:tx>
          <c:spPr>
            <a:solidFill>
              <a:schemeClr val="accent4"/>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15-49'!$C$44:$H$44</c:f>
              <c:numCache>
                <c:formatCode>General</c:formatCode>
                <c:ptCount val="6"/>
                <c:pt idx="0">
                  <c:v>121</c:v>
                </c:pt>
                <c:pt idx="1">
                  <c:v>120</c:v>
                </c:pt>
                <c:pt idx="2">
                  <c:v>123</c:v>
                </c:pt>
                <c:pt idx="3">
                  <c:v>114</c:v>
                </c:pt>
                <c:pt idx="4" formatCode="0">
                  <c:v>127.49473194095665</c:v>
                </c:pt>
                <c:pt idx="5">
                  <c:v>144</c:v>
                </c:pt>
              </c:numCache>
            </c:numRef>
          </c:val>
        </c:ser>
        <c:ser>
          <c:idx val="4"/>
          <c:order val="4"/>
          <c:tx>
            <c:strRef>
              <c:f>'žene 15-49'!$B$45</c:f>
              <c:strCache>
                <c:ptCount val="1"/>
                <c:pt idx="0">
                  <c:v>Trihomonijaza (A59)</c:v>
                </c:pt>
              </c:strCache>
            </c:strRef>
          </c:tx>
          <c:spPr>
            <a:solidFill>
              <a:schemeClr val="accent5"/>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15-49'!$C$45:$H$45</c:f>
              <c:numCache>
                <c:formatCode>General</c:formatCode>
                <c:ptCount val="6"/>
                <c:pt idx="1">
                  <c:v>74</c:v>
                </c:pt>
              </c:numCache>
            </c:numRef>
          </c:val>
        </c:ser>
        <c:ser>
          <c:idx val="5"/>
          <c:order val="5"/>
          <c:tx>
            <c:strRef>
              <c:f>'žene 15-49'!$B$46</c:f>
              <c:strCache>
                <c:ptCount val="1"/>
                <c:pt idx="0">
                  <c:v>Anemija zbog nedostatka željeza (D50)</c:v>
                </c:pt>
              </c:strCache>
            </c:strRef>
          </c:tx>
          <c:spPr>
            <a:solidFill>
              <a:schemeClr val="accent6"/>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15-49'!$C$46:$H$46</c:f>
              <c:numCache>
                <c:formatCode>General</c:formatCode>
                <c:ptCount val="6"/>
                <c:pt idx="0">
                  <c:v>95</c:v>
                </c:pt>
              </c:numCache>
            </c:numRef>
          </c:val>
        </c:ser>
        <c:ser>
          <c:idx val="6"/>
          <c:order val="6"/>
          <c:tx>
            <c:strRef>
              <c:f>'žene 15-49'!$B$47</c:f>
              <c:strCache>
                <c:ptCount val="1"/>
                <c:pt idx="0">
                  <c:v>Menopauza i drugi menopauzalni poremećaji(N95)</c:v>
                </c:pt>
              </c:strCache>
            </c:strRef>
          </c:tx>
          <c:spPr>
            <a:solidFill>
              <a:schemeClr val="accent1">
                <a:lumMod val="60000"/>
              </a:schemeClr>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15-49'!$C$47:$H$47</c:f>
              <c:numCache>
                <c:formatCode>General</c:formatCode>
                <c:ptCount val="6"/>
                <c:pt idx="2">
                  <c:v>99</c:v>
                </c:pt>
                <c:pt idx="3">
                  <c:v>108</c:v>
                </c:pt>
                <c:pt idx="4" formatCode="0">
                  <c:v>113</c:v>
                </c:pt>
                <c:pt idx="5">
                  <c:v>116</c:v>
                </c:pt>
              </c:numCache>
            </c:numRef>
          </c:val>
        </c:ser>
        <c:dLbls>
          <c:showLegendKey val="0"/>
          <c:showVal val="0"/>
          <c:showCatName val="0"/>
          <c:showSerName val="0"/>
          <c:showPercent val="0"/>
          <c:showBubbleSize val="0"/>
        </c:dLbls>
        <c:gapWidth val="219"/>
        <c:overlap val="-27"/>
        <c:axId val="323961312"/>
        <c:axId val="323962096"/>
      </c:barChart>
      <c:catAx>
        <c:axId val="32396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962096"/>
        <c:crosses val="autoZero"/>
        <c:auto val="1"/>
        <c:lblAlgn val="ctr"/>
        <c:lblOffset val="100"/>
        <c:noMultiLvlLbl val="0"/>
      </c:catAx>
      <c:valAx>
        <c:axId val="32396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961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'[morbiditet žene 2015.xlsx]50+'!$B$43</c:f>
              <c:strCache>
                <c:ptCount val="1"/>
                <c:pt idx="0">
                  <c:v>Menopauza i drugi menopauz. poremećaji (N95)</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2015.xlsx]50+'!$C$43:$H$43</c:f>
              <c:numCache>
                <c:formatCode>General</c:formatCode>
                <c:ptCount val="6"/>
                <c:pt idx="0" formatCode="0">
                  <c:v>566.5</c:v>
                </c:pt>
                <c:pt idx="1">
                  <c:v>603</c:v>
                </c:pt>
                <c:pt idx="2">
                  <c:v>654</c:v>
                </c:pt>
                <c:pt idx="3">
                  <c:v>622</c:v>
                </c:pt>
                <c:pt idx="4" formatCode="0">
                  <c:v>731.1809550592709</c:v>
                </c:pt>
                <c:pt idx="5">
                  <c:v>745</c:v>
                </c:pt>
              </c:numCache>
            </c:numRef>
          </c:val>
        </c:ser>
        <c:ser>
          <c:idx val="1"/>
          <c:order val="1"/>
          <c:tx>
            <c:strRef>
              <c:f>'[morbiditet žene 2015.xlsx]50+'!$B$44</c:f>
              <c:strCache>
                <c:ptCount val="1"/>
                <c:pt idx="0">
                  <c:v>Cistitis (N30)</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2015.xlsx]50+'!$C$44:$H$44</c:f>
              <c:numCache>
                <c:formatCode>General</c:formatCode>
                <c:ptCount val="6"/>
                <c:pt idx="0" formatCode="0">
                  <c:v>196.2</c:v>
                </c:pt>
                <c:pt idx="1">
                  <c:v>155</c:v>
                </c:pt>
                <c:pt idx="2">
                  <c:v>159</c:v>
                </c:pt>
                <c:pt idx="3">
                  <c:v>162</c:v>
                </c:pt>
                <c:pt idx="4" formatCode="0">
                  <c:v>133.76454261452213</c:v>
                </c:pt>
                <c:pt idx="5">
                  <c:v>171</c:v>
                </c:pt>
              </c:numCache>
            </c:numRef>
          </c:val>
        </c:ser>
        <c:ser>
          <c:idx val="2"/>
          <c:order val="2"/>
          <c:tx>
            <c:strRef>
              <c:f>'[morbiditet žene 2015.xlsx]50+'!$B$45</c:f>
              <c:strCache>
                <c:ptCount val="1"/>
                <c:pt idx="0">
                  <c:v>Kandidijaza (B37)</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2015.xlsx]50+'!$C$45:$H$45</c:f>
              <c:numCache>
                <c:formatCode>General</c:formatCode>
                <c:ptCount val="6"/>
                <c:pt idx="0" formatCode="0">
                  <c:v>174.5</c:v>
                </c:pt>
                <c:pt idx="1">
                  <c:v>152</c:v>
                </c:pt>
                <c:pt idx="2">
                  <c:v>148</c:v>
                </c:pt>
                <c:pt idx="3">
                  <c:v>132</c:v>
                </c:pt>
                <c:pt idx="4" formatCode="0">
                  <c:v>133.76454261452213</c:v>
                </c:pt>
                <c:pt idx="5">
                  <c:v>129</c:v>
                </c:pt>
              </c:numCache>
            </c:numRef>
          </c:val>
        </c:ser>
        <c:ser>
          <c:idx val="3"/>
          <c:order val="3"/>
          <c:tx>
            <c:strRef>
              <c:f>'[morbiditet žene 2015.xlsx]50+'!$B$46</c:f>
              <c:strCache>
                <c:ptCount val="1"/>
                <c:pt idx="0">
                  <c:v>Druge upale vagine i vulve (N76)</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2015.xlsx]50+'!$C$46:$H$46</c:f>
              <c:numCache>
                <c:formatCode>General</c:formatCode>
                <c:ptCount val="6"/>
                <c:pt idx="0" formatCode="0">
                  <c:v>140.9</c:v>
                </c:pt>
                <c:pt idx="1">
                  <c:v>167</c:v>
                </c:pt>
                <c:pt idx="2">
                  <c:v>189</c:v>
                </c:pt>
                <c:pt idx="3">
                  <c:v>199</c:v>
                </c:pt>
                <c:pt idx="4" formatCode="0">
                  <c:v>261.96575187533244</c:v>
                </c:pt>
                <c:pt idx="5">
                  <c:v>298</c:v>
                </c:pt>
              </c:numCache>
            </c:numRef>
          </c:val>
        </c:ser>
        <c:ser>
          <c:idx val="4"/>
          <c:order val="4"/>
          <c:tx>
            <c:strRef>
              <c:f>'[morbiditet žene 2015.xlsx]50+'!$B$47</c:f>
              <c:strCache>
                <c:ptCount val="1"/>
                <c:pt idx="0">
                  <c:v>Upala vrata materice (N72)</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2015.xlsx]50+'!$C$47:$H$47</c:f>
              <c:numCache>
                <c:formatCode>General</c:formatCode>
                <c:ptCount val="6"/>
                <c:pt idx="0" formatCode="0">
                  <c:v>123</c:v>
                </c:pt>
                <c:pt idx="1">
                  <c:v>108</c:v>
                </c:pt>
                <c:pt idx="2">
                  <c:v>420</c:v>
                </c:pt>
                <c:pt idx="3">
                  <c:v>129</c:v>
                </c:pt>
                <c:pt idx="4" formatCode="0">
                  <c:v>156.32355368616686</c:v>
                </c:pt>
                <c:pt idx="5">
                  <c:v>231</c:v>
                </c:pt>
              </c:numCache>
            </c:numRef>
          </c:val>
        </c:ser>
        <c:dLbls>
          <c:showLegendKey val="0"/>
          <c:showVal val="0"/>
          <c:showCatName val="0"/>
          <c:showSerName val="0"/>
          <c:showPercent val="0"/>
          <c:showBubbleSize val="0"/>
        </c:dLbls>
        <c:gapWidth val="150"/>
        <c:shape val="box"/>
        <c:axId val="323968368"/>
        <c:axId val="323967192"/>
        <c:axId val="0"/>
      </c:bar3DChart>
      <c:catAx>
        <c:axId val="323968368"/>
        <c:scaling>
          <c:orientation val="minMax"/>
        </c:scaling>
        <c:delete val="0"/>
        <c:axPos val="b"/>
        <c:numFmt formatCode="General" sourceLinked="0"/>
        <c:majorTickMark val="out"/>
        <c:minorTickMark val="none"/>
        <c:tickLblPos val="nextTo"/>
        <c:crossAx val="323967192"/>
        <c:crosses val="autoZero"/>
        <c:auto val="1"/>
        <c:lblAlgn val="ctr"/>
        <c:lblOffset val="100"/>
        <c:noMultiLvlLbl val="0"/>
      </c:catAx>
      <c:valAx>
        <c:axId val="323967192"/>
        <c:scaling>
          <c:orientation val="minMax"/>
        </c:scaling>
        <c:delete val="0"/>
        <c:axPos val="l"/>
        <c:majorGridlines/>
        <c:numFmt formatCode="0" sourceLinked="1"/>
        <c:majorTickMark val="out"/>
        <c:minorTickMark val="none"/>
        <c:tickLblPos val="nextTo"/>
        <c:crossAx val="323968368"/>
        <c:crosses val="autoZero"/>
        <c:crossBetween val="between"/>
      </c:valAx>
    </c:plotArea>
    <c:legend>
      <c:legendPos val="r"/>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 Som. morb.'!$D$4:$I$4</c:f>
              <c:strCache>
                <c:ptCount val="6"/>
                <c:pt idx="0">
                  <c:v>2010.</c:v>
                </c:pt>
                <c:pt idx="1">
                  <c:v>2011.</c:v>
                </c:pt>
                <c:pt idx="2">
                  <c:v>2012.</c:v>
                </c:pt>
                <c:pt idx="3">
                  <c:v>2013.</c:v>
                </c:pt>
                <c:pt idx="4">
                  <c:v>2014.</c:v>
                </c:pt>
                <c:pt idx="5">
                  <c:v>2015.</c:v>
                </c:pt>
              </c:strCache>
            </c:strRef>
          </c:cat>
          <c:val>
            <c:numRef>
              <c:f>'2. Som. morb.'!$D$5:$I$5</c:f>
              <c:numCache>
                <c:formatCode>General</c:formatCode>
                <c:ptCount val="6"/>
                <c:pt idx="0">
                  <c:v>3348</c:v>
                </c:pt>
                <c:pt idx="1">
                  <c:v>3198</c:v>
                </c:pt>
                <c:pt idx="2">
                  <c:v>2658</c:v>
                </c:pt>
                <c:pt idx="3">
                  <c:v>3319</c:v>
                </c:pt>
                <c:pt idx="4">
                  <c:v>3287</c:v>
                </c:pt>
                <c:pt idx="5">
                  <c:v>3194</c:v>
                </c:pt>
              </c:numCache>
            </c:numRef>
          </c:val>
        </c:ser>
        <c:dLbls>
          <c:showLegendKey val="0"/>
          <c:showVal val="0"/>
          <c:showCatName val="0"/>
          <c:showSerName val="0"/>
          <c:showPercent val="0"/>
          <c:showBubbleSize val="0"/>
        </c:dLbls>
        <c:gapWidth val="150"/>
        <c:axId val="323964448"/>
        <c:axId val="323963664"/>
      </c:barChart>
      <c:catAx>
        <c:axId val="323964448"/>
        <c:scaling>
          <c:orientation val="minMax"/>
        </c:scaling>
        <c:delete val="0"/>
        <c:axPos val="b"/>
        <c:numFmt formatCode="General" sourceLinked="0"/>
        <c:majorTickMark val="out"/>
        <c:minorTickMark val="none"/>
        <c:tickLblPos val="nextTo"/>
        <c:crossAx val="323963664"/>
        <c:crosses val="autoZero"/>
        <c:auto val="1"/>
        <c:lblAlgn val="ctr"/>
        <c:lblOffset val="100"/>
        <c:noMultiLvlLbl val="0"/>
      </c:catAx>
      <c:valAx>
        <c:axId val="323963664"/>
        <c:scaling>
          <c:orientation val="minMax"/>
        </c:scaling>
        <c:delete val="0"/>
        <c:axPos val="l"/>
        <c:majorGridlines/>
        <c:numFmt formatCode="General" sourceLinked="1"/>
        <c:majorTickMark val="out"/>
        <c:minorTickMark val="none"/>
        <c:tickLblPos val="nextTo"/>
        <c:crossAx val="323964448"/>
        <c:crosses val="autoZero"/>
        <c:crossBetween val="between"/>
      </c:valAx>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morb.'!$C$23</c:f>
              <c:strCache>
                <c:ptCount val="1"/>
                <c:pt idx="0">
                  <c:v>Zubni karijes (K02)</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morb.'!$D$23:$I$23</c:f>
              <c:numCache>
                <c:formatCode>General</c:formatCode>
                <c:ptCount val="6"/>
                <c:pt idx="0" formatCode="0.0">
                  <c:v>39.5</c:v>
                </c:pt>
                <c:pt idx="1">
                  <c:v>42.3</c:v>
                </c:pt>
                <c:pt idx="2" formatCode="0.0">
                  <c:v>41.848695346104684</c:v>
                </c:pt>
                <c:pt idx="3">
                  <c:v>42.3</c:v>
                </c:pt>
                <c:pt idx="4">
                  <c:v>41.9</c:v>
                </c:pt>
                <c:pt idx="5" formatCode="0.0">
                  <c:v>41.861712757496377</c:v>
                </c:pt>
              </c:numCache>
            </c:numRef>
          </c:val>
        </c:ser>
        <c:ser>
          <c:idx val="1"/>
          <c:order val="1"/>
          <c:tx>
            <c:strRef>
              <c:f>'2. Som. morb.'!$C$24</c:f>
              <c:strCache>
                <c:ptCount val="1"/>
                <c:pt idx="0">
                  <c:v>Oboljenje zubne pulpe i periapikalnog tkiva (K04)</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morb.'!$D$24:$I$24</c:f>
              <c:numCache>
                <c:formatCode>General</c:formatCode>
                <c:ptCount val="6"/>
                <c:pt idx="0" formatCode="0.0">
                  <c:v>31.9</c:v>
                </c:pt>
                <c:pt idx="1">
                  <c:v>29.7</c:v>
                </c:pt>
                <c:pt idx="2" formatCode="0.0">
                  <c:v>31</c:v>
                </c:pt>
                <c:pt idx="3">
                  <c:v>31.2</c:v>
                </c:pt>
                <c:pt idx="4">
                  <c:v>30.5</c:v>
                </c:pt>
                <c:pt idx="5" formatCode="0.0">
                  <c:v>28.659201467824943</c:v>
                </c:pt>
              </c:numCache>
            </c:numRef>
          </c:val>
        </c:ser>
        <c:ser>
          <c:idx val="2"/>
          <c:order val="2"/>
          <c:tx>
            <c:strRef>
              <c:f>'2. Som. morb.'!$C$25</c:f>
              <c:strCache>
                <c:ptCount val="1"/>
                <c:pt idx="0">
                  <c:v>Druga oboljenja čvrstog tkiva zuba (K03)</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morb.'!$D$25:$I$25</c:f>
              <c:numCache>
                <c:formatCode>General</c:formatCode>
                <c:ptCount val="6"/>
                <c:pt idx="0" formatCode="0.0">
                  <c:v>5.3</c:v>
                </c:pt>
                <c:pt idx="1">
                  <c:v>6.9</c:v>
                </c:pt>
                <c:pt idx="2" formatCode="0.0">
                  <c:v>4.3</c:v>
                </c:pt>
                <c:pt idx="3">
                  <c:v>4.7</c:v>
                </c:pt>
                <c:pt idx="4">
                  <c:v>4.8</c:v>
                </c:pt>
                <c:pt idx="5" formatCode="0.0">
                  <c:v>8.0694158877564561</c:v>
                </c:pt>
              </c:numCache>
            </c:numRef>
          </c:val>
        </c:ser>
        <c:ser>
          <c:idx val="3"/>
          <c:order val="3"/>
          <c:tx>
            <c:strRef>
              <c:f>'2. Som. morb.'!$C$26</c:f>
              <c:strCache>
                <c:ptCount val="1"/>
                <c:pt idx="0">
                  <c:v>Gingivitis i periodentalna oboljenja (K05)</c:v>
                </c:pt>
              </c:strCache>
            </c:strRef>
          </c:tx>
          <c:spPr>
            <a:solidFill>
              <a:schemeClr val="accent6"/>
            </a:solidFill>
          </c:spPr>
          <c:invertIfNegative val="0"/>
          <c:cat>
            <c:strRef>
              <c:f>'2. Som. morb.'!$D$22:$I$22</c:f>
              <c:strCache>
                <c:ptCount val="6"/>
                <c:pt idx="0">
                  <c:v>2010.</c:v>
                </c:pt>
                <c:pt idx="1">
                  <c:v>2011.</c:v>
                </c:pt>
                <c:pt idx="2">
                  <c:v>2012.</c:v>
                </c:pt>
                <c:pt idx="3">
                  <c:v>2013.</c:v>
                </c:pt>
                <c:pt idx="4">
                  <c:v>2014.</c:v>
                </c:pt>
                <c:pt idx="5">
                  <c:v>2015.</c:v>
                </c:pt>
              </c:strCache>
            </c:strRef>
          </c:cat>
          <c:val>
            <c:numRef>
              <c:f>'2. Som. morb.'!$D$26:$I$26</c:f>
              <c:numCache>
                <c:formatCode>General</c:formatCode>
                <c:ptCount val="6"/>
                <c:pt idx="0" formatCode="0.0">
                  <c:v>7</c:v>
                </c:pt>
                <c:pt idx="1">
                  <c:v>4.9000000000000004</c:v>
                </c:pt>
                <c:pt idx="2" formatCode="0.0">
                  <c:v>6.7</c:v>
                </c:pt>
                <c:pt idx="3" formatCode="0.0">
                  <c:v>7.5267264727759295</c:v>
                </c:pt>
                <c:pt idx="4">
                  <c:v>7.5</c:v>
                </c:pt>
                <c:pt idx="5">
                  <c:v>4.4000000000000004</c:v>
                </c:pt>
              </c:numCache>
            </c:numRef>
          </c:val>
        </c:ser>
        <c:ser>
          <c:idx val="4"/>
          <c:order val="4"/>
          <c:tx>
            <c:strRef>
              <c:f>'2. Som. morb.'!$C$27</c:f>
              <c:strCache>
                <c:ptCount val="1"/>
                <c:pt idx="0">
                  <c:v>Dentofacijalne anomalije/uključujući maloccl./ (K07)</c:v>
                </c:pt>
              </c:strCache>
            </c:strRef>
          </c:tx>
          <c:spPr>
            <a:solidFill>
              <a:schemeClr val="bg1">
                <a:lumMod val="50000"/>
              </a:schemeClr>
            </a:solidFill>
          </c:spPr>
          <c:invertIfNegative val="0"/>
          <c:cat>
            <c:strRef>
              <c:f>'2. Som. morb.'!$D$22:$I$22</c:f>
              <c:strCache>
                <c:ptCount val="6"/>
                <c:pt idx="0">
                  <c:v>2010.</c:v>
                </c:pt>
                <c:pt idx="1">
                  <c:v>2011.</c:v>
                </c:pt>
                <c:pt idx="2">
                  <c:v>2012.</c:v>
                </c:pt>
                <c:pt idx="3">
                  <c:v>2013.</c:v>
                </c:pt>
                <c:pt idx="4">
                  <c:v>2014.</c:v>
                </c:pt>
                <c:pt idx="5">
                  <c:v>2015.</c:v>
                </c:pt>
              </c:strCache>
            </c:strRef>
          </c:cat>
          <c:val>
            <c:numRef>
              <c:f>'2. Som. morb.'!$D$27:$I$27</c:f>
              <c:numCache>
                <c:formatCode>General</c:formatCode>
                <c:ptCount val="6"/>
                <c:pt idx="0" formatCode="0.0">
                  <c:v>5.3</c:v>
                </c:pt>
                <c:pt idx="1">
                  <c:v>5.8</c:v>
                </c:pt>
                <c:pt idx="2" formatCode="0.0">
                  <c:v>5.5</c:v>
                </c:pt>
                <c:pt idx="3" formatCode="0.0">
                  <c:v>2.6941109588528986</c:v>
                </c:pt>
                <c:pt idx="4">
                  <c:v>6.5</c:v>
                </c:pt>
                <c:pt idx="5">
                  <c:v>6.7</c:v>
                </c:pt>
              </c:numCache>
            </c:numRef>
          </c:val>
        </c:ser>
        <c:dLbls>
          <c:showLegendKey val="0"/>
          <c:showVal val="0"/>
          <c:showCatName val="0"/>
          <c:showSerName val="0"/>
          <c:showPercent val="0"/>
          <c:showBubbleSize val="0"/>
        </c:dLbls>
        <c:gapWidth val="150"/>
        <c:axId val="323967584"/>
        <c:axId val="323961704"/>
      </c:barChart>
      <c:catAx>
        <c:axId val="323967584"/>
        <c:scaling>
          <c:orientation val="minMax"/>
        </c:scaling>
        <c:delete val="0"/>
        <c:axPos val="l"/>
        <c:numFmt formatCode="General" sourceLinked="0"/>
        <c:majorTickMark val="out"/>
        <c:minorTickMark val="none"/>
        <c:tickLblPos val="nextTo"/>
        <c:crossAx val="323961704"/>
        <c:crosses val="autoZero"/>
        <c:auto val="1"/>
        <c:lblAlgn val="ctr"/>
        <c:lblOffset val="100"/>
        <c:noMultiLvlLbl val="0"/>
      </c:catAx>
      <c:valAx>
        <c:axId val="323961704"/>
        <c:scaling>
          <c:orientation val="minMax"/>
        </c:scaling>
        <c:delete val="0"/>
        <c:axPos val="b"/>
        <c:majorGridlines/>
        <c:numFmt formatCode="0.0" sourceLinked="1"/>
        <c:majorTickMark val="out"/>
        <c:minorTickMark val="none"/>
        <c:tickLblPos val="nextTo"/>
        <c:crossAx val="323967584"/>
        <c:crosses val="autoZero"/>
        <c:crossBetween val="between"/>
      </c:valAx>
    </c:plotArea>
    <c:legend>
      <c:legendPos val="r"/>
      <c:layout>
        <c:manualLayout>
          <c:xMode val="edge"/>
          <c:yMode val="edge"/>
          <c:x val="0.64739065931109407"/>
          <c:y val="3.230265941527951E-2"/>
          <c:w val="0.33525387914210042"/>
          <c:h val="0.9359622707711994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'opšti mort. stopa na 100000'!$C$66</c:f>
              <c:strCache>
                <c:ptCount val="1"/>
                <c:pt idx="0">
                  <c:v>Standardizirana stopa mortaliteta </c:v>
                </c:pt>
              </c:strCache>
            </c:strRef>
          </c:tx>
          <c:marker>
            <c:symbol val="none"/>
          </c:marker>
          <c:dLbls>
            <c:dLbl>
              <c:idx val="0"/>
              <c:layout>
                <c:manualLayout>
                  <c:x val="0"/>
                  <c:y val="5.43806646525679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6.04229607250755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35135118427606E-17"/>
                  <c:y val="5.43806646525679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7666629074095786E-3"/>
                  <c:y val="6.04229607250755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2702702368552119E-17"/>
                  <c:y val="3.625377643504532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'opšti mort. stopa na 100000'!$B$67:$B$72</c:f>
              <c:strCache>
                <c:ptCount val="6"/>
                <c:pt idx="0">
                  <c:v>2010.</c:v>
                </c:pt>
                <c:pt idx="1">
                  <c:v>2011.</c:v>
                </c:pt>
                <c:pt idx="2">
                  <c:v>2012.</c:v>
                </c:pt>
                <c:pt idx="3">
                  <c:v>2013.</c:v>
                </c:pt>
                <c:pt idx="4">
                  <c:v>2014.</c:v>
                </c:pt>
                <c:pt idx="5">
                  <c:v>2015.</c:v>
                </c:pt>
              </c:strCache>
            </c:strRef>
          </c:cat>
          <c:val>
            <c:numRef>
              <c:f>'opšti mort. stopa na 100000'!$C$67:$C$72</c:f>
              <c:numCache>
                <c:formatCode>General</c:formatCode>
                <c:ptCount val="6"/>
                <c:pt idx="0">
                  <c:v>734.2</c:v>
                </c:pt>
                <c:pt idx="1">
                  <c:v>723.2</c:v>
                </c:pt>
                <c:pt idx="2">
                  <c:v>736.1</c:v>
                </c:pt>
                <c:pt idx="3">
                  <c:v>730.7</c:v>
                </c:pt>
                <c:pt idx="4">
                  <c:v>712.2</c:v>
                </c:pt>
                <c:pt idx="5">
                  <c:v>762.2</c:v>
                </c:pt>
              </c:numCache>
            </c:numRef>
          </c:val>
          <c:smooth val="0"/>
        </c:ser>
        <c:ser>
          <c:idx val="1"/>
          <c:order val="1"/>
          <c:tx>
            <c:strRef>
              <c:f>'opšti mort. stopa na 100000'!$D$66</c:f>
              <c:strCache>
                <c:ptCount val="1"/>
                <c:pt idx="0">
                  <c:v>Opšta stopa mortaliteta </c:v>
                </c:pt>
              </c:strCache>
            </c:strRef>
          </c:tx>
          <c:marker>
            <c:symbol val="none"/>
          </c:marker>
          <c:dLbls>
            <c:dLbl>
              <c:idx val="0"/>
              <c:layout>
                <c:manualLayout>
                  <c:x val="0"/>
                  <c:y val="-3.62537764350453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5.438066465256798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35135118427606E-17"/>
                  <c:y val="-6.04229607250755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2702702368552119E-17"/>
                  <c:y val="-4.22960725075528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2555543024699145E-3"/>
                  <c:y val="-5.438066465256797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'opšti mort. stopa na 100000'!$B$67:$B$72</c:f>
              <c:strCache>
                <c:ptCount val="6"/>
                <c:pt idx="0">
                  <c:v>2010.</c:v>
                </c:pt>
                <c:pt idx="1">
                  <c:v>2011.</c:v>
                </c:pt>
                <c:pt idx="2">
                  <c:v>2012.</c:v>
                </c:pt>
                <c:pt idx="3">
                  <c:v>2013.</c:v>
                </c:pt>
                <c:pt idx="4">
                  <c:v>2014.</c:v>
                </c:pt>
                <c:pt idx="5">
                  <c:v>2015.</c:v>
                </c:pt>
              </c:strCache>
            </c:strRef>
          </c:cat>
          <c:val>
            <c:numRef>
              <c:f>'opšti mort. stopa na 100000'!$D$67:$D$72</c:f>
              <c:numCache>
                <c:formatCode>General</c:formatCode>
                <c:ptCount val="6"/>
                <c:pt idx="0">
                  <c:v>876.2</c:v>
                </c:pt>
                <c:pt idx="1">
                  <c:v>864.2</c:v>
                </c:pt>
                <c:pt idx="2">
                  <c:v>892.1</c:v>
                </c:pt>
                <c:pt idx="3">
                  <c:v>875.6</c:v>
                </c:pt>
                <c:pt idx="4">
                  <c:v>867.8</c:v>
                </c:pt>
                <c:pt idx="5">
                  <c:v>929.7</c:v>
                </c:pt>
              </c:numCache>
            </c:numRef>
          </c:val>
          <c:smooth val="0"/>
        </c:ser>
        <c:dLbls>
          <c:showLegendKey val="0"/>
          <c:showVal val="0"/>
          <c:showCatName val="0"/>
          <c:showSerName val="0"/>
          <c:showPercent val="0"/>
          <c:showBubbleSize val="0"/>
        </c:dLbls>
        <c:smooth val="0"/>
        <c:axId val="245995064"/>
        <c:axId val="262607472"/>
      </c:lineChart>
      <c:catAx>
        <c:axId val="245995064"/>
        <c:scaling>
          <c:orientation val="minMax"/>
        </c:scaling>
        <c:delete val="0"/>
        <c:axPos val="b"/>
        <c:numFmt formatCode="General" sourceLinked="0"/>
        <c:majorTickMark val="out"/>
        <c:minorTickMark val="none"/>
        <c:tickLblPos val="nextTo"/>
        <c:crossAx val="262607472"/>
        <c:crosses val="autoZero"/>
        <c:auto val="1"/>
        <c:lblAlgn val="ctr"/>
        <c:lblOffset val="100"/>
        <c:noMultiLvlLbl val="0"/>
      </c:catAx>
      <c:valAx>
        <c:axId val="262607472"/>
        <c:scaling>
          <c:orientation val="minMax"/>
        </c:scaling>
        <c:delete val="1"/>
        <c:axPos val="l"/>
        <c:numFmt formatCode="General" sourceLinked="1"/>
        <c:majorTickMark val="out"/>
        <c:minorTickMark val="none"/>
        <c:tickLblPos val="nextTo"/>
        <c:crossAx val="2459950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morb.'!$C$42</c:f>
              <c:strCache>
                <c:ptCount val="1"/>
                <c:pt idx="0">
                  <c:v>Zubni karijes (K02)</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morb.'!$D$42:$I$42</c:f>
              <c:numCache>
                <c:formatCode>General</c:formatCode>
                <c:ptCount val="6"/>
                <c:pt idx="0">
                  <c:v>47.6</c:v>
                </c:pt>
                <c:pt idx="1">
                  <c:v>53.9</c:v>
                </c:pt>
                <c:pt idx="2">
                  <c:v>50.7</c:v>
                </c:pt>
                <c:pt idx="3">
                  <c:v>54.5</c:v>
                </c:pt>
                <c:pt idx="4" formatCode="0.0">
                  <c:v>51.5</c:v>
                </c:pt>
                <c:pt idx="5">
                  <c:v>50.5</c:v>
                </c:pt>
              </c:numCache>
            </c:numRef>
          </c:val>
        </c:ser>
        <c:ser>
          <c:idx val="1"/>
          <c:order val="1"/>
          <c:tx>
            <c:strRef>
              <c:f>'2. Som. morb.'!$C$43</c:f>
              <c:strCache>
                <c:ptCount val="1"/>
                <c:pt idx="0">
                  <c:v>Oboljenja zubne pulpe i periapik. tkiva (K04)</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morb.'!$D$43:$I$43</c:f>
              <c:numCache>
                <c:formatCode>General</c:formatCode>
                <c:ptCount val="6"/>
                <c:pt idx="0">
                  <c:v>21.6</c:v>
                </c:pt>
                <c:pt idx="1">
                  <c:v>22.8</c:v>
                </c:pt>
                <c:pt idx="2">
                  <c:v>24.7</c:v>
                </c:pt>
                <c:pt idx="3">
                  <c:v>25.6</c:v>
                </c:pt>
                <c:pt idx="4" formatCode="0.0">
                  <c:v>27.1</c:v>
                </c:pt>
                <c:pt idx="5">
                  <c:v>26.5</c:v>
                </c:pt>
              </c:numCache>
            </c:numRef>
          </c:val>
        </c:ser>
        <c:ser>
          <c:idx val="2"/>
          <c:order val="2"/>
          <c:tx>
            <c:strRef>
              <c:f>'2. Som. morb.'!$C$44</c:f>
              <c:strCache>
                <c:ptCount val="1"/>
                <c:pt idx="0">
                  <c:v>Druga oboljenja čvrst. tkiva zuba(K03)</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morb.'!$D$44:$I$44</c:f>
              <c:numCache>
                <c:formatCode>General</c:formatCode>
                <c:ptCount val="6"/>
                <c:pt idx="0">
                  <c:v>4.5</c:v>
                </c:pt>
                <c:pt idx="1">
                  <c:v>4.5999999999999996</c:v>
                </c:pt>
                <c:pt idx="2">
                  <c:v>4.0999999999999996</c:v>
                </c:pt>
                <c:pt idx="3">
                  <c:v>4.7</c:v>
                </c:pt>
                <c:pt idx="4" formatCode="0.0">
                  <c:v>5</c:v>
                </c:pt>
                <c:pt idx="5">
                  <c:v>5.6</c:v>
                </c:pt>
              </c:numCache>
            </c:numRef>
          </c:val>
        </c:ser>
        <c:ser>
          <c:idx val="3"/>
          <c:order val="3"/>
          <c:tx>
            <c:strRef>
              <c:f>'2. Som. morb.'!$C$45</c:f>
              <c:strCache>
                <c:ptCount val="1"/>
                <c:pt idx="0">
                  <c:v>Gingivitis i periodont. oboljenja (K05)</c:v>
                </c:pt>
              </c:strCache>
            </c:strRef>
          </c:tx>
          <c:spPr>
            <a:solidFill>
              <a:schemeClr val="accent6"/>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morb.'!$D$45:$I$45</c:f>
              <c:numCache>
                <c:formatCode>General</c:formatCode>
                <c:ptCount val="6"/>
                <c:pt idx="0">
                  <c:v>4.4000000000000004</c:v>
                </c:pt>
                <c:pt idx="1">
                  <c:v>4.3</c:v>
                </c:pt>
                <c:pt idx="2">
                  <c:v>3.7</c:v>
                </c:pt>
                <c:pt idx="3">
                  <c:v>4.5999999999999996</c:v>
                </c:pt>
                <c:pt idx="4" formatCode="0.0">
                  <c:v>4.4000000000000004</c:v>
                </c:pt>
                <c:pt idx="5">
                  <c:v>5.3</c:v>
                </c:pt>
              </c:numCache>
            </c:numRef>
          </c:val>
        </c:ser>
        <c:ser>
          <c:idx val="4"/>
          <c:order val="4"/>
          <c:tx>
            <c:strRef>
              <c:f>'2. Som. morb.'!$C$46</c:f>
              <c:strCache>
                <c:ptCount val="1"/>
                <c:pt idx="0">
                  <c:v>Poremećaji razvoja i rasta zuba  (K00)</c:v>
                </c:pt>
              </c:strCache>
            </c:strRef>
          </c:tx>
          <c:spPr>
            <a:solidFill>
              <a:schemeClr val="accent2">
                <a:lumMod val="50000"/>
              </a:schemeClr>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morb.'!$D$46:$I$46</c:f>
              <c:numCache>
                <c:formatCode>General</c:formatCode>
                <c:ptCount val="6"/>
                <c:pt idx="1">
                  <c:v>3.6</c:v>
                </c:pt>
                <c:pt idx="2">
                  <c:v>6.5</c:v>
                </c:pt>
                <c:pt idx="3" formatCode="0.0">
                  <c:v>5</c:v>
                </c:pt>
                <c:pt idx="4" formatCode="0.0">
                  <c:v>4.4000000000000004</c:v>
                </c:pt>
                <c:pt idx="5">
                  <c:v>4.0999999999999996</c:v>
                </c:pt>
              </c:numCache>
            </c:numRef>
          </c:val>
        </c:ser>
        <c:ser>
          <c:idx val="5"/>
          <c:order val="5"/>
          <c:tx>
            <c:strRef>
              <c:f>'2. Som. morb.'!$C$47</c:f>
              <c:strCache>
                <c:ptCount val="1"/>
                <c:pt idx="0">
                  <c:v>Dentofacijalne anomalije (K07)</c:v>
                </c:pt>
              </c:strCache>
            </c:strRef>
          </c:tx>
          <c:spPr>
            <a:solidFill>
              <a:schemeClr val="bg1">
                <a:lumMod val="50000"/>
              </a:schemeClr>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morb.'!$D$47:$I$47</c:f>
              <c:numCache>
                <c:formatCode>General</c:formatCode>
                <c:ptCount val="6"/>
                <c:pt idx="0">
                  <c:v>9.4</c:v>
                </c:pt>
              </c:numCache>
            </c:numRef>
          </c:val>
        </c:ser>
        <c:dLbls>
          <c:showLegendKey val="0"/>
          <c:showVal val="0"/>
          <c:showCatName val="0"/>
          <c:showSerName val="0"/>
          <c:showPercent val="0"/>
          <c:showBubbleSize val="0"/>
        </c:dLbls>
        <c:gapWidth val="150"/>
        <c:axId val="323962488"/>
        <c:axId val="323962880"/>
      </c:barChart>
      <c:catAx>
        <c:axId val="323962488"/>
        <c:scaling>
          <c:orientation val="minMax"/>
        </c:scaling>
        <c:delete val="0"/>
        <c:axPos val="l"/>
        <c:numFmt formatCode="General" sourceLinked="0"/>
        <c:majorTickMark val="out"/>
        <c:minorTickMark val="none"/>
        <c:tickLblPos val="nextTo"/>
        <c:crossAx val="323962880"/>
        <c:crosses val="autoZero"/>
        <c:auto val="1"/>
        <c:lblAlgn val="ctr"/>
        <c:lblOffset val="100"/>
        <c:noMultiLvlLbl val="0"/>
      </c:catAx>
      <c:valAx>
        <c:axId val="323962880"/>
        <c:scaling>
          <c:orientation val="minMax"/>
        </c:scaling>
        <c:delete val="0"/>
        <c:axPos val="b"/>
        <c:majorGridlines/>
        <c:numFmt formatCode="General" sourceLinked="1"/>
        <c:majorTickMark val="out"/>
        <c:minorTickMark val="none"/>
        <c:tickLblPos val="nextTo"/>
        <c:crossAx val="323962488"/>
        <c:crosses val="autoZero"/>
        <c:crossBetween val="between"/>
      </c:valAx>
    </c:plotArea>
    <c:legend>
      <c:legendPos val="r"/>
      <c:overlay val="0"/>
      <c:txPr>
        <a:bodyPr/>
        <a:lstStyle/>
        <a:p>
          <a:pPr>
            <a:defRPr sz="900"/>
          </a:pPr>
          <a:endParaRPr lang="en-US"/>
        </a:p>
      </c:txPr>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morb.'!$C$56</c:f>
              <c:strCache>
                <c:ptCount val="1"/>
                <c:pt idx="0">
                  <c:v>Zubni karijes (K02)</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morb.'!$D$56:$I$56</c:f>
              <c:numCache>
                <c:formatCode>General</c:formatCode>
                <c:ptCount val="6"/>
                <c:pt idx="0" formatCode="0.0">
                  <c:v>42.8</c:v>
                </c:pt>
                <c:pt idx="1">
                  <c:v>43.6</c:v>
                </c:pt>
                <c:pt idx="2">
                  <c:v>42.9</c:v>
                </c:pt>
                <c:pt idx="3">
                  <c:v>43.9</c:v>
                </c:pt>
                <c:pt idx="4">
                  <c:v>43.2</c:v>
                </c:pt>
                <c:pt idx="5" formatCode="0.0">
                  <c:v>43.185983660029201</c:v>
                </c:pt>
              </c:numCache>
            </c:numRef>
          </c:val>
        </c:ser>
        <c:ser>
          <c:idx val="1"/>
          <c:order val="1"/>
          <c:tx>
            <c:strRef>
              <c:f>'2. Som. morb.'!$C$57</c:f>
              <c:strCache>
                <c:ptCount val="1"/>
                <c:pt idx="0">
                  <c:v>Oboljenja zubne pulpe i periapik. tkiva (K04)</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morb.'!$D$57:$I$57</c:f>
              <c:numCache>
                <c:formatCode>General</c:formatCode>
                <c:ptCount val="6"/>
                <c:pt idx="0" formatCode="0.0">
                  <c:v>25</c:v>
                </c:pt>
                <c:pt idx="1">
                  <c:v>23.1</c:v>
                </c:pt>
                <c:pt idx="2">
                  <c:v>25.2</c:v>
                </c:pt>
                <c:pt idx="3">
                  <c:v>25.4</c:v>
                </c:pt>
                <c:pt idx="4">
                  <c:v>23.7</c:v>
                </c:pt>
                <c:pt idx="5" formatCode="0.0">
                  <c:v>21.33895257128459</c:v>
                </c:pt>
              </c:numCache>
            </c:numRef>
          </c:val>
        </c:ser>
        <c:ser>
          <c:idx val="2"/>
          <c:order val="2"/>
          <c:tx>
            <c:strRef>
              <c:f>'2. Som. morb.'!$C$58</c:f>
              <c:strCache>
                <c:ptCount val="1"/>
                <c:pt idx="0">
                  <c:v>Dentofacijalne anomalije (K07)</c:v>
                </c:pt>
              </c:strCache>
            </c:strRef>
          </c:tx>
          <c:spPr>
            <a:solidFill>
              <a:schemeClr val="tx1">
                <a:lumMod val="50000"/>
                <a:lumOff val="50000"/>
              </a:schemeClr>
            </a:solidFill>
          </c:spPr>
          <c:invertIfNegative val="0"/>
          <c:cat>
            <c:strRef>
              <c:f>'2. Som. morb.'!$D$55:$I$55</c:f>
              <c:strCache>
                <c:ptCount val="6"/>
                <c:pt idx="0">
                  <c:v>2010</c:v>
                </c:pt>
                <c:pt idx="1">
                  <c:v>2011</c:v>
                </c:pt>
                <c:pt idx="2">
                  <c:v>2012</c:v>
                </c:pt>
                <c:pt idx="3">
                  <c:v>2013</c:v>
                </c:pt>
                <c:pt idx="4">
                  <c:v>2014.</c:v>
                </c:pt>
                <c:pt idx="5">
                  <c:v>2015.</c:v>
                </c:pt>
              </c:strCache>
            </c:strRef>
          </c:cat>
          <c:val>
            <c:numRef>
              <c:f>'2. Som. morb.'!$D$58:$I$58</c:f>
              <c:numCache>
                <c:formatCode>General</c:formatCode>
                <c:ptCount val="6"/>
                <c:pt idx="0" formatCode="0.0">
                  <c:v>11.6</c:v>
                </c:pt>
                <c:pt idx="1">
                  <c:v>13.9</c:v>
                </c:pt>
                <c:pt idx="2">
                  <c:v>13.3</c:v>
                </c:pt>
                <c:pt idx="3">
                  <c:v>12.8</c:v>
                </c:pt>
                <c:pt idx="4">
                  <c:v>15.5</c:v>
                </c:pt>
                <c:pt idx="5" formatCode="0.0">
                  <c:v>16.329961100238513</c:v>
                </c:pt>
              </c:numCache>
            </c:numRef>
          </c:val>
        </c:ser>
        <c:ser>
          <c:idx val="3"/>
          <c:order val="3"/>
          <c:tx>
            <c:strRef>
              <c:f>'2. Som. morb.'!$C$59</c:f>
              <c:strCache>
                <c:ptCount val="1"/>
                <c:pt idx="0">
                  <c:v>Druga oboljenja čvrst. tkiva zuba(K03)</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morb.'!$D$59:$I$59</c:f>
              <c:numCache>
                <c:formatCode>General</c:formatCode>
                <c:ptCount val="6"/>
                <c:pt idx="0" formatCode="0.0">
                  <c:v>5.5</c:v>
                </c:pt>
                <c:pt idx="1">
                  <c:v>4.8</c:v>
                </c:pt>
                <c:pt idx="2">
                  <c:v>3.9</c:v>
                </c:pt>
                <c:pt idx="3">
                  <c:v>4.5</c:v>
                </c:pt>
                <c:pt idx="4">
                  <c:v>4.2</c:v>
                </c:pt>
                <c:pt idx="5" formatCode="0.0">
                  <c:v>3.9662569593295567</c:v>
                </c:pt>
              </c:numCache>
            </c:numRef>
          </c:val>
        </c:ser>
        <c:ser>
          <c:idx val="4"/>
          <c:order val="4"/>
          <c:tx>
            <c:strRef>
              <c:f>'2. Som. morb.'!$C$60</c:f>
              <c:strCache>
                <c:ptCount val="1"/>
                <c:pt idx="0">
                  <c:v>Gingivitis i periodont. oboljenja (K05)</c:v>
                </c:pt>
              </c:strCache>
            </c:strRef>
          </c:tx>
          <c:spPr>
            <a:solidFill>
              <a:schemeClr val="accent6"/>
            </a:solidFill>
          </c:spPr>
          <c:invertIfNegative val="0"/>
          <c:cat>
            <c:strRef>
              <c:f>'2. Som. morb.'!$D$55:$I$55</c:f>
              <c:strCache>
                <c:ptCount val="6"/>
                <c:pt idx="0">
                  <c:v>2010</c:v>
                </c:pt>
                <c:pt idx="1">
                  <c:v>2011</c:v>
                </c:pt>
                <c:pt idx="2">
                  <c:v>2012</c:v>
                </c:pt>
                <c:pt idx="3">
                  <c:v>2013</c:v>
                </c:pt>
                <c:pt idx="4">
                  <c:v>2014.</c:v>
                </c:pt>
                <c:pt idx="5">
                  <c:v>2015.</c:v>
                </c:pt>
              </c:strCache>
            </c:strRef>
          </c:cat>
          <c:val>
            <c:numRef>
              <c:f>'2. Som. morb.'!$D$60:$I$60</c:f>
              <c:numCache>
                <c:formatCode>General</c:formatCode>
                <c:ptCount val="6"/>
                <c:pt idx="0" formatCode="0.0">
                  <c:v>5</c:v>
                </c:pt>
                <c:pt idx="1">
                  <c:v>4.3</c:v>
                </c:pt>
                <c:pt idx="2">
                  <c:v>4.4000000000000004</c:v>
                </c:pt>
                <c:pt idx="3">
                  <c:v>4.8</c:v>
                </c:pt>
                <c:pt idx="4">
                  <c:v>5.4</c:v>
                </c:pt>
                <c:pt idx="5" formatCode="0.0">
                  <c:v>5.4138665396470369</c:v>
                </c:pt>
              </c:numCache>
            </c:numRef>
          </c:val>
        </c:ser>
        <c:dLbls>
          <c:showLegendKey val="0"/>
          <c:showVal val="0"/>
          <c:showCatName val="0"/>
          <c:showSerName val="0"/>
          <c:showPercent val="0"/>
          <c:showBubbleSize val="0"/>
        </c:dLbls>
        <c:gapWidth val="150"/>
        <c:axId val="323963272"/>
        <c:axId val="323965624"/>
      </c:barChart>
      <c:catAx>
        <c:axId val="323963272"/>
        <c:scaling>
          <c:orientation val="minMax"/>
        </c:scaling>
        <c:delete val="0"/>
        <c:axPos val="l"/>
        <c:numFmt formatCode="General" sourceLinked="0"/>
        <c:majorTickMark val="out"/>
        <c:minorTickMark val="none"/>
        <c:tickLblPos val="nextTo"/>
        <c:crossAx val="323965624"/>
        <c:crosses val="autoZero"/>
        <c:auto val="1"/>
        <c:lblAlgn val="ctr"/>
        <c:lblOffset val="100"/>
        <c:noMultiLvlLbl val="0"/>
      </c:catAx>
      <c:valAx>
        <c:axId val="323965624"/>
        <c:scaling>
          <c:orientation val="minMax"/>
        </c:scaling>
        <c:delete val="0"/>
        <c:axPos val="b"/>
        <c:majorGridlines/>
        <c:numFmt formatCode="0.0" sourceLinked="1"/>
        <c:majorTickMark val="out"/>
        <c:minorTickMark val="none"/>
        <c:tickLblPos val="nextTo"/>
        <c:crossAx val="323963272"/>
        <c:crosses val="autoZero"/>
        <c:crossBetween val="between"/>
      </c:valAx>
    </c:plotArea>
    <c:legend>
      <c:legendPos val="r"/>
      <c:overlay val="0"/>
    </c:legend>
    <c:plotVisOnly val="1"/>
    <c:dispBlanksAs val="gap"/>
    <c:showDLblsOverMax val="0"/>
  </c:chart>
  <c:spPr>
    <a:ln>
      <a:solidFill>
        <a:schemeClr val="tx1"/>
      </a:solidFill>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morb.'!$C$72</c:f>
              <c:strCache>
                <c:ptCount val="1"/>
                <c:pt idx="0">
                  <c:v>Oboljenja zubne pulpe i periapik. tkiva (K04)</c:v>
                </c:pt>
              </c:strCache>
            </c:strRef>
          </c:tx>
          <c:spPr>
            <a:solidFill>
              <a:schemeClr val="accent2"/>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morb.'!$D$72:$I$72</c:f>
              <c:numCache>
                <c:formatCode>General</c:formatCode>
                <c:ptCount val="6"/>
                <c:pt idx="0">
                  <c:v>37.6</c:v>
                </c:pt>
                <c:pt idx="1">
                  <c:v>34.9</c:v>
                </c:pt>
                <c:pt idx="2">
                  <c:v>35.300000000000011</c:v>
                </c:pt>
                <c:pt idx="3">
                  <c:v>35.6</c:v>
                </c:pt>
                <c:pt idx="4">
                  <c:v>35.6</c:v>
                </c:pt>
                <c:pt idx="5" formatCode="0.0">
                  <c:v>33.889400680325544</c:v>
                </c:pt>
              </c:numCache>
            </c:numRef>
          </c:val>
        </c:ser>
        <c:ser>
          <c:idx val="1"/>
          <c:order val="1"/>
          <c:tx>
            <c:strRef>
              <c:f>'2. Som. morb.'!$C$73</c:f>
              <c:strCache>
                <c:ptCount val="1"/>
                <c:pt idx="0">
                  <c:v>Zubni karijes (K02)</c:v>
                </c:pt>
              </c:strCache>
            </c:strRef>
          </c:tx>
          <c:spPr>
            <a:solidFill>
              <a:schemeClr val="accent1"/>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morb.'!$D$73:$I$73</c:f>
              <c:numCache>
                <c:formatCode>General</c:formatCode>
                <c:ptCount val="6"/>
                <c:pt idx="0">
                  <c:v>36.5</c:v>
                </c:pt>
                <c:pt idx="1">
                  <c:v>40.200000000000003</c:v>
                </c:pt>
                <c:pt idx="2">
                  <c:v>40.4</c:v>
                </c:pt>
                <c:pt idx="3">
                  <c:v>40.4</c:v>
                </c:pt>
                <c:pt idx="4">
                  <c:v>40.1</c:v>
                </c:pt>
                <c:pt idx="5" formatCode="0.0">
                  <c:v>40.210381986845768</c:v>
                </c:pt>
              </c:numCache>
            </c:numRef>
          </c:val>
        </c:ser>
        <c:ser>
          <c:idx val="2"/>
          <c:order val="2"/>
          <c:tx>
            <c:strRef>
              <c:f>'2. Som. morb.'!$C$74</c:f>
              <c:strCache>
                <c:ptCount val="1"/>
                <c:pt idx="0">
                  <c:v>Gingivitis i periodont. oboljenja (K05)</c:v>
                </c:pt>
              </c:strCache>
            </c:strRef>
          </c:tx>
          <c:spPr>
            <a:solidFill>
              <a:schemeClr val="accent6"/>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morb.'!$D$74:$I$74</c:f>
              <c:numCache>
                <c:formatCode>0.0</c:formatCode>
                <c:ptCount val="6"/>
                <c:pt idx="0" formatCode="General">
                  <c:v>8.5</c:v>
                </c:pt>
                <c:pt idx="1">
                  <c:v>9</c:v>
                </c:pt>
                <c:pt idx="2" formatCode="General">
                  <c:v>8.5</c:v>
                </c:pt>
                <c:pt idx="3" formatCode="General">
                  <c:v>9.6</c:v>
                </c:pt>
                <c:pt idx="4" formatCode="General">
                  <c:v>9.3000000000000007</c:v>
                </c:pt>
                <c:pt idx="5">
                  <c:v>10.13632695617399</c:v>
                </c:pt>
              </c:numCache>
            </c:numRef>
          </c:val>
        </c:ser>
        <c:ser>
          <c:idx val="3"/>
          <c:order val="3"/>
          <c:tx>
            <c:strRef>
              <c:f>'2. Som. morb.'!$C$75</c:f>
              <c:strCache>
                <c:ptCount val="1"/>
                <c:pt idx="0">
                  <c:v>Druga oboljenja čvrst. tkiva zuba(K03)</c:v>
                </c:pt>
              </c:strCache>
            </c:strRef>
          </c:tx>
          <c:invertIfNegative val="0"/>
          <c:cat>
            <c:strRef>
              <c:f>'2. Som. morb.'!$D$71:$I$71</c:f>
              <c:strCache>
                <c:ptCount val="6"/>
                <c:pt idx="0">
                  <c:v>2010.</c:v>
                </c:pt>
                <c:pt idx="1">
                  <c:v>2011.</c:v>
                </c:pt>
                <c:pt idx="2">
                  <c:v>2012.</c:v>
                </c:pt>
                <c:pt idx="3">
                  <c:v>2013.</c:v>
                </c:pt>
                <c:pt idx="4">
                  <c:v>2014.</c:v>
                </c:pt>
                <c:pt idx="5">
                  <c:v>2015.</c:v>
                </c:pt>
              </c:strCache>
            </c:strRef>
          </c:cat>
          <c:val>
            <c:numRef>
              <c:f>'2. Som. morb.'!$D$75:$I$75</c:f>
              <c:numCache>
                <c:formatCode>General</c:formatCode>
                <c:ptCount val="6"/>
                <c:pt idx="0">
                  <c:v>5.3</c:v>
                </c:pt>
                <c:pt idx="1">
                  <c:v>5.0999999999999996</c:v>
                </c:pt>
                <c:pt idx="2">
                  <c:v>4.5999999999999996</c:v>
                </c:pt>
                <c:pt idx="3">
                  <c:v>4.8</c:v>
                </c:pt>
                <c:pt idx="4">
                  <c:v>5.2</c:v>
                </c:pt>
                <c:pt idx="5" formatCode="0.0">
                  <c:v>4.5413753621221975</c:v>
                </c:pt>
              </c:numCache>
            </c:numRef>
          </c:val>
        </c:ser>
        <c:ser>
          <c:idx val="4"/>
          <c:order val="4"/>
          <c:tx>
            <c:strRef>
              <c:f>'2. Som. morb.'!$C$76</c:f>
              <c:strCache>
                <c:ptCount val="1"/>
                <c:pt idx="0">
                  <c:v>Drugi poremeć. zuba i potpor. struktura (K08)</c:v>
                </c:pt>
              </c:strCache>
            </c:strRef>
          </c:tx>
          <c:invertIfNegative val="0"/>
          <c:cat>
            <c:strRef>
              <c:f>'2. Som. morb.'!$D$71:$I$71</c:f>
              <c:strCache>
                <c:ptCount val="6"/>
                <c:pt idx="0">
                  <c:v>2010.</c:v>
                </c:pt>
                <c:pt idx="1">
                  <c:v>2011.</c:v>
                </c:pt>
                <c:pt idx="2">
                  <c:v>2012.</c:v>
                </c:pt>
                <c:pt idx="3">
                  <c:v>2013.</c:v>
                </c:pt>
                <c:pt idx="4">
                  <c:v>2014.</c:v>
                </c:pt>
                <c:pt idx="5">
                  <c:v>2015.</c:v>
                </c:pt>
              </c:strCache>
            </c:strRef>
          </c:cat>
          <c:val>
            <c:numRef>
              <c:f>'2. Som. morb.'!$D$76:$I$76</c:f>
              <c:numCache>
                <c:formatCode>General</c:formatCode>
                <c:ptCount val="6"/>
                <c:pt idx="0">
                  <c:v>3.9</c:v>
                </c:pt>
                <c:pt idx="1">
                  <c:v>3.7</c:v>
                </c:pt>
                <c:pt idx="2">
                  <c:v>3.8</c:v>
                </c:pt>
                <c:pt idx="3">
                  <c:v>3.6</c:v>
                </c:pt>
                <c:pt idx="4">
                  <c:v>4.2</c:v>
                </c:pt>
                <c:pt idx="5" formatCode="0.0">
                  <c:v>4.6313554379625463</c:v>
                </c:pt>
              </c:numCache>
            </c:numRef>
          </c:val>
        </c:ser>
        <c:dLbls>
          <c:showLegendKey val="0"/>
          <c:showVal val="0"/>
          <c:showCatName val="0"/>
          <c:showSerName val="0"/>
          <c:showPercent val="0"/>
          <c:showBubbleSize val="0"/>
        </c:dLbls>
        <c:gapWidth val="150"/>
        <c:axId val="323966408"/>
        <c:axId val="327223872"/>
      </c:barChart>
      <c:catAx>
        <c:axId val="323966408"/>
        <c:scaling>
          <c:orientation val="minMax"/>
        </c:scaling>
        <c:delete val="0"/>
        <c:axPos val="l"/>
        <c:numFmt formatCode="General" sourceLinked="1"/>
        <c:majorTickMark val="out"/>
        <c:minorTickMark val="none"/>
        <c:tickLblPos val="nextTo"/>
        <c:crossAx val="327223872"/>
        <c:crosses val="autoZero"/>
        <c:auto val="1"/>
        <c:lblAlgn val="ctr"/>
        <c:lblOffset val="100"/>
        <c:noMultiLvlLbl val="0"/>
      </c:catAx>
      <c:valAx>
        <c:axId val="327223872"/>
        <c:scaling>
          <c:orientation val="minMax"/>
        </c:scaling>
        <c:delete val="0"/>
        <c:axPos val="b"/>
        <c:majorGridlines/>
        <c:numFmt formatCode="General" sourceLinked="1"/>
        <c:majorTickMark val="out"/>
        <c:minorTickMark val="none"/>
        <c:tickLblPos val="nextTo"/>
        <c:crossAx val="323966408"/>
        <c:crosses val="autoZero"/>
        <c:crossBetween val="between"/>
      </c:valAx>
    </c:plotArea>
    <c:legend>
      <c:legendPos val="r"/>
      <c:legendEntry>
        <c:idx val="3"/>
        <c:txPr>
          <a:bodyPr/>
          <a:lstStyle/>
          <a:p>
            <a:pPr>
              <a:defRPr>
                <a:solidFill>
                  <a:sysClr val="windowText" lastClr="000000"/>
                </a:solidFill>
              </a:defRPr>
            </a:pPr>
            <a:endParaRPr lang="en-US"/>
          </a:p>
        </c:txPr>
      </c:legendEntry>
      <c:layout>
        <c:manualLayout>
          <c:xMode val="edge"/>
          <c:yMode val="edge"/>
          <c:x val="0.65675902100938954"/>
          <c:y val="6.9797108219430359E-2"/>
          <c:w val="0.33654230756044407"/>
          <c:h val="0.86040578356113928"/>
        </c:manualLayout>
      </c:layout>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Sheet1!$C$5</c:f>
              <c:strCache>
                <c:ptCount val="1"/>
                <c:pt idx="0">
                  <c:v>2002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Sheet1!$B$6:$B$8</c:f>
              <c:strCache>
                <c:ptCount val="3"/>
                <c:pt idx="0">
                  <c:v>Normalna težina</c:v>
                </c:pt>
                <c:pt idx="1">
                  <c:v>Prekomjerna tjelesna težina</c:v>
                </c:pt>
                <c:pt idx="2">
                  <c:v>Gojaznost</c:v>
                </c:pt>
              </c:strCache>
            </c:strRef>
          </c:cat>
          <c:val>
            <c:numRef>
              <c:f>Sheet1!$C$6:$C$8</c:f>
              <c:numCache>
                <c:formatCode>0.0%</c:formatCode>
                <c:ptCount val="3"/>
                <c:pt idx="0">
                  <c:v>0.36800000000000027</c:v>
                </c:pt>
                <c:pt idx="1">
                  <c:v>0.4100000000000002</c:v>
                </c:pt>
                <c:pt idx="2">
                  <c:v>0.21500000000000011</c:v>
                </c:pt>
              </c:numCache>
            </c:numRef>
          </c:val>
        </c:ser>
        <c:ser>
          <c:idx val="1"/>
          <c:order val="1"/>
          <c:tx>
            <c:strRef>
              <c:f>Sheet1!$D$5</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Sheet1!$B$6:$B$8</c:f>
              <c:strCache>
                <c:ptCount val="3"/>
                <c:pt idx="0">
                  <c:v>Normalna težina</c:v>
                </c:pt>
                <c:pt idx="1">
                  <c:v>Prekomjerna tjelesna težina</c:v>
                </c:pt>
                <c:pt idx="2">
                  <c:v>Gojaznost</c:v>
                </c:pt>
              </c:strCache>
            </c:strRef>
          </c:cat>
          <c:val>
            <c:numRef>
              <c:f>Sheet1!$D$6:$D$8</c:f>
              <c:numCache>
                <c:formatCode>0.0%</c:formatCode>
                <c:ptCount val="3"/>
                <c:pt idx="0">
                  <c:v>0.37600000000000022</c:v>
                </c:pt>
                <c:pt idx="1">
                  <c:v>0.37500000000000022</c:v>
                </c:pt>
                <c:pt idx="2">
                  <c:v>0.22500000000000006</c:v>
                </c:pt>
              </c:numCache>
            </c:numRef>
          </c:val>
        </c:ser>
        <c:dLbls>
          <c:showLegendKey val="0"/>
          <c:showVal val="1"/>
          <c:showCatName val="0"/>
          <c:showSerName val="0"/>
          <c:showPercent val="0"/>
          <c:showBubbleSize val="0"/>
        </c:dLbls>
        <c:gapWidth val="150"/>
        <c:overlap val="-25"/>
        <c:axId val="327223480"/>
        <c:axId val="327218384"/>
      </c:barChart>
      <c:catAx>
        <c:axId val="327223480"/>
        <c:scaling>
          <c:orientation val="minMax"/>
        </c:scaling>
        <c:delete val="0"/>
        <c:axPos val="b"/>
        <c:numFmt formatCode="General" sourceLinked="0"/>
        <c:majorTickMark val="none"/>
        <c:minorTickMark val="none"/>
        <c:tickLblPos val="nextTo"/>
        <c:crossAx val="327218384"/>
        <c:crosses val="autoZero"/>
        <c:auto val="1"/>
        <c:lblAlgn val="ctr"/>
        <c:lblOffset val="100"/>
        <c:noMultiLvlLbl val="0"/>
      </c:catAx>
      <c:valAx>
        <c:axId val="327218384"/>
        <c:scaling>
          <c:orientation val="minMax"/>
        </c:scaling>
        <c:delete val="1"/>
        <c:axPos val="l"/>
        <c:numFmt formatCode="0.0%" sourceLinked="1"/>
        <c:majorTickMark val="out"/>
        <c:minorTickMark val="none"/>
        <c:tickLblPos val="none"/>
        <c:crossAx val="327223480"/>
        <c:crosses val="autoZero"/>
        <c:crossBetween val="between"/>
      </c:valAx>
      <c:spPr>
        <a:ln>
          <a:solidFill>
            <a:schemeClr val="tx1">
              <a:alpha val="0"/>
            </a:schemeClr>
          </a:solidFill>
        </a:ln>
      </c:spPr>
    </c:plotArea>
    <c:legend>
      <c:legendPos val="t"/>
      <c:overlay val="0"/>
    </c:legend>
    <c:plotVisOnly val="1"/>
    <c:dispBlanksAs val="gap"/>
    <c:showDLblsOverMax val="0"/>
  </c:chart>
  <c:spPr>
    <a:solidFill>
      <a:schemeClr val="lt1"/>
    </a:solidFill>
    <a:ln>
      <a:solidFill>
        <a:schemeClr val="tx1"/>
      </a:solidFill>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Sheet1!$C$4</c:f>
              <c:strCache>
                <c:ptCount val="1"/>
                <c:pt idx="0">
                  <c:v>Muškarci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Sheet1!$B$5:$B$13</c:f>
              <c:strCache>
                <c:ptCount val="9"/>
                <c:pt idx="0">
                  <c:v>Gojaznost</c:v>
                </c:pt>
                <c:pt idx="1">
                  <c:v>Povišen krvni pritisak</c:v>
                </c:pt>
                <c:pt idx="2">
                  <c:v>Šećerna bolest</c:v>
                </c:pt>
                <c:pt idx="3">
                  <c:v>Bolest srca i krvnih sudova</c:v>
                </c:pt>
                <c:pt idx="4">
                  <c:v>Plućne bolesti</c:v>
                </c:pt>
                <c:pt idx="5">
                  <c:v>Rak</c:v>
                </c:pt>
                <c:pt idx="6">
                  <c:v>Ciroza jetre</c:v>
                </c:pt>
                <c:pt idx="7">
                  <c:v>Polne bolesti, SIDA/AIDS</c:v>
                </c:pt>
                <c:pt idx="8">
                  <c:v>Bolesti kao posljedice povrede</c:v>
                </c:pt>
              </c:strCache>
            </c:strRef>
          </c:cat>
          <c:val>
            <c:numRef>
              <c:f>Sheet1!$C$5:$C$13</c:f>
              <c:numCache>
                <c:formatCode>General</c:formatCode>
                <c:ptCount val="9"/>
                <c:pt idx="0">
                  <c:v>10.9</c:v>
                </c:pt>
                <c:pt idx="1">
                  <c:v>13.3</c:v>
                </c:pt>
                <c:pt idx="2">
                  <c:v>8.9</c:v>
                </c:pt>
                <c:pt idx="3">
                  <c:v>14</c:v>
                </c:pt>
                <c:pt idx="4">
                  <c:v>9.7000000000000011</c:v>
                </c:pt>
                <c:pt idx="5">
                  <c:v>5.9</c:v>
                </c:pt>
                <c:pt idx="6">
                  <c:v>4.0999999999999996</c:v>
                </c:pt>
                <c:pt idx="7">
                  <c:v>1.4</c:v>
                </c:pt>
                <c:pt idx="8">
                  <c:v>7.5</c:v>
                </c:pt>
              </c:numCache>
            </c:numRef>
          </c:val>
        </c:ser>
        <c:ser>
          <c:idx val="1"/>
          <c:order val="1"/>
          <c:tx>
            <c:strRef>
              <c:f>Sheet1!$D$4</c:f>
              <c:strCache>
                <c:ptCount val="1"/>
                <c:pt idx="0">
                  <c:v>Žene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Sheet1!$B$5:$B$13</c:f>
              <c:strCache>
                <c:ptCount val="9"/>
                <c:pt idx="0">
                  <c:v>Gojaznost</c:v>
                </c:pt>
                <c:pt idx="1">
                  <c:v>Povišen krvni pritisak</c:v>
                </c:pt>
                <c:pt idx="2">
                  <c:v>Šećerna bolest</c:v>
                </c:pt>
                <c:pt idx="3">
                  <c:v>Bolest srca i krvnih sudova</c:v>
                </c:pt>
                <c:pt idx="4">
                  <c:v>Plućne bolesti</c:v>
                </c:pt>
                <c:pt idx="5">
                  <c:v>Rak</c:v>
                </c:pt>
                <c:pt idx="6">
                  <c:v>Ciroza jetre</c:v>
                </c:pt>
                <c:pt idx="7">
                  <c:v>Polne bolesti, SIDA/AIDS</c:v>
                </c:pt>
                <c:pt idx="8">
                  <c:v>Bolesti kao posljedice povrede</c:v>
                </c:pt>
              </c:strCache>
            </c:strRef>
          </c:cat>
          <c:val>
            <c:numRef>
              <c:f>Sheet1!$D$5:$D$13</c:f>
              <c:numCache>
                <c:formatCode>General</c:formatCode>
                <c:ptCount val="9"/>
                <c:pt idx="0">
                  <c:v>15.5</c:v>
                </c:pt>
                <c:pt idx="1">
                  <c:v>13.6</c:v>
                </c:pt>
                <c:pt idx="2">
                  <c:v>12</c:v>
                </c:pt>
                <c:pt idx="3">
                  <c:v>15.7</c:v>
                </c:pt>
                <c:pt idx="4">
                  <c:v>7.9</c:v>
                </c:pt>
                <c:pt idx="5">
                  <c:v>6.6</c:v>
                </c:pt>
                <c:pt idx="6">
                  <c:v>3</c:v>
                </c:pt>
                <c:pt idx="7">
                  <c:v>1.2</c:v>
                </c:pt>
                <c:pt idx="8">
                  <c:v>5.6</c:v>
                </c:pt>
              </c:numCache>
            </c:numRef>
          </c:val>
        </c:ser>
        <c:dLbls>
          <c:showLegendKey val="0"/>
          <c:showVal val="1"/>
          <c:showCatName val="0"/>
          <c:showSerName val="0"/>
          <c:showPercent val="0"/>
          <c:showBubbleSize val="0"/>
        </c:dLbls>
        <c:gapWidth val="150"/>
        <c:shape val="box"/>
        <c:axId val="327219560"/>
        <c:axId val="327221912"/>
        <c:axId val="0"/>
      </c:bar3DChart>
      <c:catAx>
        <c:axId val="327219560"/>
        <c:scaling>
          <c:orientation val="minMax"/>
        </c:scaling>
        <c:delete val="0"/>
        <c:axPos val="b"/>
        <c:numFmt formatCode="General" sourceLinked="0"/>
        <c:majorTickMark val="none"/>
        <c:minorTickMark val="none"/>
        <c:tickLblPos val="nextTo"/>
        <c:txPr>
          <a:bodyPr rot="-5400000" vert="horz"/>
          <a:lstStyle/>
          <a:p>
            <a:pPr>
              <a:defRPr sz="1000"/>
            </a:pPr>
            <a:endParaRPr lang="en-US"/>
          </a:p>
        </c:txPr>
        <c:crossAx val="327221912"/>
        <c:crosses val="autoZero"/>
        <c:auto val="0"/>
        <c:lblAlgn val="ctr"/>
        <c:lblOffset val="100"/>
        <c:noMultiLvlLbl val="0"/>
      </c:catAx>
      <c:valAx>
        <c:axId val="327221912"/>
        <c:scaling>
          <c:orientation val="minMax"/>
        </c:scaling>
        <c:delete val="1"/>
        <c:axPos val="l"/>
        <c:numFmt formatCode="General" sourceLinked="1"/>
        <c:majorTickMark val="none"/>
        <c:minorTickMark val="none"/>
        <c:tickLblPos val="none"/>
        <c:crossAx val="327219560"/>
        <c:crosses val="autoZero"/>
        <c:crossBetween val="between"/>
      </c:valAx>
    </c:plotArea>
    <c:legend>
      <c:legendPos val="t"/>
      <c:overlay val="0"/>
    </c:legend>
    <c:plotVisOnly val="1"/>
    <c:dispBlanksAs val="gap"/>
    <c:showDLblsOverMax val="0"/>
  </c:chart>
  <c:spPr>
    <a:ln>
      <a:solidFill>
        <a:schemeClr val="tx1"/>
      </a:solidFill>
    </a:ln>
  </c:spPr>
  <c:txPr>
    <a:bodyPr/>
    <a:lstStyle/>
    <a:p>
      <a:pPr>
        <a:defRPr sz="900"/>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r>
                      <a:rPr lang="en-US"/>
                      <a:t>Nikada 
33,3%</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30125156728020464"/>
                  <c:y val="-0.26652641720800213"/>
                </c:manualLayout>
              </c:layout>
              <c:tx>
                <c:rich>
                  <a:bodyPr/>
                  <a:lstStyle/>
                  <a:p>
                    <a:r>
                      <a:rPr lang="en-US"/>
                      <a:t>Kada hrana nije slana
59,5%</a:t>
                    </a:r>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en-US"/>
                      <a:t>Uvijek
7,2%</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'[dosoljavanje hrane.xlsx]Sheet1'!$A$1:$A$3</c:f>
              <c:strCache>
                <c:ptCount val="3"/>
                <c:pt idx="0">
                  <c:v>Nikada </c:v>
                </c:pt>
                <c:pt idx="1">
                  <c:v>Kada hrana nije slana</c:v>
                </c:pt>
                <c:pt idx="2">
                  <c:v>Uvijek</c:v>
                </c:pt>
              </c:strCache>
            </c:strRef>
          </c:cat>
          <c:val>
            <c:numRef>
              <c:f>'[dosoljavanje hrane.xlsx]Sheet1'!$B$1:$B$3</c:f>
              <c:numCache>
                <c:formatCode>General</c:formatCode>
                <c:ptCount val="3"/>
                <c:pt idx="0">
                  <c:v>33.299999999999997</c:v>
                </c:pt>
                <c:pt idx="1">
                  <c:v>59.5</c:v>
                </c:pt>
                <c:pt idx="2">
                  <c:v>7.2</c:v>
                </c:pt>
              </c:numCache>
            </c:numRef>
          </c:val>
        </c:ser>
        <c:dLbls>
          <c:showLegendKey val="0"/>
          <c:showVal val="0"/>
          <c:showCatName val="1"/>
          <c:showSerName val="0"/>
          <c:showPercent val="1"/>
          <c:showBubbleSize val="0"/>
          <c:showLeaderLines val="1"/>
        </c:dLbls>
      </c:pie3DChart>
    </c:plotArea>
    <c:plotVisOnly val="1"/>
    <c:dispBlanksAs val="gap"/>
    <c:showDLblsOverMax val="0"/>
  </c:chart>
  <c:spPr>
    <a:ln>
      <a:solidFill>
        <a:schemeClr val="tx1"/>
      </a:solidFill>
    </a:ln>
  </c:spPr>
  <c:txPr>
    <a:bodyPr/>
    <a:lstStyle/>
    <a:p>
      <a:pPr>
        <a:defRPr sz="1200"/>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Sheet1!$B$30</c:f>
              <c:strCache>
                <c:ptCount val="1"/>
                <c:pt idx="0">
                  <c:v>18-24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Sheet1!$C$30</c:f>
              <c:numCache>
                <c:formatCode>General</c:formatCode>
                <c:ptCount val="1"/>
                <c:pt idx="0">
                  <c:v>34.4</c:v>
                </c:pt>
              </c:numCache>
            </c:numRef>
          </c:val>
        </c:ser>
        <c:ser>
          <c:idx val="1"/>
          <c:order val="1"/>
          <c:tx>
            <c:strRef>
              <c:f>Sheet1!$B$31</c:f>
              <c:strCache>
                <c:ptCount val="1"/>
                <c:pt idx="0">
                  <c:v>25-34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Sheet1!$C$31</c:f>
              <c:numCache>
                <c:formatCode>General</c:formatCode>
                <c:ptCount val="1"/>
                <c:pt idx="0">
                  <c:v>29.6</c:v>
                </c:pt>
              </c:numCache>
            </c:numRef>
          </c:val>
        </c:ser>
        <c:ser>
          <c:idx val="2"/>
          <c:order val="2"/>
          <c:tx>
            <c:strRef>
              <c:f>Sheet1!$B$32</c:f>
              <c:strCache>
                <c:ptCount val="1"/>
                <c:pt idx="0">
                  <c:v>35-44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Sheet1!$C$32</c:f>
              <c:numCache>
                <c:formatCode>General</c:formatCode>
                <c:ptCount val="1"/>
                <c:pt idx="0">
                  <c:v>26.8</c:v>
                </c:pt>
              </c:numCache>
            </c:numRef>
          </c:val>
        </c:ser>
        <c:ser>
          <c:idx val="3"/>
          <c:order val="3"/>
          <c:tx>
            <c:strRef>
              <c:f>Sheet1!$B$33</c:f>
              <c:strCache>
                <c:ptCount val="1"/>
                <c:pt idx="0">
                  <c:v>45-54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Sheet1!$C$33</c:f>
              <c:numCache>
                <c:formatCode>General</c:formatCode>
                <c:ptCount val="1"/>
                <c:pt idx="0">
                  <c:v>25.4</c:v>
                </c:pt>
              </c:numCache>
            </c:numRef>
          </c:val>
        </c:ser>
        <c:ser>
          <c:idx val="4"/>
          <c:order val="4"/>
          <c:tx>
            <c:strRef>
              <c:f>Sheet1!$B$34</c:f>
              <c:strCache>
                <c:ptCount val="1"/>
                <c:pt idx="0">
                  <c:v>55-64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Sheet1!$C$34</c:f>
              <c:numCache>
                <c:formatCode>General</c:formatCode>
                <c:ptCount val="1"/>
                <c:pt idx="0">
                  <c:v>23.8</c:v>
                </c:pt>
              </c:numCache>
            </c:numRef>
          </c:val>
        </c:ser>
        <c:ser>
          <c:idx val="5"/>
          <c:order val="5"/>
          <c:tx>
            <c:strRef>
              <c:f>Sheet1!$B$35</c:f>
              <c:strCache>
                <c:ptCount val="1"/>
                <c:pt idx="0">
                  <c:v>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Sheet1!$C$35</c:f>
              <c:numCache>
                <c:formatCode>General</c:formatCode>
                <c:ptCount val="1"/>
                <c:pt idx="0">
                  <c:v>8.3000000000000007</c:v>
                </c:pt>
              </c:numCache>
            </c:numRef>
          </c:val>
        </c:ser>
        <c:dLbls>
          <c:showLegendKey val="0"/>
          <c:showVal val="1"/>
          <c:showCatName val="0"/>
          <c:showSerName val="0"/>
          <c:showPercent val="0"/>
          <c:showBubbleSize val="0"/>
        </c:dLbls>
        <c:gapWidth val="75"/>
        <c:axId val="327224656"/>
        <c:axId val="327222304"/>
      </c:barChart>
      <c:catAx>
        <c:axId val="327224656"/>
        <c:scaling>
          <c:orientation val="minMax"/>
        </c:scaling>
        <c:delete val="1"/>
        <c:axPos val="b"/>
        <c:majorTickMark val="none"/>
        <c:minorTickMark val="none"/>
        <c:tickLblPos val="none"/>
        <c:crossAx val="327222304"/>
        <c:crosses val="autoZero"/>
        <c:auto val="1"/>
        <c:lblAlgn val="ctr"/>
        <c:lblOffset val="100"/>
        <c:noMultiLvlLbl val="0"/>
      </c:catAx>
      <c:valAx>
        <c:axId val="327222304"/>
        <c:scaling>
          <c:orientation val="minMax"/>
        </c:scaling>
        <c:delete val="0"/>
        <c:axPos val="l"/>
        <c:numFmt formatCode="General" sourceLinked="1"/>
        <c:majorTickMark val="none"/>
        <c:minorTickMark val="none"/>
        <c:tickLblPos val="nextTo"/>
        <c:spPr>
          <a:ln w="9525">
            <a:noFill/>
          </a:ln>
        </c:spPr>
        <c:crossAx val="327224656"/>
        <c:crosses val="autoZero"/>
        <c:crossBetween val="between"/>
      </c:valAx>
    </c:plotArea>
    <c:legend>
      <c:legendPos val="b"/>
      <c:overlay val="0"/>
    </c:legend>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Sheet1!$E$74</c:f>
              <c:strCache>
                <c:ptCount val="1"/>
                <c:pt idx="0">
                  <c:v>Pothranjenost (težina/dob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Sheet1!$F$74:$H$74</c:f>
              <c:numCache>
                <c:formatCode>General</c:formatCode>
                <c:ptCount val="3"/>
                <c:pt idx="0">
                  <c:v>5</c:v>
                </c:pt>
                <c:pt idx="1">
                  <c:v>2.5</c:v>
                </c:pt>
                <c:pt idx="2">
                  <c:v>2</c:v>
                </c:pt>
              </c:numCache>
            </c:numRef>
          </c:val>
          <c:smooth val="0"/>
        </c:ser>
        <c:ser>
          <c:idx val="1"/>
          <c:order val="1"/>
          <c:tx>
            <c:strRef>
              <c:f>Sheet1!$E$75</c:f>
              <c:strCache>
                <c:ptCount val="1"/>
                <c:pt idx="0">
                  <c:v>Zakržljalost (visina/dob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Sheet1!$F$75:$H$75</c:f>
              <c:numCache>
                <c:formatCode>General</c:formatCode>
                <c:ptCount val="3"/>
                <c:pt idx="0">
                  <c:v>13</c:v>
                </c:pt>
                <c:pt idx="1">
                  <c:v>6.9</c:v>
                </c:pt>
                <c:pt idx="2">
                  <c:v>9.9</c:v>
                </c:pt>
              </c:numCache>
            </c:numRef>
          </c:val>
          <c:smooth val="0"/>
        </c:ser>
        <c:ser>
          <c:idx val="2"/>
          <c:order val="2"/>
          <c:tx>
            <c:strRef>
              <c:f>Sheet1!$E$76</c:f>
              <c:strCache>
                <c:ptCount val="1"/>
                <c:pt idx="0">
                  <c:v>Mršavost (težina/visina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Sheet1!$F$76:$H$76</c:f>
              <c:numCache>
                <c:formatCode>General</c:formatCode>
                <c:ptCount val="3"/>
                <c:pt idx="0">
                  <c:v>8</c:v>
                </c:pt>
                <c:pt idx="1">
                  <c:v>3.6</c:v>
                </c:pt>
                <c:pt idx="2">
                  <c:v>2.6</c:v>
                </c:pt>
              </c:numCache>
            </c:numRef>
          </c:val>
          <c:smooth val="0"/>
        </c:ser>
        <c:dLbls>
          <c:showLegendKey val="0"/>
          <c:showVal val="1"/>
          <c:showCatName val="0"/>
          <c:showSerName val="0"/>
          <c:showPercent val="0"/>
          <c:showBubbleSize val="0"/>
        </c:dLbls>
        <c:smooth val="0"/>
        <c:axId val="327217600"/>
        <c:axId val="327220344"/>
      </c:lineChart>
      <c:catAx>
        <c:axId val="327217600"/>
        <c:scaling>
          <c:orientation val="minMax"/>
        </c:scaling>
        <c:delete val="0"/>
        <c:axPos val="b"/>
        <c:numFmt formatCode="General" sourceLinked="0"/>
        <c:majorTickMark val="none"/>
        <c:minorTickMark val="none"/>
        <c:tickLblPos val="nextTo"/>
        <c:crossAx val="327220344"/>
        <c:crosses val="autoZero"/>
        <c:auto val="1"/>
        <c:lblAlgn val="ctr"/>
        <c:lblOffset val="100"/>
        <c:noMultiLvlLbl val="0"/>
      </c:catAx>
      <c:valAx>
        <c:axId val="327220344"/>
        <c:scaling>
          <c:orientation val="minMax"/>
        </c:scaling>
        <c:delete val="1"/>
        <c:axPos val="l"/>
        <c:numFmt formatCode="General" sourceLinked="1"/>
        <c:majorTickMark val="none"/>
        <c:minorTickMark val="none"/>
        <c:tickLblPos val="none"/>
        <c:crossAx val="327217600"/>
        <c:crosses val="autoZero"/>
        <c:crossBetween val="between"/>
      </c:valAx>
    </c:plotArea>
    <c:legend>
      <c:legendPos val="t"/>
      <c:overlay val="0"/>
    </c:legend>
    <c:plotVisOnly val="1"/>
    <c:dispBlanksAs val="gap"/>
    <c:showDLblsOverMax val="0"/>
  </c:chart>
  <c:spPr>
    <a:ln w="19050">
      <a:solidFill>
        <a:schemeClr val="tx1"/>
      </a:solidFill>
    </a:ln>
  </c:spPr>
  <c:txPr>
    <a:bodyPr/>
    <a:lstStyle/>
    <a:p>
      <a:pPr>
        <a:defRPr sz="1100"/>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2006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Isključivo dojenje  - &lt; 6 mjeseci</c:v>
                </c:pt>
                <c:pt idx="1">
                  <c:v>Kontinuirano dojenje – 12 -15 mjeseci</c:v>
                </c:pt>
                <c:pt idx="2">
                  <c:v>Kontinuirano dojenje  - 20-23 mjeseca</c:v>
                </c:pt>
              </c:strCache>
            </c:strRef>
          </c:cat>
          <c:val>
            <c:numRef>
              <c:f>Sheet1!$B$2:$B$4</c:f>
              <c:numCache>
                <c:formatCode>0%</c:formatCode>
                <c:ptCount val="3"/>
                <c:pt idx="0">
                  <c:v>0.22</c:v>
                </c:pt>
                <c:pt idx="1">
                  <c:v>0.34</c:v>
                </c:pt>
                <c:pt idx="2">
                  <c:v>0.13</c:v>
                </c:pt>
              </c:numCache>
            </c:numRef>
          </c:val>
        </c:ser>
        <c:ser>
          <c:idx val="1"/>
          <c:order val="1"/>
          <c:tx>
            <c:strRef>
              <c:f>Sheet1!$C$1</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Isključivo dojenje  - &lt; 6 mjeseci</c:v>
                </c:pt>
                <c:pt idx="1">
                  <c:v>Kontinuirano dojenje – 12 -15 mjeseci</c:v>
                </c:pt>
                <c:pt idx="2">
                  <c:v>Kontinuirano dojenje  - 20-23 mjeseca</c:v>
                </c:pt>
              </c:strCache>
            </c:strRef>
          </c:cat>
          <c:val>
            <c:numRef>
              <c:f>Sheet1!$C$2:$C$4</c:f>
              <c:numCache>
                <c:formatCode>0.00%</c:formatCode>
                <c:ptCount val="3"/>
                <c:pt idx="0">
                  <c:v>0.15100000000000008</c:v>
                </c:pt>
                <c:pt idx="1">
                  <c:v>0.13200000000000001</c:v>
                </c:pt>
                <c:pt idx="2">
                  <c:v>0.15300000000000008</c:v>
                </c:pt>
              </c:numCache>
            </c:numRef>
          </c:val>
        </c:ser>
        <c:dLbls>
          <c:showLegendKey val="0"/>
          <c:showVal val="1"/>
          <c:showCatName val="0"/>
          <c:showSerName val="0"/>
          <c:showPercent val="0"/>
          <c:showBubbleSize val="0"/>
        </c:dLbls>
        <c:gapWidth val="75"/>
        <c:axId val="327219168"/>
        <c:axId val="327223088"/>
      </c:barChart>
      <c:catAx>
        <c:axId val="327219168"/>
        <c:scaling>
          <c:orientation val="minMax"/>
        </c:scaling>
        <c:delete val="0"/>
        <c:axPos val="b"/>
        <c:numFmt formatCode="General" sourceLinked="0"/>
        <c:majorTickMark val="none"/>
        <c:minorTickMark val="none"/>
        <c:tickLblPos val="nextTo"/>
        <c:crossAx val="327223088"/>
        <c:crosses val="autoZero"/>
        <c:auto val="1"/>
        <c:lblAlgn val="ctr"/>
        <c:lblOffset val="100"/>
        <c:noMultiLvlLbl val="0"/>
      </c:catAx>
      <c:valAx>
        <c:axId val="327223088"/>
        <c:scaling>
          <c:orientation val="minMax"/>
        </c:scaling>
        <c:delete val="0"/>
        <c:axPos val="l"/>
        <c:numFmt formatCode="0%" sourceLinked="1"/>
        <c:majorTickMark val="none"/>
        <c:minorTickMark val="none"/>
        <c:tickLblPos val="nextTo"/>
        <c:crossAx val="327219168"/>
        <c:crosses val="autoZero"/>
        <c:crossBetween val="between"/>
      </c:valAx>
    </c:plotArea>
    <c:legend>
      <c:legendPos val="b"/>
      <c:overlay val="0"/>
    </c:legend>
    <c:plotVisOnly val="1"/>
    <c:dispBlanksAs val="gap"/>
    <c:showDLblsOverMax val="0"/>
  </c:chart>
  <c:spPr>
    <a:solidFill>
      <a:schemeClr val="lt1"/>
    </a:solidFill>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'Faktori rizika po zdravlje'!$B$175:$B$177</c:f>
              <c:strCache>
                <c:ptCount val="3"/>
                <c:pt idx="0">
                  <c:v>Ukupno</c:v>
                </c:pt>
                <c:pt idx="1">
                  <c:v>Žene</c:v>
                </c:pt>
                <c:pt idx="2">
                  <c:v>Muškarci</c:v>
                </c:pt>
              </c:strCache>
            </c:strRef>
          </c:cat>
          <c:val>
            <c:numRef>
              <c:f>'Faktori rizika po zdravlje'!$C$175:$C$177</c:f>
              <c:numCache>
                <c:formatCode>General</c:formatCode>
                <c:ptCount val="3"/>
                <c:pt idx="0">
                  <c:v>44.1</c:v>
                </c:pt>
                <c:pt idx="1">
                  <c:v>31.6</c:v>
                </c:pt>
                <c:pt idx="2">
                  <c:v>56.3</c:v>
                </c:pt>
              </c:numCache>
            </c:numRef>
          </c:val>
        </c:ser>
        <c:dLbls>
          <c:showLegendKey val="0"/>
          <c:showVal val="0"/>
          <c:showCatName val="0"/>
          <c:showSerName val="0"/>
          <c:showPercent val="0"/>
          <c:showBubbleSize val="0"/>
        </c:dLbls>
        <c:gapWidth val="219"/>
        <c:overlap val="-27"/>
        <c:axId val="327220736"/>
        <c:axId val="327221520"/>
      </c:barChart>
      <c:catAx>
        <c:axId val="32722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221520"/>
        <c:crosses val="autoZero"/>
        <c:auto val="1"/>
        <c:lblAlgn val="ctr"/>
        <c:lblOffset val="100"/>
        <c:noMultiLvlLbl val="0"/>
      </c:catAx>
      <c:valAx>
        <c:axId val="32722152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722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alpha val="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8659951881014891"/>
          <c:y val="7.407407407407407E-2"/>
          <c:w val="0.76301859142607265"/>
          <c:h val="0.79869969378827843"/>
        </c:manualLayout>
      </c:layout>
      <c:bar3DChart>
        <c:barDir val="bar"/>
        <c:grouping val="clustered"/>
        <c:varyColors val="0"/>
        <c:ser>
          <c:idx val="0"/>
          <c:order val="0"/>
          <c:invertIfNegative val="0"/>
          <c:dLbls>
            <c:dLbl>
              <c:idx val="0"/>
              <c:layout>
                <c:manualLayout>
                  <c:x val="-0.30012649767851574"/>
                  <c:y val="0"/>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37380550871276053"/>
                  <c:y val="-1.3888888888888914E-2"/>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35528391160211231"/>
                  <c:y val="-9.2592592592592865E-3"/>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38531015832127274"/>
                  <c:y val="-9.2592592592593264E-3"/>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40317120562290598"/>
                  <c:y val="-1.3888888888888914E-2"/>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35886727481155956"/>
                  <c:y val="-1.3888888888888914E-2"/>
                </c:manualLayout>
              </c:layout>
              <c:spPr/>
              <c:txPr>
                <a:bodyPr anchor="ctr" anchorCtr="0"/>
                <a:lstStyle/>
                <a:p>
                  <a:pPr>
                    <a:defRPr baseline="0">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Sheet2!$K$15:$K$20</c:f>
              <c:strCache>
                <c:ptCount val="6"/>
                <c:pt idx="0">
                  <c:v>EU</c:v>
                </c:pt>
                <c:pt idx="1">
                  <c:v>Hrvatska</c:v>
                </c:pt>
                <c:pt idx="2">
                  <c:v>F BiH</c:v>
                </c:pt>
                <c:pt idx="3">
                  <c:v>Mađarska</c:v>
                </c:pt>
                <c:pt idx="4">
                  <c:v>Rumunija</c:v>
                </c:pt>
                <c:pt idx="5">
                  <c:v>Bugarska</c:v>
                </c:pt>
              </c:strCache>
            </c:strRef>
          </c:cat>
          <c:val>
            <c:numRef>
              <c:f>Sheet2!$L$15:$L$20</c:f>
              <c:numCache>
                <c:formatCode>General</c:formatCode>
                <c:ptCount val="6"/>
                <c:pt idx="0">
                  <c:v>575.5</c:v>
                </c:pt>
                <c:pt idx="1">
                  <c:v>721.47</c:v>
                </c:pt>
                <c:pt idx="2">
                  <c:v>762.2</c:v>
                </c:pt>
                <c:pt idx="3">
                  <c:v>840.71</c:v>
                </c:pt>
                <c:pt idx="4">
                  <c:v>901.31</c:v>
                </c:pt>
                <c:pt idx="5">
                  <c:v>930.45999999999947</c:v>
                </c:pt>
              </c:numCache>
            </c:numRef>
          </c:val>
        </c:ser>
        <c:dLbls>
          <c:showLegendKey val="0"/>
          <c:showVal val="0"/>
          <c:showCatName val="0"/>
          <c:showSerName val="0"/>
          <c:showPercent val="0"/>
          <c:showBubbleSize val="0"/>
        </c:dLbls>
        <c:gapWidth val="150"/>
        <c:shape val="box"/>
        <c:axId val="262613352"/>
        <c:axId val="262614136"/>
        <c:axId val="0"/>
      </c:bar3DChart>
      <c:catAx>
        <c:axId val="262613352"/>
        <c:scaling>
          <c:orientation val="minMax"/>
        </c:scaling>
        <c:delete val="0"/>
        <c:axPos val="l"/>
        <c:numFmt formatCode="General" sourceLinked="0"/>
        <c:majorTickMark val="out"/>
        <c:minorTickMark val="none"/>
        <c:tickLblPos val="nextTo"/>
        <c:crossAx val="262614136"/>
        <c:crosses val="autoZero"/>
        <c:auto val="1"/>
        <c:lblAlgn val="ctr"/>
        <c:lblOffset val="100"/>
        <c:noMultiLvlLbl val="0"/>
      </c:catAx>
      <c:valAx>
        <c:axId val="262614136"/>
        <c:scaling>
          <c:orientation val="minMax"/>
        </c:scaling>
        <c:delete val="0"/>
        <c:axPos val="b"/>
        <c:numFmt formatCode="General" sourceLinked="1"/>
        <c:majorTickMark val="out"/>
        <c:minorTickMark val="none"/>
        <c:tickLblPos val="nextTo"/>
        <c:crossAx val="262613352"/>
        <c:crosses val="autoZero"/>
        <c:crossBetween val="between"/>
      </c:valAx>
    </c:plotArea>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Pt>
            <c:idx val="0"/>
            <c:invertIfNegative val="0"/>
            <c:bubble3D val="0"/>
            <c:spPr>
              <a:solidFill>
                <a:srgbClr val="00206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'[1]Stalni pušači'!$B$29:$B$41</c:f>
              <c:strCache>
                <c:ptCount val="13"/>
                <c:pt idx="0">
                  <c:v>FBIH</c:v>
                </c:pt>
                <c:pt idx="1">
                  <c:v>Urbano</c:v>
                </c:pt>
                <c:pt idx="2">
                  <c:v>Ruralno</c:v>
                </c:pt>
                <c:pt idx="4">
                  <c:v>Žene</c:v>
                </c:pt>
                <c:pt idx="5">
                  <c:v>Muškarci</c:v>
                </c:pt>
                <c:pt idx="7">
                  <c:v>18-24</c:v>
                </c:pt>
                <c:pt idx="8">
                  <c:v>25-34</c:v>
                </c:pt>
                <c:pt idx="9">
                  <c:v>35-44</c:v>
                </c:pt>
                <c:pt idx="10">
                  <c:v>45-54</c:v>
                </c:pt>
                <c:pt idx="11">
                  <c:v>55-64</c:v>
                </c:pt>
                <c:pt idx="12">
                  <c:v>65+</c:v>
                </c:pt>
              </c:strCache>
            </c:strRef>
          </c:cat>
          <c:val>
            <c:numRef>
              <c:f>'[1]Stalni pušači'!$C$29:$C$41</c:f>
              <c:numCache>
                <c:formatCode>General</c:formatCode>
                <c:ptCount val="13"/>
                <c:pt idx="0">
                  <c:v>16.899999999999999</c:v>
                </c:pt>
                <c:pt idx="1">
                  <c:v>16.8</c:v>
                </c:pt>
                <c:pt idx="2">
                  <c:v>16.899999999999999</c:v>
                </c:pt>
                <c:pt idx="4">
                  <c:v>14.8</c:v>
                </c:pt>
                <c:pt idx="5">
                  <c:v>18.2</c:v>
                </c:pt>
                <c:pt idx="7">
                  <c:v>14.9</c:v>
                </c:pt>
                <c:pt idx="8">
                  <c:v>17.3</c:v>
                </c:pt>
                <c:pt idx="9">
                  <c:v>17.3</c:v>
                </c:pt>
                <c:pt idx="10">
                  <c:v>17.8</c:v>
                </c:pt>
                <c:pt idx="11">
                  <c:v>17.100000000000001</c:v>
                </c:pt>
                <c:pt idx="12">
                  <c:v>12.8</c:v>
                </c:pt>
              </c:numCache>
            </c:numRef>
          </c:val>
        </c:ser>
        <c:dLbls>
          <c:showLegendKey val="0"/>
          <c:showVal val="0"/>
          <c:showCatName val="0"/>
          <c:showSerName val="0"/>
          <c:showPercent val="0"/>
          <c:showBubbleSize val="0"/>
        </c:dLbls>
        <c:gapWidth val="150"/>
        <c:axId val="328526608"/>
        <c:axId val="328529744"/>
      </c:barChart>
      <c:catAx>
        <c:axId val="328526608"/>
        <c:scaling>
          <c:orientation val="minMax"/>
        </c:scaling>
        <c:delete val="0"/>
        <c:axPos val="b"/>
        <c:numFmt formatCode="General" sourceLinked="0"/>
        <c:majorTickMark val="out"/>
        <c:minorTickMark val="none"/>
        <c:tickLblPos val="nextTo"/>
        <c:txPr>
          <a:bodyPr/>
          <a:lstStyle/>
          <a:p>
            <a:pPr>
              <a:defRPr lang="hr-BA" sz="900"/>
            </a:pPr>
            <a:endParaRPr lang="en-US"/>
          </a:p>
        </c:txPr>
        <c:crossAx val="328529744"/>
        <c:crosses val="autoZero"/>
        <c:auto val="1"/>
        <c:lblAlgn val="ctr"/>
        <c:lblOffset val="100"/>
        <c:noMultiLvlLbl val="0"/>
      </c:catAx>
      <c:valAx>
        <c:axId val="328529744"/>
        <c:scaling>
          <c:orientation val="minMax"/>
        </c:scaling>
        <c:delete val="0"/>
        <c:axPos val="l"/>
        <c:numFmt formatCode="General" sourceLinked="1"/>
        <c:majorTickMark val="out"/>
        <c:minorTickMark val="none"/>
        <c:tickLblPos val="nextTo"/>
        <c:txPr>
          <a:bodyPr/>
          <a:lstStyle/>
          <a:p>
            <a:pPr>
              <a:defRPr lang="hr-BA"/>
            </a:pPr>
            <a:endParaRPr lang="en-US"/>
          </a:p>
        </c:txPr>
        <c:crossAx val="328526608"/>
        <c:crosses val="autoZero"/>
        <c:crossBetween val="between"/>
      </c:valAx>
    </c:plotArea>
    <c:plotVisOnly val="1"/>
    <c:dispBlanksAs val="gap"/>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dLbl>
              <c:idx val="0"/>
              <c:tx>
                <c:rich>
                  <a:bodyPr/>
                  <a:lstStyle/>
                  <a:p>
                    <a:r>
                      <a:rPr lang="en-US"/>
                      <a:t>54,1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hr-B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'[24]Stalni pušači'!$B$48:$B$50</c:f>
              <c:strCache>
                <c:ptCount val="3"/>
                <c:pt idx="0">
                  <c:v>U kući</c:v>
                </c:pt>
                <c:pt idx="1">
                  <c:v>Radna mjesta</c:v>
                </c:pt>
                <c:pt idx="2">
                  <c:v>Javna mjesta</c:v>
                </c:pt>
              </c:strCache>
            </c:strRef>
          </c:cat>
          <c:val>
            <c:numRef>
              <c:f>'[24]Stalni pušači'!$C$48:$C$50</c:f>
              <c:numCache>
                <c:formatCode>General</c:formatCode>
                <c:ptCount val="3"/>
                <c:pt idx="0">
                  <c:v>54.4</c:v>
                </c:pt>
                <c:pt idx="1">
                  <c:v>44.4</c:v>
                </c:pt>
                <c:pt idx="2">
                  <c:v>52.7</c:v>
                </c:pt>
              </c:numCache>
            </c:numRef>
          </c:val>
        </c:ser>
        <c:dLbls>
          <c:showLegendKey val="0"/>
          <c:showVal val="0"/>
          <c:showCatName val="0"/>
          <c:showSerName val="0"/>
          <c:showPercent val="0"/>
          <c:showBubbleSize val="0"/>
        </c:dLbls>
        <c:gapWidth val="150"/>
        <c:axId val="328530136"/>
        <c:axId val="328530920"/>
      </c:barChart>
      <c:catAx>
        <c:axId val="328530136"/>
        <c:scaling>
          <c:orientation val="minMax"/>
        </c:scaling>
        <c:delete val="0"/>
        <c:axPos val="b"/>
        <c:numFmt formatCode="General" sourceLinked="0"/>
        <c:majorTickMark val="out"/>
        <c:minorTickMark val="none"/>
        <c:tickLblPos val="nextTo"/>
        <c:txPr>
          <a:bodyPr/>
          <a:lstStyle/>
          <a:p>
            <a:pPr>
              <a:defRPr lang="hr-BA"/>
            </a:pPr>
            <a:endParaRPr lang="en-US"/>
          </a:p>
        </c:txPr>
        <c:crossAx val="328530920"/>
        <c:crosses val="autoZero"/>
        <c:auto val="1"/>
        <c:lblAlgn val="ctr"/>
        <c:lblOffset val="100"/>
        <c:noMultiLvlLbl val="0"/>
      </c:catAx>
      <c:valAx>
        <c:axId val="328530920"/>
        <c:scaling>
          <c:orientation val="minMax"/>
        </c:scaling>
        <c:delete val="0"/>
        <c:axPos val="l"/>
        <c:numFmt formatCode="General" sourceLinked="1"/>
        <c:majorTickMark val="out"/>
        <c:minorTickMark val="none"/>
        <c:tickLblPos val="nextTo"/>
        <c:txPr>
          <a:bodyPr/>
          <a:lstStyle/>
          <a:p>
            <a:pPr>
              <a:defRPr lang="hr-BA"/>
            </a:pPr>
            <a:endParaRPr lang="en-US"/>
          </a:p>
        </c:txPr>
        <c:crossAx val="328530136"/>
        <c:crosses val="autoZero"/>
        <c:crossBetween val="between"/>
      </c:valAx>
    </c:plotArea>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Sheet1!$B$7</c:f>
              <c:strCache>
                <c:ptCount val="1"/>
                <c:pt idx="0">
                  <c:v>Maligne neoplazme ( C00-C96)</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Sheet1!$C$6:$H$6</c:f>
              <c:numCache>
                <c:formatCode>General</c:formatCode>
                <c:ptCount val="6"/>
                <c:pt idx="0">
                  <c:v>2010</c:v>
                </c:pt>
                <c:pt idx="1">
                  <c:v>2011</c:v>
                </c:pt>
                <c:pt idx="2">
                  <c:v>2012</c:v>
                </c:pt>
                <c:pt idx="3">
                  <c:v>2013</c:v>
                </c:pt>
                <c:pt idx="4">
                  <c:v>2014</c:v>
                </c:pt>
                <c:pt idx="5">
                  <c:v>2015</c:v>
                </c:pt>
              </c:numCache>
            </c:numRef>
          </c:cat>
          <c:val>
            <c:numRef>
              <c:f>Sheet1!$C$7:$H$7</c:f>
              <c:numCache>
                <c:formatCode>General</c:formatCode>
                <c:ptCount val="6"/>
                <c:pt idx="0">
                  <c:v>52</c:v>
                </c:pt>
                <c:pt idx="1">
                  <c:v>51</c:v>
                </c:pt>
                <c:pt idx="2">
                  <c:v>56</c:v>
                </c:pt>
                <c:pt idx="3">
                  <c:v>63.7</c:v>
                </c:pt>
                <c:pt idx="4">
                  <c:v>67.2</c:v>
                </c:pt>
                <c:pt idx="5">
                  <c:v>62.1</c:v>
                </c:pt>
              </c:numCache>
            </c:numRef>
          </c:val>
          <c:smooth val="0"/>
        </c:ser>
        <c:ser>
          <c:idx val="1"/>
          <c:order val="1"/>
          <c:tx>
            <c:strRef>
              <c:f>Sheet1!$B$8</c:f>
              <c:strCache>
                <c:ptCount val="1"/>
                <c:pt idx="0">
                  <c:v>Maligne  neoplazme bronha i pluća ( C34)</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Sheet1!$C$6:$H$6</c:f>
              <c:numCache>
                <c:formatCode>General</c:formatCode>
                <c:ptCount val="6"/>
                <c:pt idx="0">
                  <c:v>2010</c:v>
                </c:pt>
                <c:pt idx="1">
                  <c:v>2011</c:v>
                </c:pt>
                <c:pt idx="2">
                  <c:v>2012</c:v>
                </c:pt>
                <c:pt idx="3">
                  <c:v>2013</c:v>
                </c:pt>
                <c:pt idx="4">
                  <c:v>2014</c:v>
                </c:pt>
                <c:pt idx="5">
                  <c:v>2015</c:v>
                </c:pt>
              </c:numCache>
            </c:numRef>
          </c:cat>
          <c:val>
            <c:numRef>
              <c:f>Sheet1!$C$8:$H$8</c:f>
              <c:numCache>
                <c:formatCode>General</c:formatCode>
                <c:ptCount val="6"/>
                <c:pt idx="0">
                  <c:v>4.8</c:v>
                </c:pt>
                <c:pt idx="1">
                  <c:v>4.8</c:v>
                </c:pt>
                <c:pt idx="2">
                  <c:v>5.7</c:v>
                </c:pt>
                <c:pt idx="3">
                  <c:v>6</c:v>
                </c:pt>
                <c:pt idx="4">
                  <c:v>6.9</c:v>
                </c:pt>
                <c:pt idx="5">
                  <c:v>5.0999999999999996</c:v>
                </c:pt>
              </c:numCache>
            </c:numRef>
          </c:val>
          <c:smooth val="0"/>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28531312"/>
        <c:axId val="328521512"/>
      </c:lineChart>
      <c:catAx>
        <c:axId val="3285313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28521512"/>
        <c:crosses val="autoZero"/>
        <c:auto val="1"/>
        <c:lblAlgn val="ctr"/>
        <c:lblOffset val="100"/>
        <c:noMultiLvlLbl val="0"/>
      </c:catAx>
      <c:valAx>
        <c:axId val="3285215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2853131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Sheet1!$H$84:$H$90</c:f>
              <c:strCache>
                <c:ptCount val="7"/>
                <c:pt idx="0">
                  <c:v>15-19</c:v>
                </c:pt>
                <c:pt idx="1">
                  <c:v>20-24</c:v>
                </c:pt>
                <c:pt idx="2">
                  <c:v>25-29</c:v>
                </c:pt>
                <c:pt idx="3">
                  <c:v>30-34</c:v>
                </c:pt>
                <c:pt idx="4">
                  <c:v>35-39</c:v>
                </c:pt>
                <c:pt idx="5">
                  <c:v>40-44</c:v>
                </c:pt>
                <c:pt idx="6">
                  <c:v>45-49</c:v>
                </c:pt>
              </c:strCache>
            </c:strRef>
          </c:cat>
          <c:val>
            <c:numRef>
              <c:f>Sheet1!$I$84:$I$90</c:f>
              <c:numCache>
                <c:formatCode>####.0</c:formatCode>
                <c:ptCount val="7"/>
                <c:pt idx="0">
                  <c:v>16.880311318072724</c:v>
                </c:pt>
                <c:pt idx="1">
                  <c:v>34.911821551006675</c:v>
                </c:pt>
                <c:pt idx="2">
                  <c:v>35.039651006413976</c:v>
                </c:pt>
                <c:pt idx="3">
                  <c:v>27.526659064990685</c:v>
                </c:pt>
                <c:pt idx="4">
                  <c:v>28.195495962673544</c:v>
                </c:pt>
                <c:pt idx="5">
                  <c:v>27.423335358408654</c:v>
                </c:pt>
                <c:pt idx="6">
                  <c:v>30.434048774788199</c:v>
                </c:pt>
              </c:numCache>
            </c:numRef>
          </c:val>
        </c:ser>
        <c:dLbls>
          <c:showLegendKey val="0"/>
          <c:showVal val="0"/>
          <c:showCatName val="0"/>
          <c:showSerName val="0"/>
          <c:showPercent val="0"/>
          <c:showBubbleSize val="0"/>
        </c:dLbls>
        <c:gapWidth val="150"/>
        <c:axId val="328521904"/>
        <c:axId val="328522688"/>
      </c:barChart>
      <c:catAx>
        <c:axId val="328521904"/>
        <c:scaling>
          <c:orientation val="minMax"/>
        </c:scaling>
        <c:delete val="0"/>
        <c:axPos val="b"/>
        <c:numFmt formatCode="General" sourceLinked="0"/>
        <c:majorTickMark val="out"/>
        <c:minorTickMark val="none"/>
        <c:tickLblPos val="nextTo"/>
        <c:txPr>
          <a:bodyPr/>
          <a:lstStyle/>
          <a:p>
            <a:pPr>
              <a:defRPr lang="bs-Latn-BA"/>
            </a:pPr>
            <a:endParaRPr lang="en-US"/>
          </a:p>
        </c:txPr>
        <c:crossAx val="328522688"/>
        <c:crosses val="autoZero"/>
        <c:auto val="1"/>
        <c:lblAlgn val="ctr"/>
        <c:lblOffset val="100"/>
        <c:noMultiLvlLbl val="0"/>
      </c:catAx>
      <c:valAx>
        <c:axId val="328522688"/>
        <c:scaling>
          <c:orientation val="minMax"/>
        </c:scaling>
        <c:delete val="0"/>
        <c:axPos val="l"/>
        <c:majorGridlines/>
        <c:numFmt formatCode="####.0" sourceLinked="1"/>
        <c:majorTickMark val="out"/>
        <c:minorTickMark val="none"/>
        <c:tickLblPos val="nextTo"/>
        <c:txPr>
          <a:bodyPr/>
          <a:lstStyle/>
          <a:p>
            <a:pPr>
              <a:defRPr lang="bs-Latn-BA"/>
            </a:pPr>
            <a:endParaRPr lang="en-US"/>
          </a:p>
        </c:txPr>
        <c:crossAx val="328521904"/>
        <c:crosses val="autoZero"/>
        <c:crossBetween val="between"/>
      </c:valAx>
    </c:plotArea>
    <c:plotVisOnly val="1"/>
    <c:dispBlanksAs val="gap"/>
    <c:showDLblsOverMax val="0"/>
  </c:chart>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Pt>
            <c:idx val="0"/>
            <c:invertIfNegative val="0"/>
            <c:bubble3D val="0"/>
            <c:spPr>
              <a:solidFill>
                <a:srgbClr val="00206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'[24]Stalni pušači'!$B$105:$B$117</c:f>
              <c:strCache>
                <c:ptCount val="13"/>
                <c:pt idx="0">
                  <c:v>FBIH</c:v>
                </c:pt>
                <c:pt idx="1">
                  <c:v>Urbano</c:v>
                </c:pt>
                <c:pt idx="2">
                  <c:v>Ruralno</c:v>
                </c:pt>
                <c:pt idx="4">
                  <c:v>Žene</c:v>
                </c:pt>
                <c:pt idx="5">
                  <c:v>Muškarci</c:v>
                </c:pt>
                <c:pt idx="7">
                  <c:v>18-24</c:v>
                </c:pt>
                <c:pt idx="8">
                  <c:v>25-34</c:v>
                </c:pt>
                <c:pt idx="9">
                  <c:v>35-44</c:v>
                </c:pt>
                <c:pt idx="10">
                  <c:v>45-54</c:v>
                </c:pt>
                <c:pt idx="11">
                  <c:v>55-64</c:v>
                </c:pt>
                <c:pt idx="12">
                  <c:v>65+</c:v>
                </c:pt>
              </c:strCache>
            </c:strRef>
          </c:cat>
          <c:val>
            <c:numRef>
              <c:f>'[24]Stalni pušači'!$C$105:$C$117</c:f>
              <c:numCache>
                <c:formatCode>General</c:formatCode>
                <c:ptCount val="13"/>
                <c:pt idx="0">
                  <c:v>28.8</c:v>
                </c:pt>
                <c:pt idx="1">
                  <c:v>29.7</c:v>
                </c:pt>
                <c:pt idx="2">
                  <c:v>28.1</c:v>
                </c:pt>
                <c:pt idx="4">
                  <c:v>11</c:v>
                </c:pt>
                <c:pt idx="5">
                  <c:v>46.1</c:v>
                </c:pt>
                <c:pt idx="7">
                  <c:v>31.1</c:v>
                </c:pt>
                <c:pt idx="8">
                  <c:v>33.700000000000003</c:v>
                </c:pt>
                <c:pt idx="9">
                  <c:v>30.9</c:v>
                </c:pt>
                <c:pt idx="10">
                  <c:v>28.4</c:v>
                </c:pt>
                <c:pt idx="11">
                  <c:v>27.8</c:v>
                </c:pt>
                <c:pt idx="12">
                  <c:v>20.5</c:v>
                </c:pt>
              </c:numCache>
            </c:numRef>
          </c:val>
        </c:ser>
        <c:dLbls>
          <c:showLegendKey val="0"/>
          <c:showVal val="0"/>
          <c:showCatName val="0"/>
          <c:showSerName val="0"/>
          <c:showPercent val="0"/>
          <c:showBubbleSize val="0"/>
        </c:dLbls>
        <c:gapWidth val="150"/>
        <c:axId val="328531704"/>
        <c:axId val="328532096"/>
      </c:barChart>
      <c:catAx>
        <c:axId val="328531704"/>
        <c:scaling>
          <c:orientation val="minMax"/>
        </c:scaling>
        <c:delete val="0"/>
        <c:axPos val="b"/>
        <c:numFmt formatCode="General" sourceLinked="0"/>
        <c:majorTickMark val="out"/>
        <c:minorTickMark val="none"/>
        <c:tickLblPos val="nextTo"/>
        <c:txPr>
          <a:bodyPr rot="-5400000" vert="horz"/>
          <a:lstStyle/>
          <a:p>
            <a:pPr>
              <a:defRPr lang="hr-BA"/>
            </a:pPr>
            <a:endParaRPr lang="en-US"/>
          </a:p>
        </c:txPr>
        <c:crossAx val="328532096"/>
        <c:crosses val="autoZero"/>
        <c:auto val="1"/>
        <c:lblAlgn val="ctr"/>
        <c:lblOffset val="100"/>
        <c:noMultiLvlLbl val="0"/>
      </c:catAx>
      <c:valAx>
        <c:axId val="328532096"/>
        <c:scaling>
          <c:orientation val="minMax"/>
        </c:scaling>
        <c:delete val="0"/>
        <c:axPos val="l"/>
        <c:numFmt formatCode="General" sourceLinked="1"/>
        <c:majorTickMark val="out"/>
        <c:minorTickMark val="none"/>
        <c:tickLblPos val="nextTo"/>
        <c:txPr>
          <a:bodyPr/>
          <a:lstStyle/>
          <a:p>
            <a:pPr>
              <a:defRPr lang="hr-BA"/>
            </a:pPr>
            <a:endParaRPr lang="en-US"/>
          </a:p>
        </c:txPr>
        <c:crossAx val="328531704"/>
        <c:crosses val="autoZero"/>
        <c:crossBetween val="between"/>
      </c:valAx>
    </c:plotArea>
    <c:plotVisOnly val="1"/>
    <c:dispBlanksAs val="gap"/>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Sheet3!$B$80</c:f>
              <c:strCache>
                <c:ptCount val="1"/>
                <c:pt idx="0">
                  <c:v>Da </c:v>
                </c:pt>
              </c:strCache>
            </c:strRef>
          </c:tx>
          <c:invertIfNegative val="0"/>
          <c:cat>
            <c:strRef>
              <c:f>Sheet3!$C$79:$M$79</c:f>
              <c:strCache>
                <c:ptCount val="11"/>
                <c:pt idx="0">
                  <c:v>Ukupno</c:v>
                </c:pt>
                <c:pt idx="1">
                  <c:v>muskarci </c:v>
                </c:pt>
                <c:pt idx="2">
                  <c:v>žene</c:v>
                </c:pt>
                <c:pt idx="4">
                  <c:v>15-19</c:v>
                </c:pt>
                <c:pt idx="5">
                  <c:v>20-24</c:v>
                </c:pt>
                <c:pt idx="6">
                  <c:v>25-29</c:v>
                </c:pt>
                <c:pt idx="7">
                  <c:v>30-34</c:v>
                </c:pt>
                <c:pt idx="8">
                  <c:v>35-39</c:v>
                </c:pt>
                <c:pt idx="9">
                  <c:v>40-44</c:v>
                </c:pt>
                <c:pt idx="10">
                  <c:v>45-49</c:v>
                </c:pt>
              </c:strCache>
            </c:strRef>
          </c:cat>
          <c:val>
            <c:numRef>
              <c:f>Sheet3!$C$80:$M$80</c:f>
              <c:numCache>
                <c:formatCode>General</c:formatCode>
                <c:ptCount val="11"/>
                <c:pt idx="0">
                  <c:v>3.8</c:v>
                </c:pt>
                <c:pt idx="1">
                  <c:v>6.8</c:v>
                </c:pt>
                <c:pt idx="2">
                  <c:v>0.9</c:v>
                </c:pt>
                <c:pt idx="4">
                  <c:v>2.4</c:v>
                </c:pt>
                <c:pt idx="5">
                  <c:v>7.7</c:v>
                </c:pt>
                <c:pt idx="6">
                  <c:v>9.3000000000000007</c:v>
                </c:pt>
                <c:pt idx="7">
                  <c:v>3.7</c:v>
                </c:pt>
                <c:pt idx="8">
                  <c:v>2</c:v>
                </c:pt>
                <c:pt idx="9">
                  <c:v>0.9</c:v>
                </c:pt>
                <c:pt idx="10">
                  <c:v>0.9</c:v>
                </c:pt>
              </c:numCache>
            </c:numRef>
          </c:val>
        </c:ser>
        <c:dLbls>
          <c:showLegendKey val="0"/>
          <c:showVal val="0"/>
          <c:showCatName val="0"/>
          <c:showSerName val="0"/>
          <c:showPercent val="0"/>
          <c:showBubbleSize val="0"/>
        </c:dLbls>
        <c:gapWidth val="150"/>
        <c:axId val="328519944"/>
        <c:axId val="328520728"/>
      </c:barChart>
      <c:catAx>
        <c:axId val="328519944"/>
        <c:scaling>
          <c:orientation val="minMax"/>
        </c:scaling>
        <c:delete val="0"/>
        <c:axPos val="b"/>
        <c:numFmt formatCode="General" sourceLinked="0"/>
        <c:majorTickMark val="out"/>
        <c:minorTickMark val="none"/>
        <c:tickLblPos val="nextTo"/>
        <c:txPr>
          <a:bodyPr/>
          <a:lstStyle/>
          <a:p>
            <a:pPr>
              <a:defRPr lang="bs-Latn-BA"/>
            </a:pPr>
            <a:endParaRPr lang="en-US"/>
          </a:p>
        </c:txPr>
        <c:crossAx val="328520728"/>
        <c:crosses val="autoZero"/>
        <c:auto val="1"/>
        <c:lblAlgn val="ctr"/>
        <c:lblOffset val="100"/>
        <c:noMultiLvlLbl val="0"/>
      </c:catAx>
      <c:valAx>
        <c:axId val="328520728"/>
        <c:scaling>
          <c:orientation val="minMax"/>
        </c:scaling>
        <c:delete val="0"/>
        <c:axPos val="l"/>
        <c:majorGridlines/>
        <c:numFmt formatCode="General" sourceLinked="1"/>
        <c:majorTickMark val="out"/>
        <c:minorTickMark val="none"/>
        <c:tickLblPos val="nextTo"/>
        <c:txPr>
          <a:bodyPr/>
          <a:lstStyle/>
          <a:p>
            <a:pPr>
              <a:defRPr lang="bs-Latn-BA"/>
            </a:pPr>
            <a:endParaRPr lang="en-US"/>
          </a:p>
        </c:txPr>
        <c:crossAx val="328519944"/>
        <c:crosses val="autoZero"/>
        <c:crossBetween val="between"/>
      </c:valAx>
    </c:plotArea>
    <c:plotVisOnly val="1"/>
    <c:dispBlanksAs val="gap"/>
    <c:showDLblsOverMax val="0"/>
  </c:chart>
  <c:txPr>
    <a:bodyPr/>
    <a:lstStyle/>
    <a:p>
      <a:pPr>
        <a:defRPr sz="900"/>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801468385446882E-2"/>
          <c:y val="3.9956411187795145E-2"/>
          <c:w val="0.69621376544285485"/>
          <c:h val="0.78783517479858078"/>
        </c:manualLayout>
      </c:layout>
      <c:barChart>
        <c:barDir val="col"/>
        <c:grouping val="clustered"/>
        <c:varyColors val="0"/>
        <c:ser>
          <c:idx val="0"/>
          <c:order val="0"/>
          <c:tx>
            <c:strRef>
              <c:f>Sheet3!$B$101</c:f>
              <c:strCache>
                <c:ptCount val="1"/>
                <c:pt idx="0">
                  <c:v>kanabis (marihuanu i / ili hašiš)</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Sheet3!$C$101:$L$101</c:f>
              <c:numCache>
                <c:formatCode>General</c:formatCode>
                <c:ptCount val="10"/>
                <c:pt idx="0">
                  <c:v>38.200000000000003</c:v>
                </c:pt>
                <c:pt idx="1">
                  <c:v>38.800000000000004</c:v>
                </c:pt>
                <c:pt idx="2">
                  <c:v>33.6</c:v>
                </c:pt>
                <c:pt idx="3">
                  <c:v>71.3</c:v>
                </c:pt>
                <c:pt idx="4">
                  <c:v>47.7</c:v>
                </c:pt>
                <c:pt idx="5">
                  <c:v>37.9</c:v>
                </c:pt>
                <c:pt idx="6">
                  <c:v>25.1</c:v>
                </c:pt>
                <c:pt idx="7">
                  <c:v>1.6</c:v>
                </c:pt>
                <c:pt idx="8">
                  <c:v>11.5</c:v>
                </c:pt>
                <c:pt idx="9">
                  <c:v>0</c:v>
                </c:pt>
              </c:numCache>
            </c:numRef>
          </c:val>
        </c:ser>
        <c:ser>
          <c:idx val="1"/>
          <c:order val="1"/>
          <c:tx>
            <c:strRef>
              <c:f>Sheet3!$B$102</c:f>
              <c:strCache>
                <c:ptCount val="1"/>
                <c:pt idx="0">
                  <c:v>ekstazi</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Sheet3!$C$102:$L$102</c:f>
              <c:numCache>
                <c:formatCode>General</c:formatCode>
                <c:ptCount val="10"/>
                <c:pt idx="0">
                  <c:v>0.9</c:v>
                </c:pt>
                <c:pt idx="1">
                  <c:v>1</c:v>
                </c:pt>
                <c:pt idx="2">
                  <c:v>0</c:v>
                </c:pt>
                <c:pt idx="3">
                  <c:v>0</c:v>
                </c:pt>
                <c:pt idx="4">
                  <c:v>0</c:v>
                </c:pt>
                <c:pt idx="5">
                  <c:v>3</c:v>
                </c:pt>
                <c:pt idx="6">
                  <c:v>0</c:v>
                </c:pt>
                <c:pt idx="7">
                  <c:v>0</c:v>
                </c:pt>
                <c:pt idx="8">
                  <c:v>0</c:v>
                </c:pt>
                <c:pt idx="9">
                  <c:v>0</c:v>
                </c:pt>
              </c:numCache>
            </c:numRef>
          </c:val>
        </c:ser>
        <c:ser>
          <c:idx val="2"/>
          <c:order val="2"/>
          <c:tx>
            <c:strRef>
              <c:f>Sheet3!$B$103</c:f>
              <c:strCache>
                <c:ptCount val="1"/>
                <c:pt idx="0">
                  <c:v>amfetamin i / ili metamfetamin, supstance koje su najpoznatije pod nazivom  „speed“</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Sheet3!$C$103:$L$103</c:f>
              <c:numCache>
                <c:formatCode>General</c:formatCode>
                <c:ptCount val="10"/>
                <c:pt idx="0">
                  <c:v>3.9</c:v>
                </c:pt>
                <c:pt idx="1">
                  <c:v>4.4000000000000004</c:v>
                </c:pt>
                <c:pt idx="2">
                  <c:v>0</c:v>
                </c:pt>
                <c:pt idx="3">
                  <c:v>8.8000000000000007</c:v>
                </c:pt>
                <c:pt idx="4">
                  <c:v>5</c:v>
                </c:pt>
                <c:pt idx="5">
                  <c:v>3.4</c:v>
                </c:pt>
                <c:pt idx="6">
                  <c:v>2.8</c:v>
                </c:pt>
                <c:pt idx="7">
                  <c:v>0</c:v>
                </c:pt>
                <c:pt idx="8">
                  <c:v>0</c:v>
                </c:pt>
                <c:pt idx="9">
                  <c:v>0</c:v>
                </c:pt>
              </c:numCache>
            </c:numRef>
          </c:val>
        </c:ser>
        <c:ser>
          <c:idx val="3"/>
          <c:order val="3"/>
          <c:tx>
            <c:strRef>
              <c:f>Sheet3!$B$104</c:f>
              <c:strCache>
                <c:ptCount val="1"/>
                <c:pt idx="0">
                  <c:v>kokain i / ili crack</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Sheet3!$C$104:$L$104</c:f>
              <c:numCache>
                <c:formatCode>General</c:formatCode>
                <c:ptCount val="10"/>
                <c:pt idx="0">
                  <c:v>0.2</c:v>
                </c:pt>
                <c:pt idx="1">
                  <c:v>0.1</c:v>
                </c:pt>
                <c:pt idx="2">
                  <c:v>1</c:v>
                </c:pt>
                <c:pt idx="3">
                  <c:v>0</c:v>
                </c:pt>
                <c:pt idx="4">
                  <c:v>0.30000000000000032</c:v>
                </c:pt>
                <c:pt idx="5">
                  <c:v>0.4</c:v>
                </c:pt>
                <c:pt idx="6">
                  <c:v>0</c:v>
                </c:pt>
                <c:pt idx="7">
                  <c:v>0</c:v>
                </c:pt>
                <c:pt idx="8">
                  <c:v>0</c:v>
                </c:pt>
                <c:pt idx="9">
                  <c:v>0</c:v>
                </c:pt>
              </c:numCache>
            </c:numRef>
          </c:val>
        </c:ser>
        <c:ser>
          <c:idx val="4"/>
          <c:order val="4"/>
          <c:tx>
            <c:strRef>
              <c:f>Sheet3!$B$105</c:f>
              <c:strCache>
                <c:ptCount val="1"/>
                <c:pt idx="0">
                  <c:v>Heroin</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Sheet3!$C$105:$L$105</c:f>
              <c:numCache>
                <c:formatCode>General</c:formatCode>
                <c:ptCount val="10"/>
                <c:pt idx="0">
                  <c:v>0</c:v>
                </c:pt>
                <c:pt idx="1">
                  <c:v>0</c:v>
                </c:pt>
                <c:pt idx="2">
                  <c:v>0</c:v>
                </c:pt>
                <c:pt idx="3">
                  <c:v>0</c:v>
                </c:pt>
                <c:pt idx="4">
                  <c:v>0</c:v>
                </c:pt>
                <c:pt idx="5">
                  <c:v>0</c:v>
                </c:pt>
                <c:pt idx="6">
                  <c:v>0</c:v>
                </c:pt>
                <c:pt idx="7">
                  <c:v>0</c:v>
                </c:pt>
                <c:pt idx="8">
                  <c:v>0</c:v>
                </c:pt>
                <c:pt idx="9">
                  <c:v>0</c:v>
                </c:pt>
              </c:numCache>
            </c:numRef>
          </c:val>
        </c:ser>
        <c:ser>
          <c:idx val="5"/>
          <c:order val="5"/>
          <c:tx>
            <c:strRef>
              <c:f>Sheet3!$B$106</c:f>
              <c:strCache>
                <c:ptCount val="1"/>
                <c:pt idx="0">
                  <c:v>LSD (trip, acid, kiselina)</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Sheet3!$C$106:$L$106</c:f>
              <c:numCache>
                <c:formatCode>General</c:formatCode>
                <c:ptCount val="10"/>
                <c:pt idx="0">
                  <c:v>0.5</c:v>
                </c:pt>
                <c:pt idx="1">
                  <c:v>0.5</c:v>
                </c:pt>
                <c:pt idx="2">
                  <c:v>1</c:v>
                </c:pt>
                <c:pt idx="3">
                  <c:v>0</c:v>
                </c:pt>
                <c:pt idx="4">
                  <c:v>0.30000000000000032</c:v>
                </c:pt>
                <c:pt idx="5">
                  <c:v>0.4</c:v>
                </c:pt>
                <c:pt idx="6">
                  <c:v>2.8</c:v>
                </c:pt>
                <c:pt idx="7">
                  <c:v>0</c:v>
                </c:pt>
                <c:pt idx="8">
                  <c:v>0</c:v>
                </c:pt>
                <c:pt idx="9">
                  <c:v>0</c:v>
                </c:pt>
              </c:numCache>
            </c:numRef>
          </c:val>
        </c:ser>
        <c:dLbls>
          <c:showLegendKey val="0"/>
          <c:showVal val="0"/>
          <c:showCatName val="0"/>
          <c:showSerName val="0"/>
          <c:showPercent val="0"/>
          <c:showBubbleSize val="0"/>
        </c:dLbls>
        <c:gapWidth val="150"/>
        <c:axId val="328522296"/>
        <c:axId val="328528176"/>
      </c:barChart>
      <c:catAx>
        <c:axId val="328522296"/>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28528176"/>
        <c:crosses val="autoZero"/>
        <c:auto val="1"/>
        <c:lblAlgn val="ctr"/>
        <c:lblOffset val="100"/>
        <c:noMultiLvlLbl val="0"/>
      </c:catAx>
      <c:valAx>
        <c:axId val="328528176"/>
        <c:scaling>
          <c:orientation val="minMax"/>
        </c:scaling>
        <c:delete val="0"/>
        <c:axPos val="l"/>
        <c:numFmt formatCode="General" sourceLinked="1"/>
        <c:majorTickMark val="out"/>
        <c:minorTickMark val="none"/>
        <c:tickLblPos val="nextTo"/>
        <c:crossAx val="328522296"/>
        <c:crosses val="autoZero"/>
        <c:crossBetween val="between"/>
      </c:valAx>
    </c:plotArea>
    <c:legend>
      <c:legendPos val="r"/>
      <c:layout>
        <c:manualLayout>
          <c:xMode val="edge"/>
          <c:yMode val="edge"/>
          <c:x val="0.72267637848925481"/>
          <c:y val="2.7700449657533269E-2"/>
          <c:w val="0.26369493956339718"/>
          <c:h val="0.95585903324584431"/>
        </c:manualLayout>
      </c:layout>
      <c:overlay val="0"/>
      <c:txPr>
        <a:bodyPr/>
        <a:lstStyle/>
        <a:p>
          <a:pPr>
            <a:defRPr sz="1000"/>
          </a:pPr>
          <a:endParaRPr lang="en-US"/>
        </a:p>
      </c:txPr>
    </c:legend>
    <c:plotVisOnly val="1"/>
    <c:dispBlanksAs val="gap"/>
    <c:showDLblsOverMax val="0"/>
  </c:chart>
  <c:txPr>
    <a:bodyPr/>
    <a:lstStyle/>
    <a:p>
      <a:pPr>
        <a:defRPr sz="1000"/>
      </a:pPr>
      <a:endParaRPr lang="en-U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609682647936E-2"/>
          <c:y val="5.8243929091115192E-2"/>
          <c:w val="0.93888888888888888"/>
          <c:h val="0.72088764946048411"/>
        </c:manualLayout>
      </c:layout>
      <c:barChart>
        <c:barDir val="col"/>
        <c:grouping val="clustered"/>
        <c:varyColors val="0"/>
        <c:ser>
          <c:idx val="0"/>
          <c:order val="0"/>
          <c:tx>
            <c:strRef>
              <c:f>'[Zdr stanje GRAFIKONI 2015.xlsx]Faktori rizika po zdravlje'!$B$378</c:f>
              <c:strCache>
                <c:ptCount val="1"/>
                <c:pt idx="0">
                  <c:v>Stopa na 100000 stanovnika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'[Zdr stanje GRAFIKONI 2015.xlsx]Faktori rizika po zdravlje'!$A$379:$A$384</c:f>
              <c:numCache>
                <c:formatCode>General</c:formatCode>
                <c:ptCount val="6"/>
                <c:pt idx="0">
                  <c:v>2010</c:v>
                </c:pt>
                <c:pt idx="1">
                  <c:v>2011</c:v>
                </c:pt>
                <c:pt idx="2">
                  <c:v>2012</c:v>
                </c:pt>
                <c:pt idx="3">
                  <c:v>2013</c:v>
                </c:pt>
                <c:pt idx="4">
                  <c:v>2014</c:v>
                </c:pt>
                <c:pt idx="5">
                  <c:v>2015</c:v>
                </c:pt>
              </c:numCache>
            </c:numRef>
          </c:cat>
          <c:val>
            <c:numRef>
              <c:f>'[Zdr stanje GRAFIKONI 2015.xlsx]Faktori rizika po zdravlje'!$B$379:$B$384</c:f>
              <c:numCache>
                <c:formatCode>General</c:formatCode>
                <c:ptCount val="6"/>
                <c:pt idx="0">
                  <c:v>28.7</c:v>
                </c:pt>
                <c:pt idx="1">
                  <c:v>29.3</c:v>
                </c:pt>
                <c:pt idx="2">
                  <c:v>27.6</c:v>
                </c:pt>
                <c:pt idx="3">
                  <c:v>19.04</c:v>
                </c:pt>
                <c:pt idx="4">
                  <c:v>18.100000000000001</c:v>
                </c:pt>
                <c:pt idx="5">
                  <c:v>17.649999999999999</c:v>
                </c:pt>
              </c:numCache>
            </c:numRef>
          </c:val>
        </c:ser>
        <c:dLbls>
          <c:showLegendKey val="0"/>
          <c:showVal val="0"/>
          <c:showCatName val="0"/>
          <c:showSerName val="0"/>
          <c:showPercent val="0"/>
          <c:showBubbleSize val="0"/>
        </c:dLbls>
        <c:gapWidth val="100"/>
        <c:overlap val="-24"/>
        <c:axId val="328525040"/>
        <c:axId val="328525824"/>
      </c:barChart>
      <c:catAx>
        <c:axId val="3285250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525824"/>
        <c:crosses val="autoZero"/>
        <c:auto val="1"/>
        <c:lblAlgn val="ctr"/>
        <c:lblOffset val="100"/>
        <c:noMultiLvlLbl val="0"/>
      </c:catAx>
      <c:valAx>
        <c:axId val="328525824"/>
        <c:scaling>
          <c:orientation val="minMax"/>
        </c:scaling>
        <c:delete val="1"/>
        <c:axPos val="l"/>
        <c:numFmt formatCode="General" sourceLinked="1"/>
        <c:majorTickMark val="none"/>
        <c:minorTickMark val="none"/>
        <c:tickLblPos val="nextTo"/>
        <c:crossAx val="32852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'Organizacija-Ukupno+PZZ+Stom'!$B$5</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'Organizacija-Ukupno+PZZ+Stom'!$C$4:$F$4</c:f>
              <c:strCache>
                <c:ptCount val="4"/>
                <c:pt idx="0">
                  <c:v>Ukupno zaposleni</c:v>
                </c:pt>
                <c:pt idx="1">
                  <c:v>Zdravstveni radnici</c:v>
                </c:pt>
                <c:pt idx="2">
                  <c:v>Zdravstveni saradnici</c:v>
                </c:pt>
                <c:pt idx="3">
                  <c:v>Administrativni i tehnički radnici</c:v>
                </c:pt>
              </c:strCache>
            </c:strRef>
          </c:cat>
          <c:val>
            <c:numRef>
              <c:f>'Organizacija-Ukupno+PZZ+Stom'!$C$5:$F$5</c:f>
              <c:numCache>
                <c:formatCode>General</c:formatCode>
                <c:ptCount val="4"/>
                <c:pt idx="0">
                  <c:v>1095</c:v>
                </c:pt>
                <c:pt idx="1">
                  <c:v>769</c:v>
                </c:pt>
                <c:pt idx="2">
                  <c:v>16</c:v>
                </c:pt>
                <c:pt idx="3">
                  <c:v>311</c:v>
                </c:pt>
              </c:numCache>
            </c:numRef>
          </c:val>
        </c:ser>
        <c:ser>
          <c:idx val="1"/>
          <c:order val="1"/>
          <c:tx>
            <c:strRef>
              <c:f>'Organizacija-Ukupno+PZZ+Stom'!$B$6</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'Organizacija-Ukupno+PZZ+Stom'!$C$4:$F$4</c:f>
              <c:strCache>
                <c:ptCount val="4"/>
                <c:pt idx="0">
                  <c:v>Ukupno zaposleni</c:v>
                </c:pt>
                <c:pt idx="1">
                  <c:v>Zdravstveni radnici</c:v>
                </c:pt>
                <c:pt idx="2">
                  <c:v>Zdravstveni saradnici</c:v>
                </c:pt>
                <c:pt idx="3">
                  <c:v>Administrativni i tehnički radnici</c:v>
                </c:pt>
              </c:strCache>
            </c:strRef>
          </c:cat>
          <c:val>
            <c:numRef>
              <c:f>'Organizacija-Ukupno+PZZ+Stom'!$C$6:$F$6</c:f>
              <c:numCache>
                <c:formatCode>General</c:formatCode>
                <c:ptCount val="4"/>
                <c:pt idx="0">
                  <c:v>1132</c:v>
                </c:pt>
                <c:pt idx="1">
                  <c:v>809</c:v>
                </c:pt>
                <c:pt idx="2">
                  <c:v>17</c:v>
                </c:pt>
                <c:pt idx="3">
                  <c:v>306</c:v>
                </c:pt>
              </c:numCache>
            </c:numRef>
          </c:val>
        </c:ser>
        <c:dLbls>
          <c:showLegendKey val="0"/>
          <c:showVal val="0"/>
          <c:showCatName val="0"/>
          <c:showSerName val="0"/>
          <c:showPercent val="0"/>
          <c:showBubbleSize val="0"/>
        </c:dLbls>
        <c:gapWidth val="150"/>
        <c:axId val="328521120"/>
        <c:axId val="328524648"/>
      </c:barChart>
      <c:catAx>
        <c:axId val="328521120"/>
        <c:scaling>
          <c:orientation val="minMax"/>
        </c:scaling>
        <c:delete val="0"/>
        <c:axPos val="b"/>
        <c:numFmt formatCode="General" sourceLinked="0"/>
        <c:majorTickMark val="out"/>
        <c:minorTickMark val="none"/>
        <c:tickLblPos val="nextTo"/>
        <c:crossAx val="328524648"/>
        <c:crosses val="autoZero"/>
        <c:auto val="1"/>
        <c:lblAlgn val="ctr"/>
        <c:lblOffset val="100"/>
        <c:noMultiLvlLbl val="0"/>
      </c:catAx>
      <c:valAx>
        <c:axId val="328524648"/>
        <c:scaling>
          <c:orientation val="minMax"/>
        </c:scaling>
        <c:delete val="1"/>
        <c:axPos val="l"/>
        <c:numFmt formatCode="General" sourceLinked="1"/>
        <c:majorTickMark val="out"/>
        <c:minorTickMark val="none"/>
        <c:tickLblPos val="none"/>
        <c:crossAx val="328521120"/>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'Organizacija-Ukupno+PZZ+Stom'!$C$19</c:f>
              <c:strCache>
                <c:ptCount val="1"/>
                <c:pt idx="0">
                  <c:v>Zdravstveni radnici</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'Organizacija-Ukupno+PZZ+Stom'!$C$20:$C$25</c:f>
              <c:numCache>
                <c:formatCode>0.0</c:formatCode>
                <c:ptCount val="6"/>
                <c:pt idx="0">
                  <c:v>70.194485667421702</c:v>
                </c:pt>
                <c:pt idx="1">
                  <c:v>70.428438373176036</c:v>
                </c:pt>
                <c:pt idx="2">
                  <c:v>70.779121383744069</c:v>
                </c:pt>
                <c:pt idx="3">
                  <c:v>71.493419797825666</c:v>
                </c:pt>
                <c:pt idx="4">
                  <c:v>72</c:v>
                </c:pt>
                <c:pt idx="5" formatCode="General">
                  <c:v>71.400000000000006</c:v>
                </c:pt>
              </c:numCache>
            </c:numRef>
          </c:val>
        </c:ser>
        <c:ser>
          <c:idx val="1"/>
          <c:order val="1"/>
          <c:tx>
            <c:strRef>
              <c:f>'Organizacija-Ukupno+PZZ+Stom'!$D$19</c:f>
              <c:strCache>
                <c:ptCount val="1"/>
                <c:pt idx="0">
                  <c:v> Zdravstveni saradnici</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'Organizacija-Ukupno+PZZ+Stom'!$D$20:$D$25</c:f>
              <c:numCache>
                <c:formatCode>0.0</c:formatCode>
                <c:ptCount val="6"/>
                <c:pt idx="0">
                  <c:v>1.4</c:v>
                </c:pt>
                <c:pt idx="1">
                  <c:v>1.2340887923005277</c:v>
                </c:pt>
                <c:pt idx="2">
                  <c:v>1.3546609520893924</c:v>
                </c:pt>
                <c:pt idx="3">
                  <c:v>1.3503719244707229</c:v>
                </c:pt>
                <c:pt idx="4">
                  <c:v>1.4</c:v>
                </c:pt>
                <c:pt idx="5" formatCode="General">
                  <c:v>1.5</c:v>
                </c:pt>
              </c:numCache>
            </c:numRef>
          </c:val>
        </c:ser>
        <c:ser>
          <c:idx val="2"/>
          <c:order val="2"/>
          <c:tx>
            <c:strRef>
              <c:f>'Organizacija-Ukupno+PZZ+Stom'!$E$19</c:f>
              <c:strCache>
                <c:ptCount val="1"/>
                <c:pt idx="0">
                  <c:v>Administrativno  i tehničko osoblje</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'Organizacija-Ukupno+PZZ+Stom'!$E$20:$E$25</c:f>
              <c:numCache>
                <c:formatCode>0.0</c:formatCode>
                <c:ptCount val="6"/>
                <c:pt idx="0">
                  <c:v>28.372256502382253</c:v>
                </c:pt>
                <c:pt idx="1">
                  <c:v>28.135672151505744</c:v>
                </c:pt>
                <c:pt idx="2">
                  <c:v>27.866217664166538</c:v>
                </c:pt>
                <c:pt idx="3">
                  <c:v>27.156208277703605</c:v>
                </c:pt>
                <c:pt idx="4">
                  <c:v>26.9</c:v>
                </c:pt>
                <c:pt idx="5">
                  <c:v>27</c:v>
                </c:pt>
              </c:numCache>
            </c:numRef>
          </c:val>
        </c:ser>
        <c:dLbls>
          <c:showLegendKey val="0"/>
          <c:showVal val="0"/>
          <c:showCatName val="0"/>
          <c:showSerName val="0"/>
          <c:showPercent val="0"/>
          <c:showBubbleSize val="0"/>
        </c:dLbls>
        <c:gapWidth val="150"/>
        <c:axId val="328526216"/>
        <c:axId val="328527000"/>
      </c:barChart>
      <c:catAx>
        <c:axId val="328526216"/>
        <c:scaling>
          <c:orientation val="minMax"/>
        </c:scaling>
        <c:delete val="0"/>
        <c:axPos val="b"/>
        <c:numFmt formatCode="General" sourceLinked="0"/>
        <c:majorTickMark val="out"/>
        <c:minorTickMark val="none"/>
        <c:tickLblPos val="nextTo"/>
        <c:crossAx val="328527000"/>
        <c:crosses val="autoZero"/>
        <c:auto val="1"/>
        <c:lblAlgn val="ctr"/>
        <c:lblOffset val="100"/>
        <c:noMultiLvlLbl val="0"/>
      </c:catAx>
      <c:valAx>
        <c:axId val="328527000"/>
        <c:scaling>
          <c:orientation val="minMax"/>
        </c:scaling>
        <c:delete val="0"/>
        <c:axPos val="l"/>
        <c:majorGridlines/>
        <c:numFmt formatCode="0.0" sourceLinked="1"/>
        <c:majorTickMark val="out"/>
        <c:minorTickMark val="none"/>
        <c:tickLblPos val="nextTo"/>
        <c:crossAx val="32852621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'[mort. svvi uzroci ER.fbiht.xlsx]Sheet1'!$B$8</c:f>
              <c:strCache>
                <c:ptCount val="1"/>
                <c:pt idx="0">
                  <c:v>FBIH</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ER.fbiht.xlsx]Sheet1'!$C$8:$H$8</c:f>
              <c:numCache>
                <c:formatCode>General</c:formatCode>
                <c:ptCount val="6"/>
                <c:pt idx="0">
                  <c:v>795</c:v>
                </c:pt>
                <c:pt idx="1">
                  <c:v>723.5</c:v>
                </c:pt>
                <c:pt idx="2">
                  <c:v>736.1</c:v>
                </c:pt>
                <c:pt idx="3">
                  <c:v>730.7</c:v>
                </c:pt>
                <c:pt idx="4">
                  <c:v>712.2</c:v>
                </c:pt>
                <c:pt idx="5">
                  <c:v>762.2</c:v>
                </c:pt>
              </c:numCache>
            </c:numRef>
          </c:val>
          <c:smooth val="0"/>
        </c:ser>
        <c:ser>
          <c:idx val="1"/>
          <c:order val="1"/>
          <c:tx>
            <c:strRef>
              <c:f>'[mort. svvi uzroci ER.fbiht.xlsx]Sheet1'!$B$9</c:f>
              <c:strCache>
                <c:ptCount val="1"/>
                <c:pt idx="0">
                  <c:v>Zemlje članice EU od 2004.</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ER.fbiht.xlsx]Sheet1'!$C$9:$H$9</c:f>
              <c:numCache>
                <c:formatCode>General</c:formatCode>
                <c:ptCount val="6"/>
                <c:pt idx="0">
                  <c:v>835.25</c:v>
                </c:pt>
                <c:pt idx="1">
                  <c:v>807.55</c:v>
                </c:pt>
                <c:pt idx="2">
                  <c:v>804.56</c:v>
                </c:pt>
              </c:numCache>
            </c:numRef>
          </c:val>
          <c:smooth val="0"/>
        </c:ser>
        <c:ser>
          <c:idx val="2"/>
          <c:order val="2"/>
          <c:tx>
            <c:strRef>
              <c:f>'[mort. svvi uzroci ER.fbiht.xlsx]Sheet1'!$B$10</c:f>
              <c:strCache>
                <c:ptCount val="1"/>
                <c:pt idx="0">
                  <c:v>Zemlje ER</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ER.fbiht.xlsx]Sheet1'!$C$10:$H$10</c:f>
              <c:numCache>
                <c:formatCode>General</c:formatCode>
                <c:ptCount val="6"/>
                <c:pt idx="0">
                  <c:v>794.37</c:v>
                </c:pt>
                <c:pt idx="1">
                  <c:v>765.21</c:v>
                </c:pt>
                <c:pt idx="2">
                  <c:v>752.26</c:v>
                </c:pt>
                <c:pt idx="3">
                  <c:v>789.1</c:v>
                </c:pt>
                <c:pt idx="4">
                  <c:v>788.1</c:v>
                </c:pt>
              </c:numCache>
            </c:numRef>
          </c:val>
          <c:smooth val="0"/>
        </c:ser>
        <c:dLbls>
          <c:showLegendKey val="0"/>
          <c:showVal val="0"/>
          <c:showCatName val="0"/>
          <c:showSerName val="0"/>
          <c:showPercent val="0"/>
          <c:showBubbleSize val="0"/>
        </c:dLbls>
        <c:marker val="1"/>
        <c:smooth val="0"/>
        <c:axId val="262611784"/>
        <c:axId val="262609040"/>
      </c:lineChart>
      <c:catAx>
        <c:axId val="262611784"/>
        <c:scaling>
          <c:orientation val="minMax"/>
        </c:scaling>
        <c:delete val="0"/>
        <c:axPos val="b"/>
        <c:numFmt formatCode="General" sourceLinked="0"/>
        <c:majorTickMark val="out"/>
        <c:minorTickMark val="none"/>
        <c:tickLblPos val="nextTo"/>
        <c:crossAx val="262609040"/>
        <c:crosses val="autoZero"/>
        <c:auto val="1"/>
        <c:lblAlgn val="ctr"/>
        <c:lblOffset val="100"/>
        <c:noMultiLvlLbl val="0"/>
      </c:catAx>
      <c:valAx>
        <c:axId val="262609040"/>
        <c:scaling>
          <c:orientation val="minMax"/>
        </c:scaling>
        <c:delete val="0"/>
        <c:axPos val="l"/>
        <c:majorGridlines/>
        <c:numFmt formatCode="General" sourceLinked="1"/>
        <c:majorTickMark val="out"/>
        <c:minorTickMark val="none"/>
        <c:tickLblPos val="nextTo"/>
        <c:crossAx val="26261178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graf.'!$C$45</c:f>
              <c:strCache>
                <c:ptCount val="1"/>
                <c:pt idx="0">
                  <c:v>Doktori medicine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graf.'!$C$46:$C$51</c:f>
              <c:numCache>
                <c:formatCode>General</c:formatCode>
                <c:ptCount val="6"/>
                <c:pt idx="0">
                  <c:v>186</c:v>
                </c:pt>
                <c:pt idx="1">
                  <c:v>190</c:v>
                </c:pt>
                <c:pt idx="2">
                  <c:v>193</c:v>
                </c:pt>
                <c:pt idx="3">
                  <c:v>198</c:v>
                </c:pt>
                <c:pt idx="4">
                  <c:v>205</c:v>
                </c:pt>
                <c:pt idx="5">
                  <c:v>204</c:v>
                </c:pt>
              </c:numCache>
            </c:numRef>
          </c:val>
        </c:ser>
        <c:ser>
          <c:idx val="1"/>
          <c:order val="1"/>
          <c:tx>
            <c:strRef>
              <c:f>'REDOM organiz graf.'!$D$45</c:f>
              <c:strCache>
                <c:ptCount val="1"/>
                <c:pt idx="0">
                  <c:v>Doktori stomatologije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graf.'!$D$46:$D$51</c:f>
              <c:numCache>
                <c:formatCode>General</c:formatCode>
                <c:ptCount val="6"/>
                <c:pt idx="0">
                  <c:v>25</c:v>
                </c:pt>
                <c:pt idx="1">
                  <c:v>25</c:v>
                </c:pt>
                <c:pt idx="2">
                  <c:v>25</c:v>
                </c:pt>
                <c:pt idx="3">
                  <c:v>25</c:v>
                </c:pt>
                <c:pt idx="4">
                  <c:v>25</c:v>
                </c:pt>
                <c:pt idx="5">
                  <c:v>25</c:v>
                </c:pt>
              </c:numCache>
            </c:numRef>
          </c:val>
        </c:ser>
        <c:ser>
          <c:idx val="2"/>
          <c:order val="2"/>
          <c:tx>
            <c:strRef>
              <c:f>'REDOM organiz graf.'!$E$45</c:f>
              <c:strCache>
                <c:ptCount val="1"/>
                <c:pt idx="0">
                  <c:v>Magistri farmacije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graf.'!$E$46:$E$51</c:f>
              <c:numCache>
                <c:formatCode>General</c:formatCode>
                <c:ptCount val="6"/>
                <c:pt idx="0">
                  <c:v>10</c:v>
                </c:pt>
                <c:pt idx="1">
                  <c:v>11</c:v>
                </c:pt>
                <c:pt idx="2" formatCode="0">
                  <c:v>10.990998927843023</c:v>
                </c:pt>
                <c:pt idx="3">
                  <c:v>14</c:v>
                </c:pt>
                <c:pt idx="4">
                  <c:v>14</c:v>
                </c:pt>
                <c:pt idx="5">
                  <c:v>14</c:v>
                </c:pt>
              </c:numCache>
            </c:numRef>
          </c:val>
        </c:ser>
        <c:ser>
          <c:idx val="3"/>
          <c:order val="3"/>
          <c:tx>
            <c:strRef>
              <c:f>'REDOM organiz graf.'!$F$45</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graf.'!$F$46:$F$51</c:f>
              <c:numCache>
                <c:formatCode>General</c:formatCode>
                <c:ptCount val="6"/>
                <c:pt idx="0">
                  <c:v>545</c:v>
                </c:pt>
                <c:pt idx="1">
                  <c:v>548</c:v>
                </c:pt>
                <c:pt idx="2">
                  <c:v>559</c:v>
                </c:pt>
                <c:pt idx="3">
                  <c:v>566</c:v>
                </c:pt>
                <c:pt idx="4">
                  <c:v>571</c:v>
                </c:pt>
                <c:pt idx="5">
                  <c:v>566</c:v>
                </c:pt>
              </c:numCache>
            </c:numRef>
          </c:val>
        </c:ser>
        <c:dLbls>
          <c:showLegendKey val="0"/>
          <c:showVal val="0"/>
          <c:showCatName val="0"/>
          <c:showSerName val="0"/>
          <c:showPercent val="0"/>
          <c:showBubbleSize val="0"/>
        </c:dLbls>
        <c:gapWidth val="150"/>
        <c:axId val="328528960"/>
        <c:axId val="328535624"/>
      </c:barChart>
      <c:catAx>
        <c:axId val="328528960"/>
        <c:scaling>
          <c:orientation val="minMax"/>
        </c:scaling>
        <c:delete val="0"/>
        <c:axPos val="l"/>
        <c:numFmt formatCode="General" sourceLinked="0"/>
        <c:majorTickMark val="out"/>
        <c:minorTickMark val="none"/>
        <c:tickLblPos val="nextTo"/>
        <c:crossAx val="328535624"/>
        <c:crosses val="autoZero"/>
        <c:auto val="1"/>
        <c:lblAlgn val="ctr"/>
        <c:lblOffset val="100"/>
        <c:noMultiLvlLbl val="0"/>
      </c:catAx>
      <c:valAx>
        <c:axId val="328535624"/>
        <c:scaling>
          <c:orientation val="minMax"/>
        </c:scaling>
        <c:delete val="1"/>
        <c:axPos val="b"/>
        <c:numFmt formatCode="General" sourceLinked="1"/>
        <c:majorTickMark val="out"/>
        <c:minorTickMark val="none"/>
        <c:tickLblPos val="none"/>
        <c:crossAx val="328528960"/>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'1. starost-dr med+stom+mag.'!$C$5</c:f>
              <c:strCache>
                <c:ptCount val="1"/>
                <c:pt idx="0">
                  <c:v>Dr medicine</c:v>
                </c:pt>
              </c:strCache>
            </c:strRef>
          </c:tx>
          <c:invertIfNegative val="0"/>
          <c:cat>
            <c:strRef>
              <c:f>'1. starost-dr med+stom+mag.'!$D$4:$G$4</c:f>
              <c:strCache>
                <c:ptCount val="4"/>
                <c:pt idx="0">
                  <c:v>do 34 </c:v>
                </c:pt>
                <c:pt idx="1">
                  <c:v>35-44 </c:v>
                </c:pt>
                <c:pt idx="2">
                  <c:v>45-54 </c:v>
                </c:pt>
                <c:pt idx="3">
                  <c:v>55+</c:v>
                </c:pt>
              </c:strCache>
            </c:strRef>
          </c:cat>
          <c:val>
            <c:numRef>
              <c:f>'1. starost-dr med+stom+mag.'!$D$5:$G$5</c:f>
              <c:numCache>
                <c:formatCode>0.0</c:formatCode>
                <c:ptCount val="4"/>
                <c:pt idx="0">
                  <c:v>23.110831234256928</c:v>
                </c:pt>
                <c:pt idx="1">
                  <c:v>25.125944584382871</c:v>
                </c:pt>
                <c:pt idx="2">
                  <c:v>26.238455079764904</c:v>
                </c:pt>
                <c:pt idx="3">
                  <c:v>25.524769101595297</c:v>
                </c:pt>
              </c:numCache>
            </c:numRef>
          </c:val>
        </c:ser>
        <c:ser>
          <c:idx val="1"/>
          <c:order val="1"/>
          <c:tx>
            <c:strRef>
              <c:f>'1. starost-dr med+stom+mag.'!$C$6</c:f>
              <c:strCache>
                <c:ptCount val="1"/>
                <c:pt idx="0">
                  <c:v>Dr stomatologije</c:v>
                </c:pt>
              </c:strCache>
            </c:strRef>
          </c:tx>
          <c:invertIfNegative val="0"/>
          <c:cat>
            <c:strRef>
              <c:f>'1. starost-dr med+stom+mag.'!$D$4:$G$4</c:f>
              <c:strCache>
                <c:ptCount val="4"/>
                <c:pt idx="0">
                  <c:v>do 34 </c:v>
                </c:pt>
                <c:pt idx="1">
                  <c:v>35-44 </c:v>
                </c:pt>
                <c:pt idx="2">
                  <c:v>45-54 </c:v>
                </c:pt>
                <c:pt idx="3">
                  <c:v>55+</c:v>
                </c:pt>
              </c:strCache>
            </c:strRef>
          </c:cat>
          <c:val>
            <c:numRef>
              <c:f>'1. starost-dr med+stom+mag.'!$D$6:$G$6</c:f>
              <c:numCache>
                <c:formatCode>0.0</c:formatCode>
                <c:ptCount val="4"/>
                <c:pt idx="0">
                  <c:v>20.309810671256454</c:v>
                </c:pt>
                <c:pt idx="1">
                  <c:v>40.79173838209983</c:v>
                </c:pt>
                <c:pt idx="2">
                  <c:v>21.170395869191051</c:v>
                </c:pt>
                <c:pt idx="3">
                  <c:v>18.588640275387263</c:v>
                </c:pt>
              </c:numCache>
            </c:numRef>
          </c:val>
        </c:ser>
        <c:ser>
          <c:idx val="2"/>
          <c:order val="2"/>
          <c:tx>
            <c:strRef>
              <c:f>'1. starost-dr med+stom+mag.'!$C$7</c:f>
              <c:strCache>
                <c:ptCount val="1"/>
                <c:pt idx="0">
                  <c:v>Magistri farmacije</c:v>
                </c:pt>
              </c:strCache>
            </c:strRef>
          </c:tx>
          <c:invertIfNegative val="0"/>
          <c:cat>
            <c:strRef>
              <c:f>'1. starost-dr med+stom+mag.'!$D$4:$G$4</c:f>
              <c:strCache>
                <c:ptCount val="4"/>
                <c:pt idx="0">
                  <c:v>do 34 </c:v>
                </c:pt>
                <c:pt idx="1">
                  <c:v>35-44 </c:v>
                </c:pt>
                <c:pt idx="2">
                  <c:v>45-54 </c:v>
                </c:pt>
                <c:pt idx="3">
                  <c:v>55+</c:v>
                </c:pt>
              </c:strCache>
            </c:strRef>
          </c:cat>
          <c:val>
            <c:numRef>
              <c:f>'1. starost-dr med+stom+mag.'!$D$7:$G$7</c:f>
              <c:numCache>
                <c:formatCode>0.0</c:formatCode>
                <c:ptCount val="4"/>
                <c:pt idx="0">
                  <c:v>21.18380062305296</c:v>
                </c:pt>
                <c:pt idx="1">
                  <c:v>24.922118380062305</c:v>
                </c:pt>
                <c:pt idx="2">
                  <c:v>33.333333333333336</c:v>
                </c:pt>
                <c:pt idx="3">
                  <c:v>20.560747663551403</c:v>
                </c:pt>
              </c:numCache>
            </c:numRef>
          </c:val>
        </c:ser>
        <c:ser>
          <c:idx val="3"/>
          <c:order val="3"/>
          <c:tx>
            <c:strRef>
              <c:f>'1. starost-dr med+stom+mag.'!$C$8</c:f>
              <c:strCache>
                <c:ptCount val="1"/>
                <c:pt idx="0">
                  <c:v>Ostali zdravstveni radnici sa visokom, višom i SSS</c:v>
                </c:pt>
              </c:strCache>
            </c:strRef>
          </c:tx>
          <c:invertIfNegative val="0"/>
          <c:cat>
            <c:strRef>
              <c:f>'1. starost-dr med+stom+mag.'!$D$4:$G$4</c:f>
              <c:strCache>
                <c:ptCount val="4"/>
                <c:pt idx="0">
                  <c:v>do 34 </c:v>
                </c:pt>
                <c:pt idx="1">
                  <c:v>35-44 </c:v>
                </c:pt>
                <c:pt idx="2">
                  <c:v>45-54 </c:v>
                </c:pt>
                <c:pt idx="3">
                  <c:v>55+</c:v>
                </c:pt>
              </c:strCache>
            </c:strRef>
          </c:cat>
          <c:val>
            <c:numRef>
              <c:f>'1. starost-dr med+stom+mag.'!$D$8:$G$8</c:f>
              <c:numCache>
                <c:formatCode>0.0</c:formatCode>
                <c:ptCount val="4"/>
                <c:pt idx="0">
                  <c:v>26.059322033898304</c:v>
                </c:pt>
                <c:pt idx="1">
                  <c:v>29.782082324455207</c:v>
                </c:pt>
                <c:pt idx="2">
                  <c:v>31.439164648910413</c:v>
                </c:pt>
                <c:pt idx="3">
                  <c:v>12.726997578692494</c:v>
                </c:pt>
              </c:numCache>
            </c:numRef>
          </c:val>
        </c:ser>
        <c:dLbls>
          <c:showLegendKey val="0"/>
          <c:showVal val="0"/>
          <c:showCatName val="0"/>
          <c:showSerName val="0"/>
          <c:showPercent val="0"/>
          <c:showBubbleSize val="0"/>
        </c:dLbls>
        <c:gapWidth val="150"/>
        <c:axId val="328532880"/>
        <c:axId val="328533272"/>
      </c:barChart>
      <c:catAx>
        <c:axId val="328532880"/>
        <c:scaling>
          <c:orientation val="minMax"/>
        </c:scaling>
        <c:delete val="0"/>
        <c:axPos val="b"/>
        <c:numFmt formatCode="General" sourceLinked="0"/>
        <c:majorTickMark val="out"/>
        <c:minorTickMark val="none"/>
        <c:tickLblPos val="nextTo"/>
        <c:crossAx val="328533272"/>
        <c:crosses val="autoZero"/>
        <c:auto val="1"/>
        <c:lblAlgn val="ctr"/>
        <c:lblOffset val="100"/>
        <c:noMultiLvlLbl val="0"/>
      </c:catAx>
      <c:valAx>
        <c:axId val="328533272"/>
        <c:scaling>
          <c:orientation val="minMax"/>
        </c:scaling>
        <c:delete val="0"/>
        <c:axPos val="l"/>
        <c:majorGridlines/>
        <c:numFmt formatCode="0.0" sourceLinked="1"/>
        <c:majorTickMark val="out"/>
        <c:minorTickMark val="none"/>
        <c:tickLblPos val="nextTo"/>
        <c:crossAx val="328532880"/>
        <c:crosses val="autoZero"/>
        <c:crossBetween val="between"/>
      </c:valAx>
    </c:plotArea>
    <c:legend>
      <c:legendPos val="b"/>
      <c:layout>
        <c:manualLayout>
          <c:xMode val="edge"/>
          <c:yMode val="edge"/>
          <c:x val="2.2148394241417499E-2"/>
          <c:y val="0.60914573332350219"/>
          <c:w val="0.96397090988626388"/>
          <c:h val="0.15876992987816821"/>
        </c:manualLayout>
      </c:layout>
      <c:overlay val="0"/>
    </c:legend>
    <c:plotVisOnly val="1"/>
    <c:dispBlanksAs val="gap"/>
    <c:showDLblsOverMax val="0"/>
  </c:chart>
  <c:spPr>
    <a:ln>
      <a:solidFill>
        <a:schemeClr val="tx1"/>
      </a:solidFill>
    </a:ln>
  </c:sp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graf.'!$L$72</c:f>
              <c:strCache>
                <c:ptCount val="1"/>
                <c:pt idx="0">
                  <c:v>2010.</c:v>
                </c:pt>
              </c:strCache>
            </c:strRef>
          </c:tx>
          <c:invertIfNegative val="0"/>
          <c:dLbls>
            <c:dLbl>
              <c:idx val="0"/>
              <c:layout>
                <c:manualLayout>
                  <c:x val="-7.9365079365079413E-3"/>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9365079365078424E-3"/>
                  <c:y val="-9.259259259259328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455026455026614E-3"/>
                  <c:y val="1.8518518518518583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058201058201058E-2"/>
                  <c:y val="9.2592592592592952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5.2910052910052924E-3"/>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9365079365079413E-3"/>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graf.'!$J$73:$K$83</c:f>
              <c:strCache>
                <c:ptCount val="11"/>
                <c:pt idx="0">
                  <c:v>Ukupno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graf.'!$L$73:$L$83</c:f>
              <c:numCache>
                <c:formatCode>0.0</c:formatCode>
                <c:ptCount val="11"/>
                <c:pt idx="0">
                  <c:v>70.884041331802479</c:v>
                </c:pt>
                <c:pt idx="1">
                  <c:v>68.813559322033882</c:v>
                </c:pt>
                <c:pt idx="2">
                  <c:v>57.894736842105416</c:v>
                </c:pt>
                <c:pt idx="3">
                  <c:v>72.956609485368858</c:v>
                </c:pt>
                <c:pt idx="4">
                  <c:v>61.809045226130657</c:v>
                </c:pt>
                <c:pt idx="5">
                  <c:v>70.731707317073159</c:v>
                </c:pt>
                <c:pt idx="6">
                  <c:v>62.091503267973863</c:v>
                </c:pt>
                <c:pt idx="7">
                  <c:v>63.45454545454529</c:v>
                </c:pt>
                <c:pt idx="8">
                  <c:v>61.53846153846154</c:v>
                </c:pt>
                <c:pt idx="9">
                  <c:v>80.258435032303979</c:v>
                </c:pt>
                <c:pt idx="10">
                  <c:v>55.696202531645554</c:v>
                </c:pt>
              </c:numCache>
            </c:numRef>
          </c:val>
        </c:ser>
        <c:ser>
          <c:idx val="1"/>
          <c:order val="1"/>
          <c:tx>
            <c:strRef>
              <c:f>'REDOM organiz graf.'!$M$72</c:f>
              <c:strCache>
                <c:ptCount val="1"/>
                <c:pt idx="0">
                  <c:v>2015.</c:v>
                </c:pt>
              </c:strCache>
            </c:strRef>
          </c:tx>
          <c:invertIfNegative val="0"/>
          <c:dLbls>
            <c:dLbl>
              <c:idx val="2"/>
              <c:layout>
                <c:manualLayout>
                  <c:x val="-1.8518518518518583E-2"/>
                  <c:y val="-1.388888888888896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9365079365079413E-3"/>
                  <c:y val="-1.388888888888896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7.9365079365079413E-3"/>
                  <c:y val="-9.25925925925932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graf.'!$J$73:$K$83</c:f>
              <c:strCache>
                <c:ptCount val="11"/>
                <c:pt idx="0">
                  <c:v>Ukupno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graf.'!$M$73:$M$83</c:f>
              <c:numCache>
                <c:formatCode>General</c:formatCode>
                <c:ptCount val="11"/>
                <c:pt idx="0">
                  <c:v>70.400000000000006</c:v>
                </c:pt>
                <c:pt idx="1">
                  <c:v>56.9</c:v>
                </c:pt>
                <c:pt idx="2">
                  <c:v>56.8</c:v>
                </c:pt>
                <c:pt idx="3">
                  <c:v>81.3</c:v>
                </c:pt>
                <c:pt idx="4">
                  <c:v>65.7</c:v>
                </c:pt>
                <c:pt idx="5">
                  <c:v>54.2</c:v>
                </c:pt>
                <c:pt idx="6">
                  <c:v>62.7</c:v>
                </c:pt>
                <c:pt idx="7">
                  <c:v>59.7</c:v>
                </c:pt>
                <c:pt idx="8">
                  <c:v>51.3</c:v>
                </c:pt>
                <c:pt idx="9">
                  <c:v>78.7</c:v>
                </c:pt>
                <c:pt idx="10">
                  <c:v>47.6</c:v>
                </c:pt>
              </c:numCache>
            </c:numRef>
          </c:val>
        </c:ser>
        <c:dLbls>
          <c:showLegendKey val="0"/>
          <c:showVal val="0"/>
          <c:showCatName val="0"/>
          <c:showSerName val="0"/>
          <c:showPercent val="0"/>
          <c:showBubbleSize val="0"/>
        </c:dLbls>
        <c:gapWidth val="150"/>
        <c:axId val="328534056"/>
        <c:axId val="328533664"/>
      </c:barChart>
      <c:catAx>
        <c:axId val="328534056"/>
        <c:scaling>
          <c:orientation val="minMax"/>
        </c:scaling>
        <c:delete val="0"/>
        <c:axPos val="l"/>
        <c:numFmt formatCode="General" sourceLinked="0"/>
        <c:majorTickMark val="out"/>
        <c:minorTickMark val="none"/>
        <c:tickLblPos val="nextTo"/>
        <c:txPr>
          <a:bodyPr rot="0" vert="horz"/>
          <a:lstStyle/>
          <a:p>
            <a:pPr>
              <a:defRPr/>
            </a:pPr>
            <a:endParaRPr lang="en-US"/>
          </a:p>
        </c:txPr>
        <c:crossAx val="328533664"/>
        <c:crosses val="autoZero"/>
        <c:auto val="1"/>
        <c:lblAlgn val="ctr"/>
        <c:lblOffset val="100"/>
        <c:noMultiLvlLbl val="0"/>
      </c:catAx>
      <c:valAx>
        <c:axId val="328533664"/>
        <c:scaling>
          <c:orientation val="minMax"/>
        </c:scaling>
        <c:delete val="1"/>
        <c:axPos val="b"/>
        <c:numFmt formatCode="0.0" sourceLinked="1"/>
        <c:majorTickMark val="out"/>
        <c:minorTickMark val="none"/>
        <c:tickLblPos val="none"/>
        <c:crossAx val="32853405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'Komp. br djece-pedij 2010-2015.'!$B$114</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2010-2015.'!$C$113:$F$113</c:f>
              <c:strCache>
                <c:ptCount val="4"/>
                <c:pt idx="0">
                  <c:v>do 34 </c:v>
                </c:pt>
                <c:pt idx="1">
                  <c:v>35-44 </c:v>
                </c:pt>
                <c:pt idx="2">
                  <c:v>45-54 </c:v>
                </c:pt>
                <c:pt idx="3">
                  <c:v>55+</c:v>
                </c:pt>
              </c:strCache>
            </c:strRef>
          </c:cat>
          <c:val>
            <c:numRef>
              <c:f>'Komp. br djece-pedij 2010-2015.'!$C$114:$F$114</c:f>
              <c:numCache>
                <c:formatCode>0.0</c:formatCode>
                <c:ptCount val="4"/>
                <c:pt idx="0">
                  <c:v>1.9543973941368082</c:v>
                </c:pt>
                <c:pt idx="1">
                  <c:v>26.058631921824102</c:v>
                </c:pt>
                <c:pt idx="2">
                  <c:v>65.798045602605868</c:v>
                </c:pt>
                <c:pt idx="3">
                  <c:v>6.1889250814332257</c:v>
                </c:pt>
              </c:numCache>
            </c:numRef>
          </c:val>
        </c:ser>
        <c:ser>
          <c:idx val="1"/>
          <c:order val="1"/>
          <c:tx>
            <c:strRef>
              <c:f>'Komp. br djece-pedij 2010-2015.'!$B$115</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2010-2015.'!$C$113:$F$113</c:f>
              <c:strCache>
                <c:ptCount val="4"/>
                <c:pt idx="0">
                  <c:v>do 34 </c:v>
                </c:pt>
                <c:pt idx="1">
                  <c:v>35-44 </c:v>
                </c:pt>
                <c:pt idx="2">
                  <c:v>45-54 </c:v>
                </c:pt>
                <c:pt idx="3">
                  <c:v>55+</c:v>
                </c:pt>
              </c:strCache>
            </c:strRef>
          </c:cat>
          <c:val>
            <c:numRef>
              <c:f>'Komp. br djece-pedij 2010-2015.'!$C$115:$F$115</c:f>
              <c:numCache>
                <c:formatCode>0.0</c:formatCode>
                <c:ptCount val="4"/>
                <c:pt idx="0">
                  <c:v>3.1662269129287597</c:v>
                </c:pt>
                <c:pt idx="1">
                  <c:v>19.261213720316626</c:v>
                </c:pt>
                <c:pt idx="2">
                  <c:v>53.298153034300803</c:v>
                </c:pt>
                <c:pt idx="3">
                  <c:v>24.274406332453822</c:v>
                </c:pt>
              </c:numCache>
            </c:numRef>
          </c:val>
        </c:ser>
        <c:dLbls>
          <c:showLegendKey val="0"/>
          <c:showVal val="0"/>
          <c:showCatName val="0"/>
          <c:showSerName val="0"/>
          <c:showPercent val="0"/>
          <c:showBubbleSize val="0"/>
        </c:dLbls>
        <c:gapWidth val="150"/>
        <c:axId val="328535232"/>
        <c:axId val="331235520"/>
      </c:barChart>
      <c:catAx>
        <c:axId val="328535232"/>
        <c:scaling>
          <c:orientation val="minMax"/>
        </c:scaling>
        <c:delete val="0"/>
        <c:axPos val="b"/>
        <c:numFmt formatCode="General" sourceLinked="0"/>
        <c:majorTickMark val="out"/>
        <c:minorTickMark val="none"/>
        <c:tickLblPos val="nextTo"/>
        <c:crossAx val="331235520"/>
        <c:crosses val="autoZero"/>
        <c:auto val="1"/>
        <c:lblAlgn val="ctr"/>
        <c:lblOffset val="100"/>
        <c:noMultiLvlLbl val="0"/>
      </c:catAx>
      <c:valAx>
        <c:axId val="331235520"/>
        <c:scaling>
          <c:orientation val="minMax"/>
        </c:scaling>
        <c:delete val="1"/>
        <c:axPos val="l"/>
        <c:numFmt formatCode="0.0" sourceLinked="1"/>
        <c:majorTickMark val="out"/>
        <c:minorTickMark val="none"/>
        <c:tickLblPos val="none"/>
        <c:crossAx val="328535232"/>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'Komp. br djece-pedij 2010-2015.'!$C$68</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2010-2015.'!$D$67:$G$67</c:f>
              <c:strCache>
                <c:ptCount val="4"/>
                <c:pt idx="0">
                  <c:v>do 34 </c:v>
                </c:pt>
                <c:pt idx="1">
                  <c:v>35-44 </c:v>
                </c:pt>
                <c:pt idx="2">
                  <c:v>45-54 </c:v>
                </c:pt>
                <c:pt idx="3">
                  <c:v>55+</c:v>
                </c:pt>
              </c:strCache>
            </c:strRef>
          </c:cat>
          <c:val>
            <c:numRef>
              <c:f>'Komp. br djece-pedij 2010-2015.'!$D$68:$G$68</c:f>
              <c:numCache>
                <c:formatCode>0.0</c:formatCode>
                <c:ptCount val="4"/>
                <c:pt idx="0">
                  <c:v>3.2520325203252027</c:v>
                </c:pt>
                <c:pt idx="1">
                  <c:v>15.040650406504065</c:v>
                </c:pt>
                <c:pt idx="2">
                  <c:v>49.593495934959364</c:v>
                </c:pt>
                <c:pt idx="3">
                  <c:v>32.113821138211378</c:v>
                </c:pt>
              </c:numCache>
            </c:numRef>
          </c:val>
        </c:ser>
        <c:ser>
          <c:idx val="1"/>
          <c:order val="1"/>
          <c:tx>
            <c:strRef>
              <c:f>'Komp. br djece-pedij 2010-2015.'!$C$69</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2010-2015.'!$D$67:$G$67</c:f>
              <c:strCache>
                <c:ptCount val="4"/>
                <c:pt idx="0">
                  <c:v>do 34 </c:v>
                </c:pt>
                <c:pt idx="1">
                  <c:v>35-44 </c:v>
                </c:pt>
                <c:pt idx="2">
                  <c:v>45-54 </c:v>
                </c:pt>
                <c:pt idx="3">
                  <c:v>55+</c:v>
                </c:pt>
              </c:strCache>
            </c:strRef>
          </c:cat>
          <c:val>
            <c:numRef>
              <c:f>'Komp. br djece-pedij 2010-2015.'!$D$69:$G$69</c:f>
              <c:numCache>
                <c:formatCode>0.0</c:formatCode>
                <c:ptCount val="4"/>
                <c:pt idx="0">
                  <c:v>1.2096774193548385</c:v>
                </c:pt>
                <c:pt idx="1">
                  <c:v>33.064516129032256</c:v>
                </c:pt>
                <c:pt idx="2">
                  <c:v>25.806451612903224</c:v>
                </c:pt>
                <c:pt idx="3">
                  <c:v>39.91935483870968</c:v>
                </c:pt>
              </c:numCache>
            </c:numRef>
          </c:val>
        </c:ser>
        <c:dLbls>
          <c:showLegendKey val="0"/>
          <c:showVal val="0"/>
          <c:showCatName val="0"/>
          <c:showSerName val="0"/>
          <c:showPercent val="0"/>
          <c:showBubbleSize val="0"/>
        </c:dLbls>
        <c:gapWidth val="150"/>
        <c:axId val="331232384"/>
        <c:axId val="331237872"/>
      </c:barChart>
      <c:catAx>
        <c:axId val="331232384"/>
        <c:scaling>
          <c:orientation val="minMax"/>
        </c:scaling>
        <c:delete val="0"/>
        <c:axPos val="b"/>
        <c:numFmt formatCode="General" sourceLinked="0"/>
        <c:majorTickMark val="out"/>
        <c:minorTickMark val="none"/>
        <c:tickLblPos val="nextTo"/>
        <c:crossAx val="331237872"/>
        <c:crosses val="autoZero"/>
        <c:auto val="1"/>
        <c:lblAlgn val="ctr"/>
        <c:lblOffset val="100"/>
        <c:noMultiLvlLbl val="0"/>
      </c:catAx>
      <c:valAx>
        <c:axId val="331237872"/>
        <c:scaling>
          <c:orientation val="minMax"/>
        </c:scaling>
        <c:delete val="1"/>
        <c:axPos val="l"/>
        <c:numFmt formatCode="0.0" sourceLinked="1"/>
        <c:majorTickMark val="out"/>
        <c:minorTickMark val="none"/>
        <c:tickLblPos val="none"/>
        <c:crossAx val="331232384"/>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graf.'!$B$58:$B$63</c:f>
              <c:strCache>
                <c:ptCount val="6"/>
                <c:pt idx="0">
                  <c:v>2010.</c:v>
                </c:pt>
                <c:pt idx="1">
                  <c:v>2011.</c:v>
                </c:pt>
                <c:pt idx="2">
                  <c:v>2012.</c:v>
                </c:pt>
                <c:pt idx="3">
                  <c:v>2013.</c:v>
                </c:pt>
                <c:pt idx="4">
                  <c:v>2014.</c:v>
                </c:pt>
                <c:pt idx="5">
                  <c:v>2015.</c:v>
                </c:pt>
              </c:strCache>
            </c:strRef>
          </c:cat>
          <c:val>
            <c:numRef>
              <c:f>'REDOM organiz graf.'!$C$58:$C$63</c:f>
              <c:numCache>
                <c:formatCode>0.0</c:formatCode>
                <c:ptCount val="6"/>
                <c:pt idx="0">
                  <c:v>1.1000000000000001</c:v>
                </c:pt>
                <c:pt idx="1">
                  <c:v>1.4</c:v>
                </c:pt>
                <c:pt idx="2">
                  <c:v>1.4732894535435479</c:v>
                </c:pt>
                <c:pt idx="3" formatCode="General">
                  <c:v>1.7</c:v>
                </c:pt>
                <c:pt idx="4">
                  <c:v>2</c:v>
                </c:pt>
                <c:pt idx="5" formatCode="General">
                  <c:v>2.4</c:v>
                </c:pt>
              </c:numCache>
            </c:numRef>
          </c:val>
        </c:ser>
        <c:dLbls>
          <c:showLegendKey val="0"/>
          <c:showVal val="0"/>
          <c:showCatName val="0"/>
          <c:showSerName val="0"/>
          <c:showPercent val="0"/>
          <c:showBubbleSize val="0"/>
        </c:dLbls>
        <c:gapWidth val="150"/>
        <c:axId val="331236304"/>
        <c:axId val="331236696"/>
      </c:barChart>
      <c:catAx>
        <c:axId val="331236304"/>
        <c:scaling>
          <c:orientation val="minMax"/>
        </c:scaling>
        <c:delete val="0"/>
        <c:axPos val="b"/>
        <c:numFmt formatCode="General" sourceLinked="0"/>
        <c:majorTickMark val="out"/>
        <c:minorTickMark val="none"/>
        <c:tickLblPos val="nextTo"/>
        <c:crossAx val="331236696"/>
        <c:crosses val="autoZero"/>
        <c:auto val="1"/>
        <c:lblAlgn val="ctr"/>
        <c:lblOffset val="100"/>
        <c:noMultiLvlLbl val="0"/>
      </c:catAx>
      <c:valAx>
        <c:axId val="331236696"/>
        <c:scaling>
          <c:orientation val="minMax"/>
        </c:scaling>
        <c:delete val="1"/>
        <c:axPos val="l"/>
        <c:numFmt formatCode="0.0" sourceLinked="1"/>
        <c:majorTickMark val="out"/>
        <c:minorTickMark val="none"/>
        <c:tickLblPos val="none"/>
        <c:crossAx val="331236304"/>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lang="hr-B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graf.'!$B$119:$B$121</c:f>
              <c:strCache>
                <c:ptCount val="3"/>
                <c:pt idx="0">
                  <c:v>&lt;1500m</c:v>
                </c:pt>
                <c:pt idx="1">
                  <c:v>1500-5000m</c:v>
                </c:pt>
                <c:pt idx="2">
                  <c:v>&gt;5000m</c:v>
                </c:pt>
              </c:strCache>
            </c:strRef>
          </c:cat>
          <c:val>
            <c:numRef>
              <c:f>'REDOM organiz graf.'!$C$119:$C$121</c:f>
              <c:numCache>
                <c:formatCode>General</c:formatCode>
                <c:ptCount val="3"/>
                <c:pt idx="0">
                  <c:v>48.4</c:v>
                </c:pt>
                <c:pt idx="1">
                  <c:v>38.4</c:v>
                </c:pt>
                <c:pt idx="2">
                  <c:v>13.2</c:v>
                </c:pt>
              </c:numCache>
            </c:numRef>
          </c:val>
        </c:ser>
        <c:dLbls>
          <c:showLegendKey val="0"/>
          <c:showVal val="0"/>
          <c:showCatName val="0"/>
          <c:showSerName val="0"/>
          <c:showPercent val="0"/>
          <c:showBubbleSize val="0"/>
        </c:dLbls>
        <c:gapWidth val="150"/>
        <c:axId val="331237480"/>
        <c:axId val="331235912"/>
      </c:barChart>
      <c:catAx>
        <c:axId val="331237480"/>
        <c:scaling>
          <c:orientation val="minMax"/>
        </c:scaling>
        <c:delete val="0"/>
        <c:axPos val="b"/>
        <c:numFmt formatCode="General" sourceLinked="0"/>
        <c:majorTickMark val="out"/>
        <c:minorTickMark val="none"/>
        <c:tickLblPos val="nextTo"/>
        <c:txPr>
          <a:bodyPr/>
          <a:lstStyle/>
          <a:p>
            <a:pPr>
              <a:defRPr lang="hr-BA"/>
            </a:pPr>
            <a:endParaRPr lang="en-US"/>
          </a:p>
        </c:txPr>
        <c:crossAx val="331235912"/>
        <c:crosses val="autoZero"/>
        <c:auto val="1"/>
        <c:lblAlgn val="ctr"/>
        <c:lblOffset val="100"/>
        <c:noMultiLvlLbl val="0"/>
      </c:catAx>
      <c:valAx>
        <c:axId val="331235912"/>
        <c:scaling>
          <c:orientation val="minMax"/>
        </c:scaling>
        <c:delete val="0"/>
        <c:axPos val="l"/>
        <c:majorGridlines/>
        <c:numFmt formatCode="General" sourceLinked="1"/>
        <c:majorTickMark val="out"/>
        <c:minorTickMark val="none"/>
        <c:tickLblPos val="nextTo"/>
        <c:txPr>
          <a:bodyPr/>
          <a:lstStyle/>
          <a:p>
            <a:pPr>
              <a:defRPr lang="hr-BA"/>
            </a:pPr>
            <a:endParaRPr lang="en-US"/>
          </a:p>
        </c:txPr>
        <c:crossAx val="331237480"/>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'Organizacija-Ukupno+PZZ+Stom'!$C$105</c:f>
              <c:strCache>
                <c:ptCount val="1"/>
                <c:pt idx="0">
                  <c:v>Doktori medicine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'Organizacija-Ukupno+PZZ+Stom'!$B$106:$B$111</c:f>
              <c:strCache>
                <c:ptCount val="6"/>
                <c:pt idx="0">
                  <c:v>2010.</c:v>
                </c:pt>
                <c:pt idx="1">
                  <c:v>2011.</c:v>
                </c:pt>
                <c:pt idx="2">
                  <c:v>2012.</c:v>
                </c:pt>
                <c:pt idx="3">
                  <c:v>2013.</c:v>
                </c:pt>
                <c:pt idx="4">
                  <c:v>2014.</c:v>
                </c:pt>
                <c:pt idx="5">
                  <c:v>2015.</c:v>
                </c:pt>
              </c:strCache>
            </c:strRef>
          </c:cat>
          <c:val>
            <c:numRef>
              <c:f>'Organizacija-Ukupno+PZZ+Stom'!$C$106:$C$111</c:f>
              <c:numCache>
                <c:formatCode>General</c:formatCode>
                <c:ptCount val="6"/>
                <c:pt idx="0">
                  <c:v>63</c:v>
                </c:pt>
                <c:pt idx="1">
                  <c:v>61</c:v>
                </c:pt>
                <c:pt idx="2">
                  <c:v>64</c:v>
                </c:pt>
                <c:pt idx="3">
                  <c:v>66</c:v>
                </c:pt>
                <c:pt idx="4">
                  <c:v>66</c:v>
                </c:pt>
                <c:pt idx="5">
                  <c:v>67</c:v>
                </c:pt>
              </c:numCache>
            </c:numRef>
          </c:val>
        </c:ser>
        <c:ser>
          <c:idx val="1"/>
          <c:order val="1"/>
          <c:tx>
            <c:strRef>
              <c:f>'Organizacija-Ukupno+PZZ+Stom'!$D$105</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'Organizacija-Ukupno+PZZ+Stom'!$B$106:$B$111</c:f>
              <c:strCache>
                <c:ptCount val="6"/>
                <c:pt idx="0">
                  <c:v>2010.</c:v>
                </c:pt>
                <c:pt idx="1">
                  <c:v>2011.</c:v>
                </c:pt>
                <c:pt idx="2">
                  <c:v>2012.</c:v>
                </c:pt>
                <c:pt idx="3">
                  <c:v>2013.</c:v>
                </c:pt>
                <c:pt idx="4">
                  <c:v>2014.</c:v>
                </c:pt>
                <c:pt idx="5">
                  <c:v>2015.</c:v>
                </c:pt>
              </c:strCache>
            </c:strRef>
          </c:cat>
          <c:val>
            <c:numRef>
              <c:f>'Organizacija-Ukupno+PZZ+Stom'!$D$106:$D$111</c:f>
              <c:numCache>
                <c:formatCode>General</c:formatCode>
                <c:ptCount val="6"/>
                <c:pt idx="0" formatCode="0">
                  <c:v>132</c:v>
                </c:pt>
                <c:pt idx="1">
                  <c:v>127</c:v>
                </c:pt>
                <c:pt idx="2" formatCode="0">
                  <c:v>127.70086692038625</c:v>
                </c:pt>
                <c:pt idx="3">
                  <c:v>126</c:v>
                </c:pt>
                <c:pt idx="4">
                  <c:v>127</c:v>
                </c:pt>
                <c:pt idx="5">
                  <c:v>127</c:v>
                </c:pt>
              </c:numCache>
            </c:numRef>
          </c:val>
        </c:ser>
        <c:dLbls>
          <c:showLegendKey val="0"/>
          <c:showVal val="0"/>
          <c:showCatName val="0"/>
          <c:showSerName val="0"/>
          <c:showPercent val="0"/>
          <c:showBubbleSize val="0"/>
        </c:dLbls>
        <c:gapWidth val="150"/>
        <c:axId val="331231208"/>
        <c:axId val="331234344"/>
      </c:barChart>
      <c:catAx>
        <c:axId val="331231208"/>
        <c:scaling>
          <c:orientation val="minMax"/>
        </c:scaling>
        <c:delete val="0"/>
        <c:axPos val="b"/>
        <c:numFmt formatCode="General" sourceLinked="0"/>
        <c:majorTickMark val="out"/>
        <c:minorTickMark val="none"/>
        <c:tickLblPos val="nextTo"/>
        <c:crossAx val="331234344"/>
        <c:crosses val="autoZero"/>
        <c:auto val="1"/>
        <c:lblAlgn val="ctr"/>
        <c:lblOffset val="100"/>
        <c:noMultiLvlLbl val="0"/>
      </c:catAx>
      <c:valAx>
        <c:axId val="331234344"/>
        <c:scaling>
          <c:orientation val="minMax"/>
        </c:scaling>
        <c:delete val="1"/>
        <c:axPos val="l"/>
        <c:numFmt formatCode="General" sourceLinked="1"/>
        <c:majorTickMark val="out"/>
        <c:minorTickMark val="none"/>
        <c:tickLblPos val="none"/>
        <c:crossAx val="331231208"/>
        <c:crosses val="autoZero"/>
        <c:crossBetween val="between"/>
      </c:valAx>
    </c:plotArea>
    <c:legend>
      <c:legendPos val="b"/>
      <c:overlay val="0"/>
    </c:legend>
    <c:plotVisOnly val="1"/>
    <c:dispBlanksAs val="gap"/>
    <c:showDLblsOverMax val="0"/>
  </c:chart>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graf.'!$D$140</c:f>
              <c:strCache>
                <c:ptCount val="1"/>
                <c:pt idx="0">
                  <c:v>2010.</c:v>
                </c:pt>
              </c:strCache>
            </c:strRef>
          </c:tx>
          <c:invertIfNegative val="0"/>
          <c:cat>
            <c:strRef>
              <c:f>'REDOM organiz graf.'!$B$141:$C$151</c:f>
              <c:strCache>
                <c:ptCount val="11"/>
                <c:pt idx="0">
                  <c:v>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graf.'!$D$141:$D$151</c:f>
              <c:numCache>
                <c:formatCode>0</c:formatCode>
                <c:ptCount val="11"/>
                <c:pt idx="0">
                  <c:v>1587</c:v>
                </c:pt>
                <c:pt idx="1">
                  <c:v>2907.8</c:v>
                </c:pt>
                <c:pt idx="2">
                  <c:v>2822.9</c:v>
                </c:pt>
                <c:pt idx="3">
                  <c:v>1429.9</c:v>
                </c:pt>
                <c:pt idx="4">
                  <c:v>1887.4</c:v>
                </c:pt>
                <c:pt idx="5">
                  <c:v>1937.7</c:v>
                </c:pt>
                <c:pt idx="6">
                  <c:v>1398.7</c:v>
                </c:pt>
                <c:pt idx="7">
                  <c:v>1564.4</c:v>
                </c:pt>
                <c:pt idx="8">
                  <c:v>1508</c:v>
                </c:pt>
                <c:pt idx="9">
                  <c:v>1173.5999999999999</c:v>
                </c:pt>
                <c:pt idx="10">
                  <c:v>2677.4</c:v>
                </c:pt>
              </c:numCache>
            </c:numRef>
          </c:val>
        </c:ser>
        <c:ser>
          <c:idx val="1"/>
          <c:order val="1"/>
          <c:tx>
            <c:strRef>
              <c:f>'REDOM organiz graf.'!$F$140</c:f>
              <c:strCache>
                <c:ptCount val="1"/>
                <c:pt idx="0">
                  <c:v>2015.</c:v>
                </c:pt>
              </c:strCache>
            </c:strRef>
          </c:tx>
          <c:invertIfNegative val="0"/>
          <c:cat>
            <c:strRef>
              <c:f>'REDOM organiz graf.'!$B$141:$C$151</c:f>
              <c:strCache>
                <c:ptCount val="11"/>
                <c:pt idx="0">
                  <c:v>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graf.'!$F$141:$F$152</c:f>
              <c:numCache>
                <c:formatCode>0</c:formatCode>
                <c:ptCount val="12"/>
                <c:pt idx="0">
                  <c:v>1484.010171646536</c:v>
                </c:pt>
                <c:pt idx="1">
                  <c:v>2296.2399999999998</c:v>
                </c:pt>
                <c:pt idx="2">
                  <c:v>1918.75</c:v>
                </c:pt>
                <c:pt idx="3">
                  <c:v>1285.4793814433003</c:v>
                </c:pt>
                <c:pt idx="4">
                  <c:v>1568.1106719367601</c:v>
                </c:pt>
                <c:pt idx="5">
                  <c:v>1796.7222222222222</c:v>
                </c:pt>
                <c:pt idx="6">
                  <c:v>1724.0684931506851</c:v>
                </c:pt>
                <c:pt idx="7">
                  <c:v>1314.535294117647</c:v>
                </c:pt>
                <c:pt idx="8">
                  <c:v>1729.9787234042587</c:v>
                </c:pt>
                <c:pt idx="9">
                  <c:v>1214.2744565217392</c:v>
                </c:pt>
                <c:pt idx="10">
                  <c:v>2046.2368421052631</c:v>
                </c:pt>
              </c:numCache>
            </c:numRef>
          </c:val>
        </c:ser>
        <c:dLbls>
          <c:showLegendKey val="0"/>
          <c:showVal val="0"/>
          <c:showCatName val="0"/>
          <c:showSerName val="0"/>
          <c:showPercent val="0"/>
          <c:showBubbleSize val="0"/>
        </c:dLbls>
        <c:gapWidth val="150"/>
        <c:axId val="331234736"/>
        <c:axId val="331231992"/>
      </c:barChart>
      <c:catAx>
        <c:axId val="331234736"/>
        <c:scaling>
          <c:orientation val="minMax"/>
        </c:scaling>
        <c:delete val="0"/>
        <c:axPos val="l"/>
        <c:numFmt formatCode="General" sourceLinked="0"/>
        <c:majorTickMark val="out"/>
        <c:minorTickMark val="none"/>
        <c:tickLblPos val="nextTo"/>
        <c:crossAx val="331231992"/>
        <c:crosses val="autoZero"/>
        <c:auto val="1"/>
        <c:lblAlgn val="ctr"/>
        <c:lblOffset val="100"/>
        <c:noMultiLvlLbl val="0"/>
      </c:catAx>
      <c:valAx>
        <c:axId val="331231992"/>
        <c:scaling>
          <c:orientation val="minMax"/>
        </c:scaling>
        <c:delete val="0"/>
        <c:axPos val="b"/>
        <c:majorGridlines/>
        <c:numFmt formatCode="0" sourceLinked="1"/>
        <c:majorTickMark val="out"/>
        <c:minorTickMark val="none"/>
        <c:tickLblPos val="nextTo"/>
        <c:crossAx val="33123473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5555555555555552E-2"/>
          <c:w val="0.93888888888888888"/>
          <c:h val="0.46625619714202393"/>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'Organizacija zdravstvene zastit'!$A$191:$A$201</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'Organizacija zdravstvene zastit'!$B$191:$B$201</c:f>
              <c:numCache>
                <c:formatCode>0</c:formatCode>
                <c:ptCount val="11"/>
                <c:pt idx="0">
                  <c:v>1515</c:v>
                </c:pt>
                <c:pt idx="1">
                  <c:v>2218</c:v>
                </c:pt>
                <c:pt idx="2">
                  <c:v>3262</c:v>
                </c:pt>
                <c:pt idx="3">
                  <c:v>1630.5769230769231</c:v>
                </c:pt>
                <c:pt idx="4">
                  <c:v>1532.8181818181818</c:v>
                </c:pt>
                <c:pt idx="5">
                  <c:v>1374.5</c:v>
                </c:pt>
                <c:pt idx="6">
                  <c:v>1426.4</c:v>
                </c:pt>
                <c:pt idx="7">
                  <c:v>1356.7857142857142</c:v>
                </c:pt>
                <c:pt idx="8">
                  <c:v>1382.2</c:v>
                </c:pt>
                <c:pt idx="9">
                  <c:v>1151</c:v>
                </c:pt>
                <c:pt idx="10">
                  <c:v>3304.5</c:v>
                </c:pt>
              </c:numCache>
            </c:numRef>
          </c:val>
        </c:ser>
        <c:dLbls>
          <c:showLegendKey val="0"/>
          <c:showVal val="0"/>
          <c:showCatName val="0"/>
          <c:showSerName val="0"/>
          <c:showPercent val="0"/>
          <c:showBubbleSize val="0"/>
        </c:dLbls>
        <c:gapWidth val="219"/>
        <c:overlap val="-27"/>
        <c:axId val="331233168"/>
        <c:axId val="331233952"/>
      </c:barChart>
      <c:catAx>
        <c:axId val="3312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233952"/>
        <c:crosses val="autoZero"/>
        <c:auto val="1"/>
        <c:lblAlgn val="ctr"/>
        <c:lblOffset val="100"/>
        <c:noMultiLvlLbl val="0"/>
      </c:catAx>
      <c:valAx>
        <c:axId val="331233952"/>
        <c:scaling>
          <c:orientation val="minMax"/>
        </c:scaling>
        <c:delete val="1"/>
        <c:axPos val="l"/>
        <c:numFmt formatCode="0" sourceLinked="1"/>
        <c:majorTickMark val="none"/>
        <c:minorTickMark val="none"/>
        <c:tickLblPos val="nextTo"/>
        <c:crossAx val="33123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Sheet1!$B$16:$B$21</c:f>
              <c:strCache>
                <c:ptCount val="6"/>
                <c:pt idx="0">
                  <c:v>2010.</c:v>
                </c:pt>
                <c:pt idx="1">
                  <c:v>2011.</c:v>
                </c:pt>
                <c:pt idx="2">
                  <c:v>2012.</c:v>
                </c:pt>
                <c:pt idx="3">
                  <c:v>2013.</c:v>
                </c:pt>
                <c:pt idx="4">
                  <c:v>2014.</c:v>
                </c:pt>
                <c:pt idx="5">
                  <c:v>2015.</c:v>
                </c:pt>
              </c:strCache>
            </c:strRef>
          </c:cat>
          <c:val>
            <c:numRef>
              <c:f>Sheet1!$E$16:$E$21</c:f>
              <c:numCache>
                <c:formatCode>0.0</c:formatCode>
                <c:ptCount val="6"/>
                <c:pt idx="0">
                  <c:v>26.008202323991796</c:v>
                </c:pt>
                <c:pt idx="1">
                  <c:v>25.692794932699922</c:v>
                </c:pt>
                <c:pt idx="2">
                  <c:v>24.679994247087592</c:v>
                </c:pt>
                <c:pt idx="3">
                  <c:v>25.042755924749571</c:v>
                </c:pt>
                <c:pt idx="4">
                  <c:v>24.552580979145091</c:v>
                </c:pt>
                <c:pt idx="5">
                  <c:v>23.015251347739941</c:v>
                </c:pt>
              </c:numCache>
            </c:numRef>
          </c:val>
        </c:ser>
        <c:dLbls>
          <c:showLegendKey val="0"/>
          <c:showVal val="0"/>
          <c:showCatName val="0"/>
          <c:showSerName val="0"/>
          <c:showPercent val="0"/>
          <c:showBubbleSize val="0"/>
        </c:dLbls>
        <c:gapWidth val="150"/>
        <c:axId val="262612176"/>
        <c:axId val="262607080"/>
      </c:barChart>
      <c:catAx>
        <c:axId val="262612176"/>
        <c:scaling>
          <c:orientation val="minMax"/>
        </c:scaling>
        <c:delete val="0"/>
        <c:axPos val="b"/>
        <c:numFmt formatCode="General" sourceLinked="0"/>
        <c:majorTickMark val="out"/>
        <c:minorTickMark val="none"/>
        <c:tickLblPos val="nextTo"/>
        <c:crossAx val="262607080"/>
        <c:crosses val="autoZero"/>
        <c:auto val="1"/>
        <c:lblAlgn val="ctr"/>
        <c:lblOffset val="100"/>
        <c:noMultiLvlLbl val="0"/>
      </c:catAx>
      <c:valAx>
        <c:axId val="262607080"/>
        <c:scaling>
          <c:orientation val="minMax"/>
        </c:scaling>
        <c:delete val="0"/>
        <c:axPos val="l"/>
        <c:numFmt formatCode="0.0" sourceLinked="1"/>
        <c:majorTickMark val="out"/>
        <c:minorTickMark val="none"/>
        <c:tickLblPos val="nextTo"/>
        <c:crossAx val="262612176"/>
        <c:crosses val="autoZero"/>
        <c:crossBetween val="between"/>
      </c:valAx>
    </c:plotArea>
    <c:plotVisOnly val="1"/>
    <c:dispBlanksAs val="gap"/>
    <c:showDLblsOverMax val="0"/>
  </c:chart>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'REDOM organiz graf.'!$K$162</c:f>
              <c:strCache>
                <c:ptCount val="1"/>
                <c:pt idx="0">
                  <c:v>2010.</c:v>
                </c:pt>
              </c:strCache>
            </c:strRef>
          </c:tx>
          <c:invertIfNegative val="0"/>
          <c:dLbls>
            <c:dLbl>
              <c:idx val="3"/>
              <c:layout>
                <c:manualLayout>
                  <c:x val="-2.7777777777778002E-2"/>
                  <c:y val="4.6296296296296528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9444444444444445E-2"/>
                  <c:y val="4.629629629629652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graf.'!$I$163:$J$173</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graf.'!$K$163:$K$173</c:f>
              <c:numCache>
                <c:formatCode>0.0</c:formatCode>
                <c:ptCount val="11"/>
                <c:pt idx="0">
                  <c:v>4.2870224925780533</c:v>
                </c:pt>
                <c:pt idx="1">
                  <c:v>2.5059593078796247</c:v>
                </c:pt>
                <c:pt idx="2">
                  <c:v>1.9974696356275299</c:v>
                </c:pt>
                <c:pt idx="3">
                  <c:v>5.2941125785747438</c:v>
                </c:pt>
                <c:pt idx="4">
                  <c:v>4.3887925303529389</c:v>
                </c:pt>
                <c:pt idx="5">
                  <c:v>4.248458898909842</c:v>
                </c:pt>
                <c:pt idx="6">
                  <c:v>3.9844091259054397</c:v>
                </c:pt>
                <c:pt idx="7">
                  <c:v>3.6196841095939027</c:v>
                </c:pt>
                <c:pt idx="8">
                  <c:v>3.6423562929033686</c:v>
                </c:pt>
                <c:pt idx="9">
                  <c:v>5.4980117827070911</c:v>
                </c:pt>
                <c:pt idx="10">
                  <c:v>1.9755733173974714</c:v>
                </c:pt>
              </c:numCache>
            </c:numRef>
          </c:val>
        </c:ser>
        <c:ser>
          <c:idx val="1"/>
          <c:order val="1"/>
          <c:tx>
            <c:strRef>
              <c:f>'REDOM organiz graf.'!$L$162</c:f>
              <c:strCache>
                <c:ptCount val="1"/>
                <c:pt idx="0">
                  <c:v>2015.</c:v>
                </c:pt>
              </c:strCache>
            </c:strRef>
          </c:tx>
          <c:invertIfNegative val="0"/>
          <c:dLbls>
            <c:dLbl>
              <c:idx val="0"/>
              <c:layout>
                <c:manualLayout>
                  <c:x val="3.333333333333334E-2"/>
                  <c:y val="-9.259259259259328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1.851851851851858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graf.'!$I$163:$J$173</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graf.'!$L$163:$L$173</c:f>
              <c:numCache>
                <c:formatCode>0.0</c:formatCode>
                <c:ptCount val="11"/>
                <c:pt idx="0">
                  <c:v>4.5506008530004856</c:v>
                </c:pt>
                <c:pt idx="1">
                  <c:v>2.6705117931923597</c:v>
                </c:pt>
                <c:pt idx="2">
                  <c:v>3.2074788273615642</c:v>
                </c:pt>
                <c:pt idx="3">
                  <c:v>5.4588083389806039</c:v>
                </c:pt>
                <c:pt idx="4">
                  <c:v>4.897129548410498</c:v>
                </c:pt>
                <c:pt idx="5">
                  <c:v>5.2350885872421999</c:v>
                </c:pt>
                <c:pt idx="6">
                  <c:v>3.8487092493862081</c:v>
                </c:pt>
                <c:pt idx="7">
                  <c:v>4.2577828890549556</c:v>
                </c:pt>
                <c:pt idx="8">
                  <c:v>4.270019309055578</c:v>
                </c:pt>
                <c:pt idx="9">
                  <c:v>5.4126412936692834</c:v>
                </c:pt>
                <c:pt idx="10">
                  <c:v>2.7283331404246645</c:v>
                </c:pt>
              </c:numCache>
            </c:numRef>
          </c:val>
        </c:ser>
        <c:dLbls>
          <c:showLegendKey val="0"/>
          <c:showVal val="0"/>
          <c:showCatName val="0"/>
          <c:showSerName val="0"/>
          <c:showPercent val="0"/>
          <c:showBubbleSize val="0"/>
        </c:dLbls>
        <c:gapWidth val="150"/>
        <c:shape val="box"/>
        <c:axId val="331973568"/>
        <c:axId val="331973960"/>
        <c:axId val="0"/>
      </c:bar3DChart>
      <c:catAx>
        <c:axId val="331973568"/>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31973960"/>
        <c:crosses val="autoZero"/>
        <c:auto val="1"/>
        <c:lblAlgn val="ctr"/>
        <c:lblOffset val="100"/>
        <c:noMultiLvlLbl val="0"/>
      </c:catAx>
      <c:valAx>
        <c:axId val="331973960"/>
        <c:scaling>
          <c:orientation val="minMax"/>
        </c:scaling>
        <c:delete val="1"/>
        <c:axPos val="l"/>
        <c:numFmt formatCode="0.0" sourceLinked="1"/>
        <c:majorTickMark val="out"/>
        <c:minorTickMark val="none"/>
        <c:tickLblPos val="none"/>
        <c:crossAx val="331973568"/>
        <c:crosses val="autoZero"/>
        <c:crossBetween val="between"/>
      </c:valAx>
    </c:plotArea>
    <c:legend>
      <c:legendPos val="b"/>
      <c:overlay val="0"/>
    </c:legend>
    <c:plotVisOnly val="1"/>
    <c:dispBlanksAs val="gap"/>
    <c:showDLblsOverMax val="0"/>
  </c:chart>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graf.'!$B$184:$G$184</c:f>
              <c:strCache>
                <c:ptCount val="6"/>
                <c:pt idx="0">
                  <c:v>2010.</c:v>
                </c:pt>
                <c:pt idx="1">
                  <c:v>2011.</c:v>
                </c:pt>
                <c:pt idx="2">
                  <c:v>2012.</c:v>
                </c:pt>
                <c:pt idx="3">
                  <c:v>2013.</c:v>
                </c:pt>
                <c:pt idx="4">
                  <c:v>2014.</c:v>
                </c:pt>
                <c:pt idx="5">
                  <c:v>2015.</c:v>
                </c:pt>
              </c:strCache>
            </c:strRef>
          </c:cat>
          <c:val>
            <c:numRef>
              <c:f>'REDOM organiz graf.'!$B$185:$G$185</c:f>
              <c:numCache>
                <c:formatCode>0.0</c:formatCode>
                <c:ptCount val="6"/>
                <c:pt idx="0">
                  <c:v>77.7</c:v>
                </c:pt>
                <c:pt idx="1">
                  <c:v>77.400000000000006</c:v>
                </c:pt>
                <c:pt idx="2">
                  <c:v>88.726609982211997</c:v>
                </c:pt>
                <c:pt idx="3">
                  <c:v>79.8</c:v>
                </c:pt>
                <c:pt idx="4">
                  <c:v>97.1</c:v>
                </c:pt>
                <c:pt idx="5" formatCode="General">
                  <c:v>80.8</c:v>
                </c:pt>
              </c:numCache>
            </c:numRef>
          </c:val>
        </c:ser>
        <c:dLbls>
          <c:showLegendKey val="0"/>
          <c:showVal val="0"/>
          <c:showCatName val="0"/>
          <c:showSerName val="0"/>
          <c:showPercent val="0"/>
          <c:showBubbleSize val="0"/>
        </c:dLbls>
        <c:gapWidth val="150"/>
        <c:axId val="331979056"/>
        <c:axId val="331978664"/>
      </c:barChart>
      <c:catAx>
        <c:axId val="331979056"/>
        <c:scaling>
          <c:orientation val="minMax"/>
        </c:scaling>
        <c:delete val="0"/>
        <c:axPos val="b"/>
        <c:numFmt formatCode="General" sourceLinked="0"/>
        <c:majorTickMark val="out"/>
        <c:minorTickMark val="none"/>
        <c:tickLblPos val="nextTo"/>
        <c:crossAx val="331978664"/>
        <c:crosses val="autoZero"/>
        <c:auto val="1"/>
        <c:lblAlgn val="ctr"/>
        <c:lblOffset val="100"/>
        <c:noMultiLvlLbl val="0"/>
      </c:catAx>
      <c:valAx>
        <c:axId val="331978664"/>
        <c:scaling>
          <c:orientation val="minMax"/>
        </c:scaling>
        <c:delete val="1"/>
        <c:axPos val="l"/>
        <c:numFmt formatCode="0.0" sourceLinked="1"/>
        <c:majorTickMark val="out"/>
        <c:minorTickMark val="none"/>
        <c:tickLblPos val="none"/>
        <c:crossAx val="331979056"/>
        <c:crosses val="autoZero"/>
        <c:crossBetween val="between"/>
      </c:valAx>
    </c:plotArea>
    <c:plotVisOnly val="1"/>
    <c:dispBlanksAs val="gap"/>
    <c:showDLblsOverMax val="0"/>
  </c:chart>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graf.'!$B$193:$G$193</c:f>
              <c:strCache>
                <c:ptCount val="6"/>
                <c:pt idx="0">
                  <c:v>2010.</c:v>
                </c:pt>
                <c:pt idx="1">
                  <c:v>2011.</c:v>
                </c:pt>
                <c:pt idx="2">
                  <c:v>2012.</c:v>
                </c:pt>
                <c:pt idx="3">
                  <c:v>2013.</c:v>
                </c:pt>
                <c:pt idx="4">
                  <c:v>2014.</c:v>
                </c:pt>
                <c:pt idx="5">
                  <c:v>2015.</c:v>
                </c:pt>
              </c:strCache>
            </c:strRef>
          </c:cat>
          <c:val>
            <c:numRef>
              <c:f>'REDOM organiz graf.'!$B$194:$G$194</c:f>
              <c:numCache>
                <c:formatCode>0.0</c:formatCode>
                <c:ptCount val="6"/>
                <c:pt idx="0">
                  <c:v>32.200000000000003</c:v>
                </c:pt>
                <c:pt idx="1">
                  <c:v>32.6</c:v>
                </c:pt>
                <c:pt idx="2">
                  <c:v>33.1</c:v>
                </c:pt>
                <c:pt idx="3">
                  <c:v>30.3</c:v>
                </c:pt>
                <c:pt idx="4" formatCode="General">
                  <c:v>31.7</c:v>
                </c:pt>
                <c:pt idx="5" formatCode="General">
                  <c:v>27.3</c:v>
                </c:pt>
              </c:numCache>
            </c:numRef>
          </c:val>
        </c:ser>
        <c:dLbls>
          <c:showLegendKey val="0"/>
          <c:showVal val="0"/>
          <c:showCatName val="0"/>
          <c:showSerName val="0"/>
          <c:showPercent val="0"/>
          <c:showBubbleSize val="0"/>
        </c:dLbls>
        <c:gapWidth val="150"/>
        <c:axId val="331977096"/>
        <c:axId val="331976312"/>
      </c:barChart>
      <c:catAx>
        <c:axId val="331977096"/>
        <c:scaling>
          <c:orientation val="minMax"/>
        </c:scaling>
        <c:delete val="0"/>
        <c:axPos val="b"/>
        <c:numFmt formatCode="General" sourceLinked="0"/>
        <c:majorTickMark val="out"/>
        <c:minorTickMark val="none"/>
        <c:tickLblPos val="nextTo"/>
        <c:crossAx val="331976312"/>
        <c:crosses val="autoZero"/>
        <c:auto val="1"/>
        <c:lblAlgn val="ctr"/>
        <c:lblOffset val="100"/>
        <c:noMultiLvlLbl val="0"/>
      </c:catAx>
      <c:valAx>
        <c:axId val="331976312"/>
        <c:scaling>
          <c:orientation val="minMax"/>
        </c:scaling>
        <c:delete val="1"/>
        <c:axPos val="l"/>
        <c:numFmt formatCode="0.0" sourceLinked="1"/>
        <c:majorTickMark val="out"/>
        <c:minorTickMark val="none"/>
        <c:tickLblPos val="none"/>
        <c:crossAx val="331977096"/>
        <c:crosses val="autoZero"/>
        <c:crossBetween val="between"/>
      </c:valAx>
    </c:plotArea>
    <c:plotVisOnly val="1"/>
    <c:dispBlanksAs val="gap"/>
    <c:showDLblsOverMax val="0"/>
  </c:chart>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graf.'!$B$350:$B$357</c:f>
              <c:strCache>
                <c:ptCount val="8"/>
                <c:pt idx="0">
                  <c:v>Manje jedu masno</c:v>
                </c:pt>
                <c:pt idx="1">
                  <c:v>Manje koriste so</c:v>
                </c:pt>
                <c:pt idx="2">
                  <c:v>Manje koriste šećer</c:v>
                </c:pt>
                <c:pt idx="3">
                  <c:v>Jedu više voća i povrća</c:v>
                </c:pt>
                <c:pt idx="4">
                  <c:v>Smanje tjelesnu težinu</c:v>
                </c:pt>
                <c:pt idx="5">
                  <c:v>Povećaju fizičku aktivnost</c:v>
                </c:pt>
                <c:pt idx="6">
                  <c:v>Prestanu pušiti</c:v>
                </c:pt>
                <c:pt idx="7">
                  <c:v>Piju manje alkohola</c:v>
                </c:pt>
              </c:strCache>
            </c:strRef>
          </c:cat>
          <c:val>
            <c:numRef>
              <c:f>'REDOM organiz graf.'!$C$350:$C$357</c:f>
              <c:numCache>
                <c:formatCode>General</c:formatCode>
                <c:ptCount val="8"/>
                <c:pt idx="0">
                  <c:v>22</c:v>
                </c:pt>
                <c:pt idx="1">
                  <c:v>20</c:v>
                </c:pt>
                <c:pt idx="2">
                  <c:v>17.7</c:v>
                </c:pt>
                <c:pt idx="3">
                  <c:v>17.399999999999999</c:v>
                </c:pt>
                <c:pt idx="4">
                  <c:v>10.9</c:v>
                </c:pt>
                <c:pt idx="5">
                  <c:v>10.3</c:v>
                </c:pt>
                <c:pt idx="6">
                  <c:v>7.7</c:v>
                </c:pt>
                <c:pt idx="7">
                  <c:v>2.1</c:v>
                </c:pt>
              </c:numCache>
            </c:numRef>
          </c:val>
        </c:ser>
        <c:dLbls>
          <c:showLegendKey val="0"/>
          <c:showVal val="0"/>
          <c:showCatName val="0"/>
          <c:showSerName val="0"/>
          <c:showPercent val="0"/>
          <c:showBubbleSize val="0"/>
        </c:dLbls>
        <c:gapWidth val="150"/>
        <c:axId val="331979448"/>
        <c:axId val="331974744"/>
      </c:barChart>
      <c:catAx>
        <c:axId val="331979448"/>
        <c:scaling>
          <c:orientation val="minMax"/>
        </c:scaling>
        <c:delete val="0"/>
        <c:axPos val="b"/>
        <c:numFmt formatCode="General" sourceLinked="0"/>
        <c:majorTickMark val="out"/>
        <c:minorTickMark val="none"/>
        <c:tickLblPos val="nextTo"/>
        <c:txPr>
          <a:bodyPr/>
          <a:lstStyle/>
          <a:p>
            <a:pPr>
              <a:defRPr lang="hr-BA" sz="900"/>
            </a:pPr>
            <a:endParaRPr lang="en-US"/>
          </a:p>
        </c:txPr>
        <c:crossAx val="331974744"/>
        <c:crosses val="autoZero"/>
        <c:auto val="1"/>
        <c:lblAlgn val="ctr"/>
        <c:lblOffset val="100"/>
        <c:noMultiLvlLbl val="0"/>
      </c:catAx>
      <c:valAx>
        <c:axId val="331974744"/>
        <c:scaling>
          <c:orientation val="minMax"/>
        </c:scaling>
        <c:delete val="1"/>
        <c:axPos val="l"/>
        <c:numFmt formatCode="General" sourceLinked="1"/>
        <c:majorTickMark val="out"/>
        <c:minorTickMark val="none"/>
        <c:tickLblPos val="none"/>
        <c:crossAx val="331979448"/>
        <c:crosses val="autoZero"/>
        <c:crossBetween val="between"/>
      </c:valAx>
    </c:plotArea>
    <c:plotVisOnly val="1"/>
    <c:dispBlanksAs val="gap"/>
    <c:showDLblsOverMax val="0"/>
  </c:chart>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590006643360444E-2"/>
          <c:y val="5.6501372442948464E-2"/>
          <c:w val="0.92356759346990336"/>
          <c:h val="0.65315942377432012"/>
        </c:manualLayout>
      </c:layout>
      <c:barChart>
        <c:barDir val="col"/>
        <c:grouping val="clustered"/>
        <c:varyColors val="0"/>
        <c:ser>
          <c:idx val="0"/>
          <c:order val="0"/>
          <c:tx>
            <c:strRef>
              <c:f>'REDOM organiz graf.'!$A$221</c:f>
              <c:strCache>
                <c:ptCount val="1"/>
                <c:pt idx="0">
                  <c:v>Doktori medicine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graf.'!$B$220:$G$220</c:f>
              <c:strCache>
                <c:ptCount val="6"/>
                <c:pt idx="0">
                  <c:v>2010.</c:v>
                </c:pt>
                <c:pt idx="1">
                  <c:v>2011.</c:v>
                </c:pt>
                <c:pt idx="2">
                  <c:v>2012.</c:v>
                </c:pt>
                <c:pt idx="3">
                  <c:v>2013.</c:v>
                </c:pt>
                <c:pt idx="4">
                  <c:v>2014.</c:v>
                </c:pt>
                <c:pt idx="5">
                  <c:v>2015.</c:v>
                </c:pt>
              </c:strCache>
            </c:strRef>
          </c:cat>
          <c:val>
            <c:numRef>
              <c:f>'REDOM organiz graf.'!$B$221:$G$221</c:f>
              <c:numCache>
                <c:formatCode>0.0</c:formatCode>
                <c:ptCount val="6"/>
                <c:pt idx="0">
                  <c:v>2.8</c:v>
                </c:pt>
                <c:pt idx="1">
                  <c:v>3</c:v>
                </c:pt>
                <c:pt idx="2">
                  <c:v>3.4258109391002129</c:v>
                </c:pt>
                <c:pt idx="3">
                  <c:v>3.3909461291773577</c:v>
                </c:pt>
                <c:pt idx="4">
                  <c:v>3.2</c:v>
                </c:pt>
                <c:pt idx="5">
                  <c:v>3</c:v>
                </c:pt>
              </c:numCache>
            </c:numRef>
          </c:val>
        </c:ser>
        <c:ser>
          <c:idx val="1"/>
          <c:order val="1"/>
          <c:tx>
            <c:strRef>
              <c:f>'REDOM organiz graf.'!$A$222</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graf.'!$B$220:$G$220</c:f>
              <c:strCache>
                <c:ptCount val="6"/>
                <c:pt idx="0">
                  <c:v>2010.</c:v>
                </c:pt>
                <c:pt idx="1">
                  <c:v>2011.</c:v>
                </c:pt>
                <c:pt idx="2">
                  <c:v>2012.</c:v>
                </c:pt>
                <c:pt idx="3">
                  <c:v>2013.</c:v>
                </c:pt>
                <c:pt idx="4">
                  <c:v>2014.</c:v>
                </c:pt>
                <c:pt idx="5">
                  <c:v>2015.</c:v>
                </c:pt>
              </c:strCache>
            </c:strRef>
          </c:cat>
          <c:val>
            <c:numRef>
              <c:f>'REDOM organiz graf.'!$B$222:$G$222</c:f>
              <c:numCache>
                <c:formatCode>0.0</c:formatCode>
                <c:ptCount val="6"/>
                <c:pt idx="0">
                  <c:v>19.7</c:v>
                </c:pt>
                <c:pt idx="1">
                  <c:v>18.399999999999999</c:v>
                </c:pt>
                <c:pt idx="2">
                  <c:v>16.994083227507726</c:v>
                </c:pt>
                <c:pt idx="3">
                  <c:v>17</c:v>
                </c:pt>
                <c:pt idx="4" formatCode="General">
                  <c:v>17.399999999999999</c:v>
                </c:pt>
                <c:pt idx="5" formatCode="General">
                  <c:v>23.1</c:v>
                </c:pt>
              </c:numCache>
            </c:numRef>
          </c:val>
        </c:ser>
        <c:dLbls>
          <c:showLegendKey val="0"/>
          <c:showVal val="0"/>
          <c:showCatName val="0"/>
          <c:showSerName val="0"/>
          <c:showPercent val="0"/>
          <c:showBubbleSize val="0"/>
        </c:dLbls>
        <c:gapWidth val="150"/>
        <c:axId val="331975136"/>
        <c:axId val="331982192"/>
      </c:barChart>
      <c:catAx>
        <c:axId val="331975136"/>
        <c:scaling>
          <c:orientation val="minMax"/>
        </c:scaling>
        <c:delete val="0"/>
        <c:axPos val="b"/>
        <c:numFmt formatCode="General" sourceLinked="0"/>
        <c:majorTickMark val="out"/>
        <c:minorTickMark val="none"/>
        <c:tickLblPos val="nextTo"/>
        <c:crossAx val="331982192"/>
        <c:crosses val="autoZero"/>
        <c:auto val="1"/>
        <c:lblAlgn val="ctr"/>
        <c:lblOffset val="100"/>
        <c:noMultiLvlLbl val="0"/>
      </c:catAx>
      <c:valAx>
        <c:axId val="331982192"/>
        <c:scaling>
          <c:orientation val="minMax"/>
        </c:scaling>
        <c:delete val="1"/>
        <c:axPos val="l"/>
        <c:numFmt formatCode="0.0" sourceLinked="1"/>
        <c:majorTickMark val="out"/>
        <c:minorTickMark val="none"/>
        <c:tickLblPos val="none"/>
        <c:crossAx val="331975136"/>
        <c:crosses val="autoZero"/>
        <c:crossBetween val="between"/>
      </c:valAx>
    </c:plotArea>
    <c:legend>
      <c:legendPos val="b"/>
      <c:overlay val="0"/>
    </c:legend>
    <c:plotVisOnly val="1"/>
    <c:dispBlanksAs val="gap"/>
    <c:showDLblsOverMax val="0"/>
  </c:chart>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'REDOM organiz graf.'!$L$228</c:f>
              <c:strCache>
                <c:ptCount val="1"/>
                <c:pt idx="0">
                  <c:v>2010.</c:v>
                </c:pt>
              </c:strCache>
            </c:strRef>
          </c:tx>
          <c:invertIfNegative val="0"/>
          <c:dLbls>
            <c:dLbl>
              <c:idx val="0"/>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388888888888894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graf.'!$J$229:$K$239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graf.'!$L$229:$L$239</c:f>
              <c:numCache>
                <c:formatCode>0</c:formatCode>
                <c:ptCount val="11"/>
                <c:pt idx="0" formatCode="General">
                  <c:v>24</c:v>
                </c:pt>
                <c:pt idx="1">
                  <c:v>18.063772062986942</c:v>
                </c:pt>
                <c:pt idx="2">
                  <c:v>12.651821862348168</c:v>
                </c:pt>
                <c:pt idx="3">
                  <c:v>10.620242181598101</c:v>
                </c:pt>
                <c:pt idx="4">
                  <c:v>11.74629991552662</c:v>
                </c:pt>
                <c:pt idx="5">
                  <c:v>24.293219155203289</c:v>
                </c:pt>
                <c:pt idx="6">
                  <c:v>13.355750043209815</c:v>
                </c:pt>
                <c:pt idx="7">
                  <c:v>25.303194417316291</c:v>
                </c:pt>
                <c:pt idx="8">
                  <c:v>29.472081342944506</c:v>
                </c:pt>
                <c:pt idx="9">
                  <c:v>57.035265660646949</c:v>
                </c:pt>
                <c:pt idx="10">
                  <c:v>26.144767311570927</c:v>
                </c:pt>
              </c:numCache>
            </c:numRef>
          </c:val>
        </c:ser>
        <c:ser>
          <c:idx val="1"/>
          <c:order val="1"/>
          <c:tx>
            <c:strRef>
              <c:f>'REDOM organiz graf.'!$M$228</c:f>
              <c:strCache>
                <c:ptCount val="1"/>
                <c:pt idx="0">
                  <c:v>2015.</c:v>
                </c:pt>
              </c:strCache>
            </c:strRef>
          </c:tx>
          <c:invertIfNegative val="0"/>
          <c:dLbls>
            <c:dLbl>
              <c:idx val="10"/>
              <c:layout>
                <c:manualLayout>
                  <c:x val="8.3333333333333367E-3"/>
                  <c:y val="-5.847953216374270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graf.'!$J$229:$K$239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graf.'!$M$229:$M$239</c:f>
              <c:numCache>
                <c:formatCode>0</c:formatCode>
                <c:ptCount val="11"/>
                <c:pt idx="0" formatCode="General">
                  <c:v>24</c:v>
                </c:pt>
                <c:pt idx="1">
                  <c:v>18</c:v>
                </c:pt>
                <c:pt idx="2">
                  <c:v>16</c:v>
                </c:pt>
                <c:pt idx="3">
                  <c:v>14</c:v>
                </c:pt>
                <c:pt idx="4">
                  <c:v>12</c:v>
                </c:pt>
                <c:pt idx="5">
                  <c:v>31</c:v>
                </c:pt>
                <c:pt idx="6">
                  <c:v>21</c:v>
                </c:pt>
                <c:pt idx="7">
                  <c:v>24</c:v>
                </c:pt>
                <c:pt idx="8">
                  <c:v>26</c:v>
                </c:pt>
                <c:pt idx="9">
                  <c:v>50</c:v>
                </c:pt>
                <c:pt idx="10">
                  <c:v>26</c:v>
                </c:pt>
              </c:numCache>
            </c:numRef>
          </c:val>
        </c:ser>
        <c:dLbls>
          <c:showLegendKey val="0"/>
          <c:showVal val="0"/>
          <c:showCatName val="0"/>
          <c:showSerName val="0"/>
          <c:showPercent val="0"/>
          <c:showBubbleSize val="0"/>
        </c:dLbls>
        <c:gapWidth val="150"/>
        <c:axId val="331975920"/>
        <c:axId val="331983368"/>
      </c:barChart>
      <c:catAx>
        <c:axId val="331975920"/>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31983368"/>
        <c:crosses val="autoZero"/>
        <c:auto val="1"/>
        <c:lblAlgn val="ctr"/>
        <c:lblOffset val="100"/>
        <c:noMultiLvlLbl val="0"/>
      </c:catAx>
      <c:valAx>
        <c:axId val="331983368"/>
        <c:scaling>
          <c:orientation val="minMax"/>
        </c:scaling>
        <c:delete val="1"/>
        <c:axPos val="l"/>
        <c:numFmt formatCode="General" sourceLinked="1"/>
        <c:majorTickMark val="out"/>
        <c:minorTickMark val="none"/>
        <c:tickLblPos val="none"/>
        <c:crossAx val="331975920"/>
        <c:crosses val="autoZero"/>
        <c:crossBetween val="between"/>
      </c:valAx>
    </c:plotArea>
    <c:legend>
      <c:legendPos val="b"/>
      <c:overlay val="0"/>
    </c:legend>
    <c:plotVisOnly val="1"/>
    <c:dispBlanksAs val="gap"/>
    <c:showDLblsOverMax val="0"/>
  </c:chart>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graf.'!$L$248</c:f>
              <c:strCache>
                <c:ptCount val="1"/>
                <c:pt idx="0">
                  <c:v>2010.</c:v>
                </c:pt>
              </c:strCache>
            </c:strRef>
          </c:tx>
          <c:invertIfNegative val="0"/>
          <c:dLbls>
            <c:dLbl>
              <c:idx val="0"/>
              <c:layout>
                <c:manualLayout>
                  <c:x val="-1.1111111111111125E-2"/>
                  <c:y val="2.038735983690112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67E-3"/>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7777777777777913E-3"/>
                  <c:y val="8.154943934760452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graf.'!$J$249:$K$259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graf.'!$L$249:$L$259</c:f>
              <c:numCache>
                <c:formatCode>0</c:formatCode>
                <c:ptCount val="11"/>
                <c:pt idx="0">
                  <c:v>4250</c:v>
                </c:pt>
                <c:pt idx="1">
                  <c:v>5536</c:v>
                </c:pt>
                <c:pt idx="2">
                  <c:v>7904</c:v>
                </c:pt>
                <c:pt idx="3">
                  <c:v>9416</c:v>
                </c:pt>
                <c:pt idx="4">
                  <c:v>8513</c:v>
                </c:pt>
                <c:pt idx="5">
                  <c:v>4116</c:v>
                </c:pt>
                <c:pt idx="6">
                  <c:v>7487</c:v>
                </c:pt>
                <c:pt idx="7">
                  <c:v>3952</c:v>
                </c:pt>
                <c:pt idx="8">
                  <c:v>3393</c:v>
                </c:pt>
                <c:pt idx="9">
                  <c:v>1753</c:v>
                </c:pt>
                <c:pt idx="10">
                  <c:v>3825</c:v>
                </c:pt>
              </c:numCache>
            </c:numRef>
          </c:val>
        </c:ser>
        <c:ser>
          <c:idx val="1"/>
          <c:order val="1"/>
          <c:tx>
            <c:strRef>
              <c:f>'REDOM organiz graf.'!$M$248</c:f>
              <c:strCache>
                <c:ptCount val="1"/>
                <c:pt idx="0">
                  <c:v>2015</c:v>
                </c:pt>
              </c:strCache>
            </c:strRef>
          </c:tx>
          <c:invertIfNegative val="0"/>
          <c:dLbls>
            <c:dLbl>
              <c:idx val="9"/>
              <c:layout>
                <c:manualLayout>
                  <c:x val="0"/>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7777777777777913E-3"/>
                  <c:y val="-2.038735983690111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graf.'!$J$249:$K$259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graf.'!$M$249:$M$259</c:f>
              <c:numCache>
                <c:formatCode>General</c:formatCode>
                <c:ptCount val="11"/>
                <c:pt idx="0">
                  <c:v>4176</c:v>
                </c:pt>
                <c:pt idx="1">
                  <c:v>5416</c:v>
                </c:pt>
                <c:pt idx="2">
                  <c:v>6396</c:v>
                </c:pt>
                <c:pt idx="3">
                  <c:v>6927</c:v>
                </c:pt>
                <c:pt idx="4">
                  <c:v>8441</c:v>
                </c:pt>
                <c:pt idx="5">
                  <c:v>3234</c:v>
                </c:pt>
                <c:pt idx="6">
                  <c:v>4841</c:v>
                </c:pt>
                <c:pt idx="7">
                  <c:v>4138</c:v>
                </c:pt>
                <c:pt idx="8">
                  <c:v>3872</c:v>
                </c:pt>
                <c:pt idx="9">
                  <c:v>1995</c:v>
                </c:pt>
                <c:pt idx="10">
                  <c:v>3888</c:v>
                </c:pt>
              </c:numCache>
            </c:numRef>
          </c:val>
        </c:ser>
        <c:dLbls>
          <c:showLegendKey val="0"/>
          <c:showVal val="0"/>
          <c:showCatName val="0"/>
          <c:showSerName val="0"/>
          <c:showPercent val="0"/>
          <c:showBubbleSize val="0"/>
        </c:dLbls>
        <c:gapWidth val="150"/>
        <c:axId val="331976704"/>
        <c:axId val="331983760"/>
      </c:barChart>
      <c:catAx>
        <c:axId val="331976704"/>
        <c:scaling>
          <c:orientation val="minMax"/>
        </c:scaling>
        <c:delete val="0"/>
        <c:axPos val="l"/>
        <c:numFmt formatCode="General" sourceLinked="0"/>
        <c:majorTickMark val="out"/>
        <c:minorTickMark val="none"/>
        <c:tickLblPos val="nextTo"/>
        <c:txPr>
          <a:bodyPr rot="0" vert="horz"/>
          <a:lstStyle/>
          <a:p>
            <a:pPr>
              <a:defRPr/>
            </a:pPr>
            <a:endParaRPr lang="en-US"/>
          </a:p>
        </c:txPr>
        <c:crossAx val="331983760"/>
        <c:crosses val="autoZero"/>
        <c:auto val="1"/>
        <c:lblAlgn val="ctr"/>
        <c:lblOffset val="100"/>
        <c:noMultiLvlLbl val="0"/>
      </c:catAx>
      <c:valAx>
        <c:axId val="331983760"/>
        <c:scaling>
          <c:orientation val="minMax"/>
        </c:scaling>
        <c:delete val="1"/>
        <c:axPos val="b"/>
        <c:numFmt formatCode="0" sourceLinked="1"/>
        <c:majorTickMark val="out"/>
        <c:minorTickMark val="none"/>
        <c:tickLblPos val="none"/>
        <c:crossAx val="331976704"/>
        <c:crosses val="autoZero"/>
        <c:crossBetween val="between"/>
      </c:valAx>
    </c:plotArea>
    <c:legend>
      <c:legendPos val="b"/>
      <c:overlay val="0"/>
    </c:legend>
    <c:plotVisOnly val="1"/>
    <c:dispBlanksAs val="gap"/>
    <c:showDLblsOverMax val="0"/>
  </c:chart>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'REDOM organiz graf.'!$L$266</c:f>
              <c:strCache>
                <c:ptCount val="1"/>
                <c:pt idx="0">
                  <c:v>2010.</c:v>
                </c:pt>
              </c:strCache>
            </c:strRef>
          </c:tx>
          <c:invertIfNegative val="0"/>
          <c:dLbls>
            <c:dLbl>
              <c:idx val="0"/>
              <c:layout>
                <c:manualLayout>
                  <c:x val="-3.0555555555555582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938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88888888888899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3333333333332586E-3"/>
                  <c:y val="4.6296296296296459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499999999999989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graf.'!$J$267:$K$277</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graf.'!$L$267:$L$277</c:f>
              <c:numCache>
                <c:formatCode>0.0</c:formatCode>
                <c:ptCount val="11"/>
                <c:pt idx="0">
                  <c:v>0.5</c:v>
                </c:pt>
                <c:pt idx="1">
                  <c:v>0.4</c:v>
                </c:pt>
                <c:pt idx="2">
                  <c:v>0.30000000000000032</c:v>
                </c:pt>
                <c:pt idx="3">
                  <c:v>0.4</c:v>
                </c:pt>
                <c:pt idx="4">
                  <c:v>0.30000000000000032</c:v>
                </c:pt>
                <c:pt idx="5">
                  <c:v>0.5</c:v>
                </c:pt>
                <c:pt idx="6">
                  <c:v>0.30000000000000032</c:v>
                </c:pt>
                <c:pt idx="7">
                  <c:v>0.30000000000000032</c:v>
                </c:pt>
                <c:pt idx="8">
                  <c:v>0.4</c:v>
                </c:pt>
                <c:pt idx="9">
                  <c:v>0.9</c:v>
                </c:pt>
                <c:pt idx="10">
                  <c:v>0.2</c:v>
                </c:pt>
              </c:numCache>
            </c:numRef>
          </c:val>
        </c:ser>
        <c:ser>
          <c:idx val="1"/>
          <c:order val="1"/>
          <c:tx>
            <c:strRef>
              <c:f>'REDOM organiz graf.'!$M$266</c:f>
              <c:strCache>
                <c:ptCount val="1"/>
                <c:pt idx="0">
                  <c:v>2015.</c:v>
                </c:pt>
              </c:strCache>
            </c:strRef>
          </c:tx>
          <c:invertIfNegative val="0"/>
          <c:dLbls>
            <c:dLbl>
              <c:idx val="8"/>
              <c:layout>
                <c:manualLayout>
                  <c:x val="8.333114610673694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graf.'!$J$267:$K$277</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graf.'!$M$267:$M$277</c:f>
              <c:numCache>
                <c:formatCode>0.0</c:formatCode>
                <c:ptCount val="11"/>
                <c:pt idx="0">
                  <c:v>0.5</c:v>
                </c:pt>
                <c:pt idx="1">
                  <c:v>0.4</c:v>
                </c:pt>
                <c:pt idx="2">
                  <c:v>0.30000000000000032</c:v>
                </c:pt>
                <c:pt idx="3">
                  <c:v>0.4</c:v>
                </c:pt>
                <c:pt idx="4">
                  <c:v>0.30000000000000032</c:v>
                </c:pt>
                <c:pt idx="5">
                  <c:v>0.9</c:v>
                </c:pt>
                <c:pt idx="6">
                  <c:v>0.30000000000000032</c:v>
                </c:pt>
                <c:pt idx="7">
                  <c:v>0.30000000000000032</c:v>
                </c:pt>
                <c:pt idx="8">
                  <c:v>0.4</c:v>
                </c:pt>
                <c:pt idx="9">
                  <c:v>0.9</c:v>
                </c:pt>
                <c:pt idx="10">
                  <c:v>0.30000000000000032</c:v>
                </c:pt>
              </c:numCache>
            </c:numRef>
          </c:val>
        </c:ser>
        <c:dLbls>
          <c:showLegendKey val="0"/>
          <c:showVal val="0"/>
          <c:showCatName val="0"/>
          <c:showSerName val="0"/>
          <c:showPercent val="0"/>
          <c:showBubbleSize val="0"/>
        </c:dLbls>
        <c:gapWidth val="150"/>
        <c:axId val="331979840"/>
        <c:axId val="331984544"/>
      </c:barChart>
      <c:catAx>
        <c:axId val="331979840"/>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31984544"/>
        <c:crosses val="autoZero"/>
        <c:auto val="1"/>
        <c:lblAlgn val="ctr"/>
        <c:lblOffset val="100"/>
        <c:noMultiLvlLbl val="0"/>
      </c:catAx>
      <c:valAx>
        <c:axId val="331984544"/>
        <c:scaling>
          <c:orientation val="minMax"/>
        </c:scaling>
        <c:delete val="1"/>
        <c:axPos val="l"/>
        <c:numFmt formatCode="0.0" sourceLinked="1"/>
        <c:majorTickMark val="out"/>
        <c:minorTickMark val="none"/>
        <c:tickLblPos val="none"/>
        <c:crossAx val="331979840"/>
        <c:crosses val="autoZero"/>
        <c:crossBetween val="between"/>
      </c:valAx>
    </c:plotArea>
    <c:legend>
      <c:legendPos val="b"/>
      <c:overlay val="0"/>
    </c:legend>
    <c:plotVisOnly val="1"/>
    <c:dispBlanksAs val="gap"/>
    <c:showDLblsOverMax val="0"/>
  </c:chart>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'Spec-konsult. zaštita'!$K$113</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'Spec-konsult. zaštita'!$J$114:$J$116</c:f>
              <c:strCache>
                <c:ptCount val="3"/>
                <c:pt idx="0">
                  <c:v>Dr medicine</c:v>
                </c:pt>
                <c:pt idx="1">
                  <c:v>Med.sestre/tehničari</c:v>
                </c:pt>
                <c:pt idx="2">
                  <c:v>Zdravstveni saradnici</c:v>
                </c:pt>
              </c:strCache>
            </c:strRef>
          </c:cat>
          <c:val>
            <c:numRef>
              <c:f>'Spec-konsult. zaštita'!$K$114:$K$116</c:f>
              <c:numCache>
                <c:formatCode>0.0</c:formatCode>
                <c:ptCount val="3"/>
                <c:pt idx="0">
                  <c:v>28.2</c:v>
                </c:pt>
                <c:pt idx="1">
                  <c:v>55.3</c:v>
                </c:pt>
                <c:pt idx="2">
                  <c:v>4.0999999999999996</c:v>
                </c:pt>
              </c:numCache>
            </c:numRef>
          </c:val>
        </c:ser>
        <c:ser>
          <c:idx val="1"/>
          <c:order val="1"/>
          <c:tx>
            <c:strRef>
              <c:f>'Spec-konsult. zaštita'!$L$113</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'Spec-konsult. zaštita'!$J$114:$J$116</c:f>
              <c:strCache>
                <c:ptCount val="3"/>
                <c:pt idx="0">
                  <c:v>Dr medicine</c:v>
                </c:pt>
                <c:pt idx="1">
                  <c:v>Med.sestre/tehničari</c:v>
                </c:pt>
                <c:pt idx="2">
                  <c:v>Zdravstveni saradnici</c:v>
                </c:pt>
              </c:strCache>
            </c:strRef>
          </c:cat>
          <c:val>
            <c:numRef>
              <c:f>'Spec-konsult. zaštita'!$L$114:$L$116</c:f>
              <c:numCache>
                <c:formatCode>0.0</c:formatCode>
                <c:ptCount val="3"/>
                <c:pt idx="0">
                  <c:v>27.9</c:v>
                </c:pt>
                <c:pt idx="1">
                  <c:v>59.7</c:v>
                </c:pt>
                <c:pt idx="2">
                  <c:v>5.8</c:v>
                </c:pt>
              </c:numCache>
            </c:numRef>
          </c:val>
        </c:ser>
        <c:dLbls>
          <c:showLegendKey val="0"/>
          <c:showVal val="0"/>
          <c:showCatName val="0"/>
          <c:showSerName val="0"/>
          <c:showPercent val="0"/>
          <c:showBubbleSize val="0"/>
        </c:dLbls>
        <c:gapWidth val="150"/>
        <c:axId val="331977488"/>
        <c:axId val="331978272"/>
      </c:barChart>
      <c:catAx>
        <c:axId val="331977488"/>
        <c:scaling>
          <c:orientation val="minMax"/>
        </c:scaling>
        <c:delete val="0"/>
        <c:axPos val="b"/>
        <c:numFmt formatCode="General" sourceLinked="0"/>
        <c:majorTickMark val="out"/>
        <c:minorTickMark val="none"/>
        <c:tickLblPos val="nextTo"/>
        <c:crossAx val="331978272"/>
        <c:crosses val="autoZero"/>
        <c:auto val="1"/>
        <c:lblAlgn val="ctr"/>
        <c:lblOffset val="100"/>
        <c:noMultiLvlLbl val="0"/>
      </c:catAx>
      <c:valAx>
        <c:axId val="331978272"/>
        <c:scaling>
          <c:orientation val="minMax"/>
        </c:scaling>
        <c:delete val="1"/>
        <c:axPos val="l"/>
        <c:numFmt formatCode="0.0" sourceLinked="1"/>
        <c:majorTickMark val="out"/>
        <c:minorTickMark val="none"/>
        <c:tickLblPos val="none"/>
        <c:crossAx val="331977488"/>
        <c:crosses val="autoZero"/>
        <c:crossBetween val="between"/>
      </c:valAx>
    </c:plotArea>
    <c:legend>
      <c:legendPos val="b"/>
      <c:overlay val="0"/>
    </c:legend>
    <c:plotVisOnly val="1"/>
    <c:dispBlanksAs val="gap"/>
    <c:showDLblsOverMax val="0"/>
  </c:chart>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BOLNICE!$F$2:$K$2</c:f>
              <c:strCache>
                <c:ptCount val="6"/>
                <c:pt idx="0">
                  <c:v>2010.</c:v>
                </c:pt>
                <c:pt idx="1">
                  <c:v>2011.</c:v>
                </c:pt>
                <c:pt idx="2">
                  <c:v>2012.</c:v>
                </c:pt>
                <c:pt idx="3">
                  <c:v>2013.</c:v>
                </c:pt>
                <c:pt idx="4">
                  <c:v>2014.</c:v>
                </c:pt>
                <c:pt idx="5">
                  <c:v>2015.</c:v>
                </c:pt>
              </c:strCache>
            </c:strRef>
          </c:cat>
          <c:val>
            <c:numRef>
              <c:f>BOLNICE!$F$3:$K$3</c:f>
              <c:numCache>
                <c:formatCode>General</c:formatCode>
                <c:ptCount val="6"/>
                <c:pt idx="0">
                  <c:v>3.6</c:v>
                </c:pt>
                <c:pt idx="1">
                  <c:v>3.7</c:v>
                </c:pt>
                <c:pt idx="2">
                  <c:v>3.7</c:v>
                </c:pt>
                <c:pt idx="3">
                  <c:v>3.5</c:v>
                </c:pt>
                <c:pt idx="4">
                  <c:v>3.6</c:v>
                </c:pt>
                <c:pt idx="5">
                  <c:v>3.6</c:v>
                </c:pt>
              </c:numCache>
            </c:numRef>
          </c:val>
        </c:ser>
        <c:dLbls>
          <c:showLegendKey val="0"/>
          <c:showVal val="0"/>
          <c:showCatName val="0"/>
          <c:showSerName val="0"/>
          <c:showPercent val="0"/>
          <c:showBubbleSize val="0"/>
        </c:dLbls>
        <c:gapWidth val="150"/>
        <c:axId val="331980624"/>
        <c:axId val="331985328"/>
      </c:barChart>
      <c:catAx>
        <c:axId val="331980624"/>
        <c:scaling>
          <c:orientation val="minMax"/>
        </c:scaling>
        <c:delete val="0"/>
        <c:axPos val="b"/>
        <c:numFmt formatCode="General" sourceLinked="0"/>
        <c:majorTickMark val="out"/>
        <c:minorTickMark val="none"/>
        <c:tickLblPos val="nextTo"/>
        <c:crossAx val="331985328"/>
        <c:crosses val="autoZero"/>
        <c:auto val="1"/>
        <c:lblAlgn val="ctr"/>
        <c:lblOffset val="100"/>
        <c:noMultiLvlLbl val="0"/>
      </c:catAx>
      <c:valAx>
        <c:axId val="331985328"/>
        <c:scaling>
          <c:orientation val="minMax"/>
        </c:scaling>
        <c:delete val="1"/>
        <c:axPos val="l"/>
        <c:numFmt formatCode="General" sourceLinked="1"/>
        <c:majorTickMark val="out"/>
        <c:minorTickMark val="none"/>
        <c:tickLblPos val="none"/>
        <c:crossAx val="331980624"/>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Sheet1!$B$20</c:f>
              <c:strCache>
                <c:ptCount val="1"/>
                <c:pt idx="0">
                  <c:v>Oboljenja cirkulatornog sistema (I00-I99)</c:v>
                </c:pt>
              </c:strCache>
            </c:strRef>
          </c:tx>
          <c:invertIfNegative val="0"/>
          <c:dLbls>
            <c:dLbl>
              <c:idx val="0"/>
              <c:layout>
                <c:manualLayout>
                  <c:x val="2.1609940572663543E-2"/>
                  <c:y val="-2.09643605870021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28795245813074E-2"/>
                  <c:y val="-1.677148846960170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Sheet1!$C$20:$D$20</c:f>
              <c:numCache>
                <c:formatCode>0.0</c:formatCode>
                <c:ptCount val="2"/>
                <c:pt idx="0">
                  <c:v>472.09602765158223</c:v>
                </c:pt>
                <c:pt idx="1">
                  <c:v>500.01113801369695</c:v>
                </c:pt>
              </c:numCache>
            </c:numRef>
          </c:val>
        </c:ser>
        <c:ser>
          <c:idx val="1"/>
          <c:order val="1"/>
          <c:tx>
            <c:strRef>
              <c:f>Sheet1!$B$21</c:f>
              <c:strCache>
                <c:ptCount val="1"/>
                <c:pt idx="0">
                  <c:v>Maligne neoplazme (C00-C97)</c:v>
                </c:pt>
              </c:strCache>
            </c:strRef>
          </c:tx>
          <c:invertIfNegative val="0"/>
          <c:dLbls>
            <c:dLbl>
              <c:idx val="0"/>
              <c:layout>
                <c:manualLayout>
                  <c:x val="2.3770934629929821E-2"/>
                  <c:y val="-2.515723270440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092922744462453E-2"/>
                  <c:y val="-2.09643605870021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Sheet1!$C$21:$D$21</c:f>
              <c:numCache>
                <c:formatCode>0.0</c:formatCode>
                <c:ptCount val="2"/>
                <c:pt idx="0">
                  <c:v>176.37295415073194</c:v>
                </c:pt>
                <c:pt idx="1">
                  <c:v>194.9</c:v>
                </c:pt>
              </c:numCache>
            </c:numRef>
          </c:val>
        </c:ser>
        <c:ser>
          <c:idx val="2"/>
          <c:order val="2"/>
          <c:tx>
            <c:strRef>
              <c:f>Sheet1!$B$22</c:f>
              <c:strCache>
                <c:ptCount val="1"/>
                <c:pt idx="0">
                  <c:v>Endokrina i metabolička ob. sa poremećajem u ishrani (E00-E99)</c:v>
                </c:pt>
              </c:strCache>
            </c:strRef>
          </c:tx>
          <c:invertIfNegative val="0"/>
          <c:dLbls>
            <c:dLbl>
              <c:idx val="0"/>
              <c:layout>
                <c:manualLayout>
                  <c:x val="2.1609940572663525E-2"/>
                  <c:y val="-5.45073375262055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1269584008644E-2"/>
                  <c:y val="-2.9350104821802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Sheet1!$C$22:$D$22</c:f>
              <c:numCache>
                <c:formatCode>0.0</c:formatCode>
                <c:ptCount val="2"/>
                <c:pt idx="0">
                  <c:v>50.007272229494454</c:v>
                </c:pt>
                <c:pt idx="1">
                  <c:v>51.277701525222348</c:v>
                </c:pt>
              </c:numCache>
            </c:numRef>
          </c:val>
        </c:ser>
        <c:ser>
          <c:idx val="3"/>
          <c:order val="3"/>
          <c:tx>
            <c:strRef>
              <c:f>Sheet1!$B$23</c:f>
              <c:strCache>
                <c:ptCount val="1"/>
                <c:pt idx="0">
                  <c:v>Simptomi,znaci i nenormalni klinički i lab.nalazi (R00-R99)</c:v>
                </c:pt>
              </c:strCache>
            </c:strRef>
          </c:tx>
          <c:invertIfNegative val="0"/>
          <c:dLbls>
            <c:dLbl>
              <c:idx val="0"/>
              <c:layout>
                <c:manualLayout>
                  <c:x val="1.9448946515397084E-2"/>
                  <c:y val="-1.677148846960171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1269584008644E-2"/>
                  <c:y val="-2.9350104821802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Sheet1!$C$23:$D$23</c:f>
              <c:numCache>
                <c:formatCode>0.0</c:formatCode>
                <c:ptCount val="2"/>
                <c:pt idx="0">
                  <c:v>43.804488248932614</c:v>
                </c:pt>
                <c:pt idx="1">
                  <c:v>22.061834824970386</c:v>
                </c:pt>
              </c:numCache>
            </c:numRef>
          </c:val>
        </c:ser>
        <c:ser>
          <c:idx val="4"/>
          <c:order val="4"/>
          <c:tx>
            <c:strRef>
              <c:f>Sheet1!$B$24</c:f>
              <c:strCache>
                <c:ptCount val="1"/>
                <c:pt idx="0">
                  <c:v>Oboljenja respiratornog sistema (J00-J99)</c:v>
                </c:pt>
              </c:strCache>
            </c:strRef>
          </c:tx>
          <c:invertIfNegative val="0"/>
          <c:dLbls>
            <c:dLbl>
              <c:idx val="0"/>
              <c:layout>
                <c:manualLayout>
                  <c:x val="2.5931928687196182E-2"/>
                  <c:y val="-8.385744234800873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24149108589952E-2"/>
                  <c:y val="0"/>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Sheet1!$C$24:$D$24</c:f>
              <c:numCache>
                <c:formatCode>0.0</c:formatCode>
                <c:ptCount val="2"/>
                <c:pt idx="0">
                  <c:v>29.046140157251269</c:v>
                </c:pt>
                <c:pt idx="1">
                  <c:v>45.151793991298533</c:v>
                </c:pt>
              </c:numCache>
            </c:numRef>
          </c:val>
        </c:ser>
        <c:dLbls>
          <c:showLegendKey val="0"/>
          <c:showVal val="0"/>
          <c:showCatName val="0"/>
          <c:showSerName val="0"/>
          <c:showPercent val="0"/>
          <c:showBubbleSize val="0"/>
        </c:dLbls>
        <c:gapWidth val="150"/>
        <c:shape val="box"/>
        <c:axId val="262608256"/>
        <c:axId val="262609824"/>
        <c:axId val="0"/>
      </c:bar3DChart>
      <c:catAx>
        <c:axId val="262608256"/>
        <c:scaling>
          <c:orientation val="minMax"/>
        </c:scaling>
        <c:delete val="0"/>
        <c:axPos val="b"/>
        <c:numFmt formatCode="General" sourceLinked="0"/>
        <c:majorTickMark val="out"/>
        <c:minorTickMark val="none"/>
        <c:tickLblPos val="nextTo"/>
        <c:crossAx val="262609824"/>
        <c:crosses val="autoZero"/>
        <c:auto val="1"/>
        <c:lblAlgn val="ctr"/>
        <c:lblOffset val="100"/>
        <c:noMultiLvlLbl val="0"/>
      </c:catAx>
      <c:valAx>
        <c:axId val="262609824"/>
        <c:scaling>
          <c:orientation val="minMax"/>
        </c:scaling>
        <c:delete val="1"/>
        <c:axPos val="l"/>
        <c:numFmt formatCode="0.0" sourceLinked="1"/>
        <c:majorTickMark val="out"/>
        <c:minorTickMark val="none"/>
        <c:tickLblPos val="nextTo"/>
        <c:crossAx val="262608256"/>
        <c:crosses val="autoZero"/>
        <c:crossBetween val="between"/>
      </c:valAx>
    </c:plotArea>
    <c:legend>
      <c:legendPos val="r"/>
      <c:layout>
        <c:manualLayout>
          <c:xMode val="edge"/>
          <c:yMode val="edge"/>
          <c:x val="0.65223641132524079"/>
          <c:y val="0.11545418928216497"/>
          <c:w val="0.33417201545015845"/>
          <c:h val="0.86011056111918038"/>
        </c:manualLayout>
      </c:layout>
      <c:overlay val="0"/>
    </c:legend>
    <c:plotVisOnly val="1"/>
    <c:dispBlanksAs val="gap"/>
    <c:showDLblsOverMax val="0"/>
  </c:chart>
  <c:spPr>
    <a:ln cap="sq"/>
  </c:sp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8"/>
            <c:invertIfNegative val="0"/>
            <c:bubble3D val="0"/>
            <c:spPr>
              <a:solidFill>
                <a:schemeClr val="tx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BOLNICE!$E$75:$E$84</c:f>
              <c:strCache>
                <c:ptCount val="10"/>
                <c:pt idx="0">
                  <c:v>Evropski Region</c:v>
                </c:pt>
                <c:pt idx="1">
                  <c:v>Mađarska</c:v>
                </c:pt>
                <c:pt idx="2">
                  <c:v>Čehoslovačka</c:v>
                </c:pt>
                <c:pt idx="3">
                  <c:v>Bugarska</c:v>
                </c:pt>
                <c:pt idx="4">
                  <c:v>Hrvatska</c:v>
                </c:pt>
                <c:pt idx="5">
                  <c:v>TFYR Makedonija </c:v>
                </c:pt>
                <c:pt idx="6">
                  <c:v>Slovenija</c:v>
                </c:pt>
                <c:pt idx="7">
                  <c:v>Crna Gora</c:v>
                </c:pt>
                <c:pt idx="8">
                  <c:v>FBiH</c:v>
                </c:pt>
                <c:pt idx="9">
                  <c:v>Albanija</c:v>
                </c:pt>
              </c:strCache>
            </c:strRef>
          </c:cat>
          <c:val>
            <c:numRef>
              <c:f>BOLNICE!$H$75:$H$84</c:f>
              <c:numCache>
                <c:formatCode>General</c:formatCode>
                <c:ptCount val="10"/>
                <c:pt idx="0">
                  <c:v>567</c:v>
                </c:pt>
                <c:pt idx="1">
                  <c:v>704</c:v>
                </c:pt>
                <c:pt idx="2">
                  <c:v>646</c:v>
                </c:pt>
                <c:pt idx="3">
                  <c:v>682</c:v>
                </c:pt>
                <c:pt idx="4">
                  <c:v>586</c:v>
                </c:pt>
                <c:pt idx="5">
                  <c:v>443</c:v>
                </c:pt>
                <c:pt idx="6">
                  <c:v>455</c:v>
                </c:pt>
                <c:pt idx="7">
                  <c:v>399</c:v>
                </c:pt>
                <c:pt idx="8">
                  <c:v>357</c:v>
                </c:pt>
                <c:pt idx="9">
                  <c:v>289</c:v>
                </c:pt>
              </c:numCache>
            </c:numRef>
          </c:val>
        </c:ser>
        <c:dLbls>
          <c:showLegendKey val="0"/>
          <c:showVal val="0"/>
          <c:showCatName val="0"/>
          <c:showSerName val="0"/>
          <c:showPercent val="0"/>
          <c:showBubbleSize val="0"/>
        </c:dLbls>
        <c:gapWidth val="150"/>
        <c:axId val="331981016"/>
        <c:axId val="331981408"/>
      </c:barChart>
      <c:catAx>
        <c:axId val="331981016"/>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31981408"/>
        <c:crosses val="autoZero"/>
        <c:auto val="1"/>
        <c:lblAlgn val="ctr"/>
        <c:lblOffset val="100"/>
        <c:noMultiLvlLbl val="0"/>
      </c:catAx>
      <c:valAx>
        <c:axId val="331981408"/>
        <c:scaling>
          <c:orientation val="minMax"/>
        </c:scaling>
        <c:delete val="1"/>
        <c:axPos val="l"/>
        <c:numFmt formatCode="General" sourceLinked="1"/>
        <c:majorTickMark val="out"/>
        <c:minorTickMark val="none"/>
        <c:tickLblPos val="none"/>
        <c:crossAx val="331981016"/>
        <c:crosses val="autoZero"/>
        <c:crossBetween val="between"/>
      </c:valAx>
    </c:plotArea>
    <c:plotVisOnly val="1"/>
    <c:dispBlanksAs val="gap"/>
    <c:showDLblsOverMax val="0"/>
  </c:chart>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tx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BOLNICE!$E$88:$E$98</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BOLNICE!$F$88:$F$98</c:f>
              <c:numCache>
                <c:formatCode>0.0</c:formatCode>
                <c:ptCount val="11"/>
                <c:pt idx="0">
                  <c:v>3.6</c:v>
                </c:pt>
                <c:pt idx="1">
                  <c:v>2.2999999999999998</c:v>
                </c:pt>
                <c:pt idx="2">
                  <c:v>2.9</c:v>
                </c:pt>
                <c:pt idx="3">
                  <c:v>3.2</c:v>
                </c:pt>
                <c:pt idx="4">
                  <c:v>2.9</c:v>
                </c:pt>
                <c:pt idx="5">
                  <c:v>2.5</c:v>
                </c:pt>
                <c:pt idx="6">
                  <c:v>5</c:v>
                </c:pt>
                <c:pt idx="7">
                  <c:v>4.7</c:v>
                </c:pt>
                <c:pt idx="8">
                  <c:v>0</c:v>
                </c:pt>
                <c:pt idx="9">
                  <c:v>5</c:v>
                </c:pt>
                <c:pt idx="10">
                  <c:v>2.7</c:v>
                </c:pt>
              </c:numCache>
            </c:numRef>
          </c:val>
        </c:ser>
        <c:dLbls>
          <c:showLegendKey val="0"/>
          <c:showVal val="0"/>
          <c:showCatName val="0"/>
          <c:showSerName val="0"/>
          <c:showPercent val="0"/>
          <c:showBubbleSize val="0"/>
        </c:dLbls>
        <c:gapWidth val="150"/>
        <c:axId val="331986504"/>
        <c:axId val="331987680"/>
      </c:barChart>
      <c:catAx>
        <c:axId val="331986504"/>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331987680"/>
        <c:crosses val="autoZero"/>
        <c:auto val="1"/>
        <c:lblAlgn val="ctr"/>
        <c:lblOffset val="100"/>
        <c:noMultiLvlLbl val="0"/>
      </c:catAx>
      <c:valAx>
        <c:axId val="331987680"/>
        <c:scaling>
          <c:orientation val="minMax"/>
        </c:scaling>
        <c:delete val="1"/>
        <c:axPos val="l"/>
        <c:numFmt formatCode="0.0" sourceLinked="1"/>
        <c:majorTickMark val="out"/>
        <c:minorTickMark val="none"/>
        <c:tickLblPos val="none"/>
        <c:crossAx val="331986504"/>
        <c:crosses val="autoZero"/>
        <c:crossBetween val="between"/>
      </c:valAx>
    </c:plotArea>
    <c:plotVisOnly val="1"/>
    <c:dispBlanksAs val="gap"/>
    <c:showDLblsOverMax val="0"/>
  </c:chart>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BOLNICE!$E$15</c:f>
              <c:strCache>
                <c:ptCount val="1"/>
                <c:pt idx="0">
                  <c:v>Dužina ležanja (dani)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BOLNICE!$F$14:$K$14</c:f>
              <c:strCache>
                <c:ptCount val="6"/>
                <c:pt idx="0">
                  <c:v>2010.</c:v>
                </c:pt>
                <c:pt idx="1">
                  <c:v>2011.</c:v>
                </c:pt>
                <c:pt idx="2">
                  <c:v>2012.</c:v>
                </c:pt>
                <c:pt idx="3">
                  <c:v>2013.</c:v>
                </c:pt>
                <c:pt idx="4">
                  <c:v>2014.</c:v>
                </c:pt>
                <c:pt idx="5">
                  <c:v>2015.</c:v>
                </c:pt>
              </c:strCache>
            </c:strRef>
          </c:cat>
          <c:val>
            <c:numRef>
              <c:f>BOLNICE!$F$15:$K$15</c:f>
              <c:numCache>
                <c:formatCode>0.0</c:formatCode>
                <c:ptCount val="6"/>
                <c:pt idx="0">
                  <c:v>8.4</c:v>
                </c:pt>
                <c:pt idx="1">
                  <c:v>8.3000000000000007</c:v>
                </c:pt>
                <c:pt idx="2">
                  <c:v>8.1</c:v>
                </c:pt>
                <c:pt idx="3">
                  <c:v>7.9</c:v>
                </c:pt>
                <c:pt idx="4">
                  <c:v>7.7</c:v>
                </c:pt>
                <c:pt idx="5">
                  <c:v>7.6</c:v>
                </c:pt>
              </c:numCache>
            </c:numRef>
          </c:val>
        </c:ser>
        <c:ser>
          <c:idx val="1"/>
          <c:order val="1"/>
          <c:tx>
            <c:strRef>
              <c:f>BOLNICE!$E$16</c:f>
              <c:strCache>
                <c:ptCount val="1"/>
                <c:pt idx="0">
                  <c:v>Zauzetost postelja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BOLNICE!$F$14:$K$14</c:f>
              <c:strCache>
                <c:ptCount val="6"/>
                <c:pt idx="0">
                  <c:v>2010.</c:v>
                </c:pt>
                <c:pt idx="1">
                  <c:v>2011.</c:v>
                </c:pt>
                <c:pt idx="2">
                  <c:v>2012.</c:v>
                </c:pt>
                <c:pt idx="3">
                  <c:v>2013.</c:v>
                </c:pt>
                <c:pt idx="4">
                  <c:v>2014.</c:v>
                </c:pt>
                <c:pt idx="5">
                  <c:v>2015.</c:v>
                </c:pt>
              </c:strCache>
            </c:strRef>
          </c:cat>
          <c:val>
            <c:numRef>
              <c:f>BOLNICE!$F$16:$K$16</c:f>
              <c:numCache>
                <c:formatCode>0.0</c:formatCode>
                <c:ptCount val="6"/>
                <c:pt idx="0">
                  <c:v>66</c:v>
                </c:pt>
                <c:pt idx="1">
                  <c:v>63.5</c:v>
                </c:pt>
                <c:pt idx="2">
                  <c:v>62.9</c:v>
                </c:pt>
                <c:pt idx="3">
                  <c:v>63.6</c:v>
                </c:pt>
                <c:pt idx="4">
                  <c:v>62.2</c:v>
                </c:pt>
                <c:pt idx="5">
                  <c:v>59.5</c:v>
                </c:pt>
              </c:numCache>
            </c:numRef>
          </c:val>
        </c:ser>
        <c:dLbls>
          <c:showLegendKey val="0"/>
          <c:showVal val="0"/>
          <c:showCatName val="0"/>
          <c:showSerName val="0"/>
          <c:showPercent val="0"/>
          <c:showBubbleSize val="0"/>
        </c:dLbls>
        <c:gapWidth val="150"/>
        <c:axId val="331986896"/>
        <c:axId val="331988072"/>
      </c:barChart>
      <c:catAx>
        <c:axId val="331986896"/>
        <c:scaling>
          <c:orientation val="minMax"/>
        </c:scaling>
        <c:delete val="0"/>
        <c:axPos val="l"/>
        <c:numFmt formatCode="General" sourceLinked="0"/>
        <c:majorTickMark val="out"/>
        <c:minorTickMark val="none"/>
        <c:tickLblPos val="nextTo"/>
        <c:crossAx val="331988072"/>
        <c:crosses val="autoZero"/>
        <c:auto val="1"/>
        <c:lblAlgn val="ctr"/>
        <c:lblOffset val="100"/>
        <c:noMultiLvlLbl val="0"/>
      </c:catAx>
      <c:valAx>
        <c:axId val="331988072"/>
        <c:scaling>
          <c:orientation val="minMax"/>
        </c:scaling>
        <c:delete val="1"/>
        <c:axPos val="b"/>
        <c:numFmt formatCode="0.0" sourceLinked="1"/>
        <c:majorTickMark val="out"/>
        <c:minorTickMark val="none"/>
        <c:tickLblPos val="none"/>
        <c:crossAx val="331986896"/>
        <c:crosses val="autoZero"/>
        <c:crossBetween val="between"/>
      </c:valAx>
    </c:plotArea>
    <c:legend>
      <c:legendPos val="r"/>
      <c:overlay val="0"/>
    </c:legend>
    <c:plotVisOnly val="1"/>
    <c:dispBlanksAs val="gap"/>
    <c:showDLblsOverMax val="0"/>
  </c:chart>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BOLNICE!$F$35</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BOLNICE!$E$36:$E$42</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BOLNICE!$F$36:$F$42</c:f>
              <c:numCache>
                <c:formatCode>0.0</c:formatCode>
                <c:ptCount val="7"/>
                <c:pt idx="0">
                  <c:v>51</c:v>
                </c:pt>
                <c:pt idx="1">
                  <c:v>64.3</c:v>
                </c:pt>
                <c:pt idx="2">
                  <c:v>50.8</c:v>
                </c:pt>
                <c:pt idx="3">
                  <c:v>68</c:v>
                </c:pt>
                <c:pt idx="4">
                  <c:v>66.7</c:v>
                </c:pt>
                <c:pt idx="5">
                  <c:v>66.5</c:v>
                </c:pt>
                <c:pt idx="6">
                  <c:v>60.7</c:v>
                </c:pt>
              </c:numCache>
            </c:numRef>
          </c:val>
        </c:ser>
        <c:ser>
          <c:idx val="1"/>
          <c:order val="1"/>
          <c:tx>
            <c:strRef>
              <c:f>BOLNICE!$H$35</c:f>
              <c:strCache>
                <c:ptCount val="1"/>
                <c:pt idx="0">
                  <c:v>2015.</c:v>
                </c:pt>
              </c:strCache>
            </c:strRef>
          </c:tx>
          <c:invertIfNegative val="0"/>
          <c:dLbls>
            <c:dLbl>
              <c:idx val="2"/>
              <c:layout>
                <c:manualLayout>
                  <c:x val="-8.3333333333333367E-3"/>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BOLNICE!$E$36:$E$42</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BOLNICE!$H$36:$H$42</c:f>
              <c:numCache>
                <c:formatCode>0.0</c:formatCode>
                <c:ptCount val="7"/>
                <c:pt idx="0">
                  <c:v>46.4</c:v>
                </c:pt>
                <c:pt idx="1">
                  <c:v>60.9</c:v>
                </c:pt>
                <c:pt idx="2">
                  <c:v>39.5</c:v>
                </c:pt>
                <c:pt idx="3">
                  <c:v>63.2</c:v>
                </c:pt>
                <c:pt idx="4">
                  <c:v>65.900000000000006</c:v>
                </c:pt>
                <c:pt idx="5">
                  <c:v>58</c:v>
                </c:pt>
                <c:pt idx="6">
                  <c:v>52.3</c:v>
                </c:pt>
              </c:numCache>
            </c:numRef>
          </c:val>
        </c:ser>
        <c:dLbls>
          <c:showLegendKey val="0"/>
          <c:showVal val="0"/>
          <c:showCatName val="0"/>
          <c:showSerName val="0"/>
          <c:showPercent val="0"/>
          <c:showBubbleSize val="0"/>
        </c:dLbls>
        <c:gapWidth val="150"/>
        <c:axId val="331988856"/>
        <c:axId val="331985720"/>
      </c:barChart>
      <c:catAx>
        <c:axId val="331988856"/>
        <c:scaling>
          <c:orientation val="minMax"/>
        </c:scaling>
        <c:delete val="0"/>
        <c:axPos val="l"/>
        <c:numFmt formatCode="General" sourceLinked="0"/>
        <c:majorTickMark val="out"/>
        <c:minorTickMark val="none"/>
        <c:tickLblPos val="nextTo"/>
        <c:crossAx val="331985720"/>
        <c:crosses val="autoZero"/>
        <c:auto val="1"/>
        <c:lblAlgn val="ctr"/>
        <c:lblOffset val="100"/>
        <c:noMultiLvlLbl val="0"/>
      </c:catAx>
      <c:valAx>
        <c:axId val="331985720"/>
        <c:scaling>
          <c:orientation val="minMax"/>
        </c:scaling>
        <c:delete val="1"/>
        <c:axPos val="b"/>
        <c:numFmt formatCode="0.0" sourceLinked="1"/>
        <c:majorTickMark val="out"/>
        <c:minorTickMark val="none"/>
        <c:tickLblPos val="none"/>
        <c:crossAx val="331988856"/>
        <c:crosses val="autoZero"/>
        <c:crossBetween val="between"/>
      </c:valAx>
    </c:plotArea>
    <c:legend>
      <c:legendPos val="b"/>
      <c:overlay val="0"/>
    </c:legend>
    <c:plotVisOnly val="1"/>
    <c:dispBlanksAs val="gap"/>
    <c:showDLblsOverMax val="0"/>
  </c:chart>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BOLNICE!$F$60</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BOLNICE!$E$61:$E$67</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BOLNICE!$F$61:$F$67</c:f>
              <c:numCache>
                <c:formatCode>0.0</c:formatCode>
                <c:ptCount val="7"/>
                <c:pt idx="0">
                  <c:v>6.3</c:v>
                </c:pt>
                <c:pt idx="1">
                  <c:v>11.4</c:v>
                </c:pt>
                <c:pt idx="2">
                  <c:v>24.4</c:v>
                </c:pt>
                <c:pt idx="3">
                  <c:v>9</c:v>
                </c:pt>
                <c:pt idx="4">
                  <c:v>8.2000000000000011</c:v>
                </c:pt>
                <c:pt idx="5">
                  <c:v>7.5</c:v>
                </c:pt>
                <c:pt idx="6">
                  <c:v>7.3</c:v>
                </c:pt>
              </c:numCache>
            </c:numRef>
          </c:val>
        </c:ser>
        <c:ser>
          <c:idx val="1"/>
          <c:order val="1"/>
          <c:tx>
            <c:strRef>
              <c:f>BOLNICE!$H$60</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BOLNICE!$E$61:$E$67</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BOLNICE!$H$61:$H$67</c:f>
              <c:numCache>
                <c:formatCode>0.0</c:formatCode>
                <c:ptCount val="7"/>
                <c:pt idx="0" formatCode="General">
                  <c:v>5.9</c:v>
                </c:pt>
                <c:pt idx="1">
                  <c:v>10.8</c:v>
                </c:pt>
                <c:pt idx="2">
                  <c:v>21.1</c:v>
                </c:pt>
                <c:pt idx="3">
                  <c:v>7.8</c:v>
                </c:pt>
                <c:pt idx="4">
                  <c:v>7.2</c:v>
                </c:pt>
                <c:pt idx="5">
                  <c:v>6.7</c:v>
                </c:pt>
                <c:pt idx="6">
                  <c:v>6.9</c:v>
                </c:pt>
              </c:numCache>
            </c:numRef>
          </c:val>
        </c:ser>
        <c:dLbls>
          <c:showLegendKey val="0"/>
          <c:showVal val="0"/>
          <c:showCatName val="0"/>
          <c:showSerName val="0"/>
          <c:showPercent val="0"/>
          <c:showBubbleSize val="0"/>
        </c:dLbls>
        <c:gapWidth val="150"/>
        <c:axId val="333324280"/>
        <c:axId val="333324672"/>
      </c:barChart>
      <c:catAx>
        <c:axId val="333324280"/>
        <c:scaling>
          <c:orientation val="minMax"/>
        </c:scaling>
        <c:delete val="0"/>
        <c:axPos val="l"/>
        <c:numFmt formatCode="General" sourceLinked="0"/>
        <c:majorTickMark val="out"/>
        <c:minorTickMark val="none"/>
        <c:tickLblPos val="nextTo"/>
        <c:crossAx val="333324672"/>
        <c:crosses val="autoZero"/>
        <c:auto val="1"/>
        <c:lblAlgn val="ctr"/>
        <c:lblOffset val="100"/>
        <c:noMultiLvlLbl val="0"/>
      </c:catAx>
      <c:valAx>
        <c:axId val="333324672"/>
        <c:scaling>
          <c:orientation val="minMax"/>
        </c:scaling>
        <c:delete val="1"/>
        <c:axPos val="b"/>
        <c:numFmt formatCode="0.0" sourceLinked="1"/>
        <c:majorTickMark val="out"/>
        <c:minorTickMark val="none"/>
        <c:tickLblPos val="none"/>
        <c:crossAx val="333324280"/>
        <c:crosses val="autoZero"/>
        <c:crossBetween val="between"/>
      </c:valAx>
    </c:plotArea>
    <c:legend>
      <c:legendPos val="b"/>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0" y="0"/>
          <a:ext cx="5619750" cy="2728595"/>
        </a:xfrm>
        <a:prstGeom xmlns:a="http://schemas.openxmlformats.org/drawingml/2006/main" prst="rect">
          <a:avLst/>
        </a:prstGeom>
        <a:noFill xmlns:a="http://schemas.openxmlformats.org/drawingml/2006/main"/>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ABDC3-85F5-448E-9F0C-84F33AE7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39200</Words>
  <Characters>223446</Characters>
  <Application>Microsoft Office Word</Application>
  <DocSecurity>0</DocSecurity>
  <Lines>1862</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think6</cp:lastModifiedBy>
  <cp:revision>3</cp:revision>
  <cp:lastPrinted>2016-06-27T13:19:00Z</cp:lastPrinted>
  <dcterms:created xsi:type="dcterms:W3CDTF">2017-01-16T08:16:00Z</dcterms:created>
  <dcterms:modified xsi:type="dcterms:W3CDTF">2017-01-16T08:25:00Z</dcterms:modified>
</cp:coreProperties>
</file>